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!-- Page border -->
    <w:sectPr>
      <w:pgSz w:w="15840" w:h="12240" w:orient="landscape"/>
      <w:pgMar w:top="720" w:right="720" w:bottom="720" w:left="7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  <!-- TOP ROW TABLE (Technical Failures | Center space | Human-Machine Interaction) --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680"/>
        <w:gridCol w:w="4680"/>
      </w:tblGrid>
      <!-- Row 1: Top categories -->
      <w:tr>
        <!-- TECHNICAL FAILURES -->
        <w:tc>
          <w:tcPr>
            <w:tcW w:w="4680" w:type="dxa"/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28"/>
              </w:rPr>
              <w:t>TECHNICAL FAILURES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Sensor Errors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Algorithm Limitations</w:t>
            </w:r>
          </w:p>
        </w:tc>
        <!-- HUMAN-MACHINE INTERACTION -->
        <w:tc>
          <w:tcPr>
            <w:tcW w:w="4680" w:type="dxa"/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28"/>
              </w:rPr>
              <w:t>HUMAN-MACHINE INTERACTION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Driver Inattention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Automation Risks</w:t>
            </w:r>
          </w:p>
        </w:tc>
      </w:tr>
    </w:tbl>
    <!-- CENTER TITLE -->
    <w:p>
      <w:pPr>
        <w:spacing w:before="360" w:after="120"/>
        <w:jc w:val="center"/>
      </w:pPr>
      <w:r>
        <w:rPr>
          <w:rFonts w:ascii="Arial Black" w:hAnsi="Arial Black"/>
          <w:b/>
          <w:sz w:val="44"/>
        </w:rPr>
        <w:t>Autonomous Vehicle</w:t>
      </w:r>
    </w:p>
    <w:p>
      <w:pPr>
        <w:spacing w:before="0" w:after="360"/>
        <w:jc w:val="center"/>
        <w:pBdr>
          <w:bottom w:val="single" w:sz="12" w:space="1" w:color="000000"/>
        </w:pBdr>
      </w:pPr>
      <w:r>
        <w:rPr>
          <w:rFonts w:ascii="Arial Black" w:hAnsi="Arial Black"/>
          <w:b/>
          <w:i/>
          <w:sz w:val="44"/>
        </w:rPr>
        <w:t>Incident Analysis</w:t>
      </w:r>
    </w:p>
    <!-- BOTTOM ROW TABLE (Legal & Liability Issues | Lessons & Recommendations) --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680"/>
        <w:gridCol w:w="4680"/>
      </w:tblGrid>
      <!-- Row 1: Bottom categories -->
      <w:tr>
        <!-- LEGAL & LIABILITY ISSUES -->
        <w:tc>
          <w:tcPr>
            <w:tcW w:w="4680" w:type="dxa"/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28"/>
              </w:rPr>
              <w:t>LEGAL &amp; LIABILITY ISSUES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Liability Questions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Product Defects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Regulatory Challenges</w:t>
            </w:r>
          </w:p>
        </w:tc>
        <!-- LESSONS & RECOMMENDATIONS -->
        <w:tc>
          <w:tcPr>
            <w:tcW w:w="4680" w:type="dxa"/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sz w:val="28"/>
              </w:rPr>
              <w:t>LESSONS &amp; RECOMMENDATIONS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Improving Safety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Policy Changes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pPr>
      <w:spacing w:before="240" w:after="120"/>
      <w:jc w:val="center"/>
    </w:pPr>
    <w:rPr>
      <w:rFonts w:ascii="Arial Black" w:hAnsi="Arial Black"/>
      <w:b/>
      <w:sz w:val="36"/>
    </w:rPr>
  </w:style>
  <w:style w:type="paragraph" w:styleId="Heading2">
    <w:name w:val="heading 2"/>
    <w:pPr>
      <w:spacing w:before="120" w:after="60"/>
    </w:pPr>
    <w:rPr>
      <w:rFonts w:ascii="Arial" w:hAnsi="Arial"/>
      <w:b/>
      <w:sz w:val="24"/>
      <w:caps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