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Reporting CSR and ESG Performance: Leveraging AI for Sustainability Measurement</w:t>
      </w:r>
    </w:p>
    <w:p>
      <w:pPr>
        <w:pStyle w:val="Heading1"/>
      </w:pPr>
      <w:r>
        <w:t xml:space="preserve">Abstract</w:t>
      </w:r>
    </w:p>
    <w:p>
      <w:pPr>
        <w:pStyle w:val="Abstract"/>
      </w:pPr>
      <w:r>
        <w:t xml:space="preserve">Corporate sustainability has moved from a peripheral communications exercise to a central pillar of corporate strategy, capital allocation, and regulatory compliance. The measurement and reporting of Corporate Social Responsibility (CSR) and Environmental, Social, and Governance (ESG) performance now shape investment decisions worth trillions of dollars, influence the cost of capital, and determine the license to operate for many organizations. Yet conventional approaches to sustainability measurement remain hampered by manual data collection, fragmented systems, inconsistent metrics, and pervasive concerns about greenwashing and the credibility of disclosures. Artificial intelligence offers a transformative set of capabilities for addressing these challenges. Machine learning, natural language processing, computer vision, and generative models can automate the extraction and integration of sustainability data, analyze performance across vast and heterogeneous datasets, forecast environmental and social risks, and generate structured, evidence-linked reports. At the same time, the deployment of AI in sustainability reporting raises profound questions about transparency, explainability, bias, fairness, data governance, privacy, and the potential for automated greenwashing. This chapter provides an integrated examination of how AI can be responsibly harnessed to measure, analyze, and report CSR and ESG performance. It traces the evolution of sustainability reporting, surveys the data sources and frameworks underpinning modern ESG measurement, and analyzes the specific AI techniques that enhance data collection, performance analysis, environmental impact assessment, and automated reporting. It then addresses the responsible AI principles necessary for trustworthy ESG reporting, including explainability, fairness, governance, and the use of AI to combat greenwashing. Finally, it explores strategic applications such as real-time dashboards, predictive risk management, and stakeholder-centric reporting, and considers emerging pathways toward autonomous, verifiable, and continuously assured sustainability disclosure. The chapter argues that the value of AI in sustainability measurement depends not only on technical capability but equally on ethical governance, human oversight, and alignment with stakeholder expectations.</w:t>
      </w:r>
    </w:p>
    <w:p>
      <w:pPr>
        <w:pStyle w:val="Heading1"/>
      </w:pPr>
      <w:r>
        <w:t xml:space="preserve">Section 1: Foundations of CSR and ESG Performance Measurement</w:t>
      </w:r>
    </w:p>
    <w:p>
      <w:pPr>
        <w:pStyle w:val="Heading2"/>
      </w:pPr>
      <w:r>
        <w:t xml:space="preserve">1.1 Evolution of CSR and ESG Reporting</w:t>
      </w:r>
    </w:p>
    <w:p>
      <w:pPr>
        <w:pStyle w:val="Normal"/>
      </w:pPr>
      <w:r>
        <w:t xml:space="preserve">The practice of corporate sustainability reporting has undergone a profound transformation over the past five decades, evolving from voluntary philanthropic disclosures into a structured, data-intensive discipline that is increasingly integrated with financial reporting. Early corporate social responsibility emerged largely as a communications activity, with firms describing charitable donations, community programs, and employee welfare initiatives in narrative form and with little quantitative rigor [1]. These early disclosures were shaped by the notion that business had responsibilities extending beyond profit maximization, but they lacked standardized metrics and were rarely subject to external verification. Over time, growing awareness of environmental degradation, labor conditions in global supply chains, and corporate governance failures prompted stakeholders to demand more substantive and comparable information about corporate conduct [2].</w:t>
      </w:r>
    </w:p>
    <w:p>
      <w:pPr>
        <w:pStyle w:val="Normal"/>
      </w:pPr>
      <w:r>
        <w:t xml:space="preserve">The transition from traditional CSR toward integrated sustainability reporting reflects a broader shift in how organizations understand their relationship with society and the environment. Whereas CSR historically framed social and environmental engagement as discretionary activities separate from core business, the modern ESG paradigm treats environmental, social, and governance factors as material drivers of long-term value creation and risk [3]. This reframing has been driven in part by the recognition among investors that sustainability-related factors, such as exposure to climate risk, resource scarcity, workforce practices, and board oversight, can have direct financial consequences. The result has been the gradual convergence of sustainability reporting with mainstream corporate reporting, culminating in the concept of integrated reporting that connects financial and non-financial performance within a single coherent narrative [4].</w:t>
      </w:r>
    </w:p>
    <w:p>
      <w:pPr>
        <w:pStyle w:val="Normal"/>
      </w:pPr>
      <w:r>
        <w:t xml:space="preserve">The development of environmental, social, and governance performance indicators has been central to this evolution. Environmental indicators typically encompass greenhouse gas emissions, energy consumption, water use, waste generation, and biodiversity impacts. Social indicators address labor practices, health and safety, diversity and inclusion, human rights, and community relations. Governance indicators cover board composition, executive compensation, business ethics, anti-corruption measures, and shareholder rights [5]. The proliferation of these indicators has enabled more granular assessment of corporate performance, but it has also created challenges of comparability and consistency, as different organizations and rating agencies define and measure indicators in divergent ways [6].</w:t>
      </w:r>
    </w:p>
    <w:p>
      <w:pPr>
        <w:pStyle w:val="Normal"/>
      </w:pPr>
      <w:r>
        <w:t xml:space="preserve">Underlying this trajectory is the growing importance of transparency, accountability, and stakeholder expectations. Investors, regulators, customers, employees, and civil society organizations increasingly expect firms to disclose credible, comparable, and decision-useful information about their sustainability performance [7]. Regulatory momentum, exemplified by mandatory climate-related disclosure requirements in several jurisdictions, has reinforced this expectation and elevated sustainability reporting from a voluntary practice to a compliance obligation for many organizations [8]. As the volume, complexity, and stakes of sustainability disclosure have grown, so too has the need for advanced analytical tools capable of managing and interpreting the underlying data at scale. The historical arc of this evolution can be understood as a movement through successive phases: an initial philanthropic phase concerned largely with reputation, a subsequent compliance phase driven by emerging regulation and voluntary codes, and a contemporary strategic phase in which sustainability performance is treated as a determinant of competitiveness and access to capital. Each phase has expanded the scope of what firms are expected to measure and disclose, and each has raised the analytical burden accordingly. The strategic phase, in particular, demands that sustainability information be timely, granular, and integrated with financial analysis, expectations that legacy reporting processes were never designed to meet and that increasingly can be satisfied only through automation and intelligent analytics.</w:t>
      </w:r>
    </w:p>
    <w:p>
      <w:pPr>
        <w:pStyle w:val="Heading2"/>
      </w:pPr>
      <w:r>
        <w:t xml:space="preserve">1.2 ESG Metrics, Indicators, and Reporting Frameworks</w:t>
      </w:r>
    </w:p>
    <w:p>
      <w:pPr>
        <w:pStyle w:val="Normal"/>
      </w:pPr>
      <w:r>
        <w:t xml:space="preserve">Effective sustainability measurement rests on a coherent structure of metrics, indicators, and reporting frameworks that translate complex environmental and social phenomena into quantifiable and comparable information. The environmental dimension of ESG captures a firm's interactions with natural systems, including its carbon footprint, energy intensity, water stewardship, pollution, and contribution to or mitigation of climate change [9]. The social dimension addresses the firm's relationships with people, encompassing employee wellbeing, occupational health and safety, diversity, human rights within operations and supply chains, product responsibility, and community engagement. The governance dimension examines the systems and structures through which the firm is directed and controlled, including board independence, audit quality, executive incentives, and mechanisms for managing ethical and compliance risks [10].</w:t>
      </w:r>
    </w:p>
    <w:p>
      <w:pPr>
        <w:pStyle w:val="Normal"/>
      </w:pPr>
      <w:r>
        <w:t xml:space="preserve">A foundational concept in ESG measurement is materiality, which guides the selection of relevant performance indicators. Materiality assessment identifies the sustainability issues that are most significant to a firm's value creation and to its stakeholders, thereby focusing measurement and reporting efforts on the topics that matter most [11]. The concept has evolved to encompass the notion of double materiality, which considers both the financial materiality of sustainability issues to the firm and the impact materiality of the firm on society and the environment [12]. Conducting rigorous materiality assessments is challenging, however, because it requires integrating diverse stakeholder perspectives, anticipating evolving risks, and balancing short-term and long-term considerations. This complexity creates an opportunity for analytical techniques that can synthesize large volumes of stakeholder input and external signals to inform materiality determinations [13].</w:t>
      </w:r>
    </w:p>
    <w:p>
      <w:pPr>
        <w:pStyle w:val="Normal"/>
      </w:pPr>
      <w:r>
        <w:t xml:space="preserve">Alignment with international sustainability reporting standards and frameworks is essential for producing disclosures that are comparable and credible. A range of frameworks has emerged to guide reporting, each with distinct emphases, scopes, and audiences. Table 1 summarizes several prominent frameworks and their principal characteristics, illustrating the diversity of the reporting landscape and the challenge organizations face in navigating overlapping requirements [14]. The recent movement toward consolidation, exemplified by the establishment of a global sustainability standards board and efforts to create a common baseline of disclosure, reflects a widespread desire to reduce fragmentation and improve comparability [15]. As the frameworks compared in Table 1 make clear, differences in scope, audience, and assurance expectations remain substantial even where topical overlap is high, so convergence at the level of principles does not automatically translate into interoperability at the level of individual metrics. Nevertheless, the coexistence of multiple frameworks, combined with jurisdictional variation in mandatory requirements, means that many organizations must map their data against several standards simultaneously, a task well suited to automation and intelligent data management [16]. The burden of this mapping falls disproportionately on multinational enterprises, which may be subject to overlapping and sometimes conflicting requirements across the jurisdictions in which they operate, and it is here that machine-readable taxonomies and automated data lineage begin to demonstrate concrete value by allowing a single validated data point to be expressed in the vocabulary of several frameworks at once.</w:t>
      </w:r>
    </w:p>
    <w:p>
      <w:pPr>
        <w:pStyle w:val="TableCaption"/>
      </w:pPr>
      <w:r>
        <w:t xml:space="preserve">Table 1: Comparison of major sustainability reporting frameworks and their characteristics.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Framework</w:t>
            </w:r>
          </w:p>
        </w:tc>
        <w:tc>
          <w:tcPr>
            <w:tcW w:w="2340" w:type="dxa"/>
            <w:shd w:val="clear" w:color="auto" w:fill="D9E2F3"/>
          </w:tcPr>
          <w:p>
            <w:pPr>
              <w:jc w:val="center"/>
              <w:spacing w:after="20"/>
            </w:pPr>
            <w:r>
              <w:rPr>
                <w:b/>
              </w:rPr>
              <w:t xml:space="preserve">Primary Focus</w:t>
            </w:r>
          </w:p>
        </w:tc>
        <w:tc>
          <w:tcPr>
            <w:tcW w:w="2340" w:type="dxa"/>
            <w:shd w:val="clear" w:color="auto" w:fill="D9E2F3"/>
          </w:tcPr>
          <w:p>
            <w:pPr>
              <w:jc w:val="center"/>
              <w:spacing w:after="20"/>
            </w:pPr>
            <w:r>
              <w:rPr>
                <w:b/>
              </w:rPr>
              <w:t xml:space="preserve">Principal Audience</w:t>
            </w:r>
          </w:p>
        </w:tc>
        <w:tc>
          <w:tcPr>
            <w:tcW w:w="2340" w:type="dxa"/>
            <w:shd w:val="clear" w:color="auto" w:fill="D9E2F3"/>
          </w:tcPr>
          <w:p>
            <w:pPr>
              <w:jc w:val="center"/>
              <w:spacing w:after="20"/>
            </w:pPr>
            <w:r>
              <w:rPr>
                <w:b/>
              </w:rPr>
              <w:t xml:space="preserve">Materiality Approach</w:t>
            </w:r>
          </w:p>
        </w:tc>
      </w:tr>
      <w:tr>
        <w:tc>
          <w:tcPr>
            <w:tcW w:w="2340" w:type="dxa"/>
          </w:tcPr>
          <w:p>
            <w:pPr>
              <w:spacing w:after="20"/>
            </w:pPr>
            <w:r>
              <w:t xml:space="preserve">GRI Standards</w:t>
            </w:r>
          </w:p>
        </w:tc>
        <w:tc>
          <w:tcPr>
            <w:tcW w:w="2340" w:type="dxa"/>
          </w:tcPr>
          <w:p>
            <w:pPr>
              <w:spacing w:after="20"/>
            </w:pPr>
            <w:r>
              <w:t xml:space="preserve">Broad economic, environmental, and social impacts</w:t>
            </w:r>
          </w:p>
        </w:tc>
        <w:tc>
          <w:tcPr>
            <w:tcW w:w="2340" w:type="dxa"/>
          </w:tcPr>
          <w:p>
            <w:pPr>
              <w:spacing w:after="20"/>
            </w:pPr>
            <w:r>
              <w:t xml:space="preserve">Multiple stakeholders</w:t>
            </w:r>
          </w:p>
        </w:tc>
        <w:tc>
          <w:tcPr>
            <w:tcW w:w="2340" w:type="dxa"/>
          </w:tcPr>
          <w:p>
            <w:pPr>
              <w:spacing w:after="20"/>
            </w:pPr>
            <w:r>
              <w:t xml:space="preserve">Impact materiality</w:t>
            </w:r>
          </w:p>
        </w:tc>
      </w:tr>
      <w:tr>
        <w:tc>
          <w:tcPr>
            <w:tcW w:w="2340" w:type="dxa"/>
          </w:tcPr>
          <w:p>
            <w:pPr>
              <w:spacing w:after="20"/>
            </w:pPr>
            <w:r>
              <w:t xml:space="preserve">SASB / ISSB</w:t>
            </w:r>
          </w:p>
        </w:tc>
        <w:tc>
          <w:tcPr>
            <w:tcW w:w="2340" w:type="dxa"/>
          </w:tcPr>
          <w:p>
            <w:pPr>
              <w:spacing w:after="20"/>
            </w:pPr>
            <w:r>
              <w:t xml:space="preserve">Financially material sustainability topics</w:t>
            </w:r>
          </w:p>
        </w:tc>
        <w:tc>
          <w:tcPr>
            <w:tcW w:w="2340" w:type="dxa"/>
          </w:tcPr>
          <w:p>
            <w:pPr>
              <w:spacing w:after="20"/>
            </w:pPr>
            <w:r>
              <w:t xml:space="preserve">Investors and capital markets</w:t>
            </w:r>
          </w:p>
        </w:tc>
        <w:tc>
          <w:tcPr>
            <w:tcW w:w="2340" w:type="dxa"/>
          </w:tcPr>
          <w:p>
            <w:pPr>
              <w:spacing w:after="20"/>
            </w:pPr>
            <w:r>
              <w:t xml:space="preserve">Financial materiality</w:t>
            </w:r>
          </w:p>
        </w:tc>
      </w:tr>
      <w:tr>
        <w:tc>
          <w:tcPr>
            <w:tcW w:w="2340" w:type="dxa"/>
          </w:tcPr>
          <w:p>
            <w:pPr>
              <w:spacing w:after="20"/>
            </w:pPr>
            <w:r>
              <w:t xml:space="preserve">TCFD</w:t>
            </w:r>
          </w:p>
        </w:tc>
        <w:tc>
          <w:tcPr>
            <w:tcW w:w="2340" w:type="dxa"/>
          </w:tcPr>
          <w:p>
            <w:pPr>
              <w:spacing w:after="20"/>
            </w:pPr>
            <w:r>
              <w:t xml:space="preserve">Climate-related financial risks and opportunities</w:t>
            </w:r>
          </w:p>
        </w:tc>
        <w:tc>
          <w:tcPr>
            <w:tcW w:w="2340" w:type="dxa"/>
          </w:tcPr>
          <w:p>
            <w:pPr>
              <w:spacing w:after="20"/>
            </w:pPr>
            <w:r>
              <w:t xml:space="preserve">Investors, lenders, insurers</w:t>
            </w:r>
          </w:p>
        </w:tc>
        <w:tc>
          <w:tcPr>
            <w:tcW w:w="2340" w:type="dxa"/>
          </w:tcPr>
          <w:p>
            <w:pPr>
              <w:spacing w:after="20"/>
            </w:pPr>
            <w:r>
              <w:t xml:space="preserve">Financial materiality</w:t>
            </w:r>
          </w:p>
        </w:tc>
      </w:tr>
      <w:tr>
        <w:tc>
          <w:tcPr>
            <w:tcW w:w="2340" w:type="dxa"/>
          </w:tcPr>
          <w:p>
            <w:pPr>
              <w:spacing w:after="20"/>
            </w:pPr>
            <w:r>
              <w:t xml:space="preserve">CSRD / ESRS</w:t>
            </w:r>
          </w:p>
        </w:tc>
        <w:tc>
          <w:tcPr>
            <w:tcW w:w="2340" w:type="dxa"/>
          </w:tcPr>
          <w:p>
            <w:pPr>
              <w:spacing w:after="20"/>
            </w:pPr>
            <w:r>
              <w:t xml:space="preserve">Comprehensive mandatory EU sustainability disclosure</w:t>
            </w:r>
          </w:p>
        </w:tc>
        <w:tc>
          <w:tcPr>
            <w:tcW w:w="2340" w:type="dxa"/>
          </w:tcPr>
          <w:p>
            <w:pPr>
              <w:spacing w:after="20"/>
            </w:pPr>
            <w:r>
              <w:t xml:space="preserve">Regulators and stakeholders</w:t>
            </w:r>
          </w:p>
        </w:tc>
        <w:tc>
          <w:tcPr>
            <w:tcW w:w="2340" w:type="dxa"/>
          </w:tcPr>
          <w:p>
            <w:pPr>
              <w:spacing w:after="20"/>
            </w:pPr>
            <w:r>
              <w:t xml:space="preserve">Double materiality</w:t>
            </w:r>
          </w:p>
        </w:tc>
      </w:tr>
      <w:tr>
        <w:tc>
          <w:tcPr>
            <w:tcW w:w="2340" w:type="dxa"/>
          </w:tcPr>
          <w:p>
            <w:pPr>
              <w:spacing w:after="20"/>
            </w:pPr>
            <w:r>
              <w:t xml:space="preserve">Integrated Reporting</w:t>
            </w:r>
          </w:p>
        </w:tc>
        <w:tc>
          <w:tcPr>
            <w:tcW w:w="2340" w:type="dxa"/>
          </w:tcPr>
          <w:p>
            <w:pPr>
              <w:spacing w:after="20"/>
            </w:pPr>
            <w:r>
              <w:t xml:space="preserve">Connected financial and non-financial value creation</w:t>
            </w:r>
          </w:p>
        </w:tc>
        <w:tc>
          <w:tcPr>
            <w:tcW w:w="2340" w:type="dxa"/>
          </w:tcPr>
          <w:p>
            <w:pPr>
              <w:spacing w:after="20"/>
            </w:pPr>
            <w:r>
              <w:t xml:space="preserve">Providers of financial capital</w:t>
            </w:r>
          </w:p>
        </w:tc>
        <w:tc>
          <w:tcPr>
            <w:tcW w:w="2340" w:type="dxa"/>
          </w:tcPr>
          <w:p>
            <w:pPr>
              <w:spacing w:after="20"/>
            </w:pPr>
            <w:r>
              <w:t xml:space="preserve">Value-creation focus</w:t>
            </w:r>
          </w:p>
        </w:tc>
      </w:tr>
    </w:tbl>
    <w:p/>
    <w:p>
      <w:pPr>
        <w:pStyle w:val="Heading2"/>
      </w:pPr>
      <w:r>
        <w:t xml:space="preserve">1.3 Data Sources for Sustainability Measurement</w:t>
      </w:r>
    </w:p>
    <w:p>
      <w:pPr>
        <w:pStyle w:val="Normal"/>
      </w:pPr>
      <w:r>
        <w:t xml:space="preserve">The credibility and usefulness of sustainability reporting depend fundamentally on the quality, breadth, and reliability of the underlying data. Corporate operational, financial, and environmental data form the primary foundation of ESG measurement. Operational data include production volumes, facility energy consumption, fuel use, transportation activity, and waste flows, while financial data provide context for normalizing sustainability metrics against revenue, output, or headcount [17]. Environmental data, such as direct emissions from combustion or process activities and indirect emissions from purchased energy, are often derived from a combination of metered measurements, activity data, and emission factors. The integration of these diverse data types is necessary to construct comprehensive performance indicators, yet the data frequently reside in disparate systems that were not designed to communicate with one another [18].</w:t>
      </w:r>
    </w:p>
    <w:p>
      <w:pPr>
        <w:pStyle w:val="Normal"/>
      </w:pPr>
      <w:r>
        <w:t xml:space="preserve">Beyond internal records, a growing array of external and sensor-based data sources is enriching sustainability measurement. Internet of Things (IoT) sensors deployed across facilities, fleets, and supply chains can capture real-time information on energy use, emissions, water consumption, and equipment performance, enabling continuous monitoring rather than periodic estimation [19]. Enterprise systems such as resource planning and supply chain management platforms hold structured transactional data that can be mined for sustainability insights. Satellite and remote sensing data provide independent observations of land use, deforestation, emissions plumes, and facility activity, offering a powerful means of verifying reported performance against physical reality [20]. External databases, including supplier disclosures, third-party ratings, and public registries, further extend the informational base available for analysis [21].</w:t>
      </w:r>
    </w:p>
    <w:p>
      <w:pPr>
        <w:pStyle w:val="Normal"/>
      </w:pPr>
      <w:r>
        <w:t xml:space="preserve">Despite this abundance of data, significant challenges of data quality, comparability, completeness, and reliability persist. Sustainability data are often incomplete, particularly for indirect value-chain emissions and for smaller suppliers that lack sophisticated measurement systems [22]. Differences in measurement methodologies, boundary definitions, and reporting periods undermine comparability across firms and over time. Data may be self-reported and unverified, raising questions about reliability and the potential for selective disclosure. Table 2 characterizes the principal data sources used in sustainability measurement, their typical formats, and their associated quality considerations, highlighting the heterogeneity that intelligent systems must accommodate [23]. Addressing these data challenges is a prerequisite for meaningful analysis, and it is precisely in the domains of data integration, quality assessment, and gap-filling that artificial intelligence offers substantial value [24]. The diversity of source types catalogued in Table 2, ranging from tightly structured meter readings to loosely structured textual disclosures and independent satellite observations, also implies that no single measurement approach suffices; robust sustainability measurement instead depends on triangulating multiple sources so that the weaknesses of one are compensated by the strengths of another. This triangulation is difficult to perform manually at scale, because it requires continual reconciliation of units, boundaries, and time periods across sources that were never designed to be compared, and it is one of the clearest areas in which automated data pipelines outperform spreadsheet-based collection.</w:t>
      </w:r>
    </w:p>
    <w:p>
      <w:pPr>
        <w:pStyle w:val="TableCaption"/>
      </w:pPr>
      <w:r>
        <w:t xml:space="preserve">Table 2: Data sources for sustainability measurement, their formats, and quality considerations.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Data Source</w:t>
            </w:r>
          </w:p>
        </w:tc>
        <w:tc>
          <w:tcPr>
            <w:tcW w:w="2340" w:type="dxa"/>
            <w:shd w:val="clear" w:color="auto" w:fill="D9E2F3"/>
          </w:tcPr>
          <w:p>
            <w:pPr>
              <w:jc w:val="center"/>
              <w:spacing w:after="20"/>
            </w:pPr>
            <w:r>
              <w:rPr>
                <w:b/>
              </w:rPr>
              <w:t xml:space="preserve">Typical Format</w:t>
            </w:r>
          </w:p>
        </w:tc>
        <w:tc>
          <w:tcPr>
            <w:tcW w:w="2340" w:type="dxa"/>
            <w:shd w:val="clear" w:color="auto" w:fill="D9E2F3"/>
          </w:tcPr>
          <w:p>
            <w:pPr>
              <w:jc w:val="center"/>
              <w:spacing w:after="20"/>
            </w:pPr>
            <w:r>
              <w:rPr>
                <w:b/>
              </w:rPr>
              <w:t xml:space="preserve">Example Metrics</w:t>
            </w:r>
          </w:p>
        </w:tc>
        <w:tc>
          <w:tcPr>
            <w:tcW w:w="2340" w:type="dxa"/>
            <w:shd w:val="clear" w:color="auto" w:fill="D9E2F3"/>
          </w:tcPr>
          <w:p>
            <w:pPr>
              <w:jc w:val="center"/>
              <w:spacing w:after="20"/>
            </w:pPr>
            <w:r>
              <w:rPr>
                <w:b/>
              </w:rPr>
              <w:t xml:space="preserve">Quality Consideration</w:t>
            </w:r>
          </w:p>
        </w:tc>
      </w:tr>
      <w:tr>
        <w:tc>
          <w:tcPr>
            <w:tcW w:w="2340" w:type="dxa"/>
          </w:tcPr>
          <w:p>
            <w:pPr>
              <w:spacing w:after="20"/>
            </w:pPr>
            <w:r>
              <w:t xml:space="preserve">Enterprise systems</w:t>
            </w:r>
          </w:p>
        </w:tc>
        <w:tc>
          <w:tcPr>
            <w:tcW w:w="2340" w:type="dxa"/>
          </w:tcPr>
          <w:p>
            <w:pPr>
              <w:spacing w:after="20"/>
            </w:pPr>
            <w:r>
              <w:t xml:space="preserve">Structured (ERP records)</w:t>
            </w:r>
          </w:p>
        </w:tc>
        <w:tc>
          <w:tcPr>
            <w:tcW w:w="2340" w:type="dxa"/>
          </w:tcPr>
          <w:p>
            <w:pPr>
              <w:spacing w:after="20"/>
            </w:pPr>
            <w:r>
              <w:t xml:space="preserve">Energy use, production, spend</w:t>
            </w:r>
          </w:p>
        </w:tc>
        <w:tc>
          <w:tcPr>
            <w:tcW w:w="2340" w:type="dxa"/>
          </w:tcPr>
          <w:p>
            <w:pPr>
              <w:spacing w:after="20"/>
            </w:pPr>
            <w:r>
              <w:t xml:space="preserve">Boundary and mapping consistency</w:t>
            </w:r>
          </w:p>
        </w:tc>
      </w:tr>
      <w:tr>
        <w:tc>
          <w:tcPr>
            <w:tcW w:w="2340" w:type="dxa"/>
          </w:tcPr>
          <w:p>
            <w:pPr>
              <w:spacing w:after="20"/>
            </w:pPr>
            <w:r>
              <w:t xml:space="preserve">IoT sensors</w:t>
            </w:r>
          </w:p>
        </w:tc>
        <w:tc>
          <w:tcPr>
            <w:tcW w:w="2340" w:type="dxa"/>
          </w:tcPr>
          <w:p>
            <w:pPr>
              <w:spacing w:after="20"/>
            </w:pPr>
            <w:r>
              <w:t xml:space="preserve">Structured time series</w:t>
            </w:r>
          </w:p>
        </w:tc>
        <w:tc>
          <w:tcPr>
            <w:tcW w:w="2340" w:type="dxa"/>
          </w:tcPr>
          <w:p>
            <w:pPr>
              <w:spacing w:after="20"/>
            </w:pPr>
            <w:r>
              <w:t xml:space="preserve">Real-time emissions, water, energy</w:t>
            </w:r>
          </w:p>
        </w:tc>
        <w:tc>
          <w:tcPr>
            <w:tcW w:w="2340" w:type="dxa"/>
          </w:tcPr>
          <w:p>
            <w:pPr>
              <w:spacing w:after="20"/>
            </w:pPr>
            <w:r>
              <w:t xml:space="preserve">Calibration and coverage gaps</w:t>
            </w:r>
          </w:p>
        </w:tc>
      </w:tr>
      <w:tr>
        <w:tc>
          <w:tcPr>
            <w:tcW w:w="2340" w:type="dxa"/>
          </w:tcPr>
          <w:p>
            <w:pPr>
              <w:spacing w:after="20"/>
            </w:pPr>
            <w:r>
              <w:t xml:space="preserve">Satellite / remote sensing</w:t>
            </w:r>
          </w:p>
        </w:tc>
        <w:tc>
          <w:tcPr>
            <w:tcW w:w="2340" w:type="dxa"/>
          </w:tcPr>
          <w:p>
            <w:pPr>
              <w:spacing w:after="20"/>
            </w:pPr>
            <w:r>
              <w:t xml:space="preserve">Imagery and geospatial</w:t>
            </w:r>
          </w:p>
        </w:tc>
        <w:tc>
          <w:tcPr>
            <w:tcW w:w="2340" w:type="dxa"/>
          </w:tcPr>
          <w:p>
            <w:pPr>
              <w:spacing w:after="20"/>
            </w:pPr>
            <w:r>
              <w:t xml:space="preserve">Land use, deforestation, plumes</w:t>
            </w:r>
          </w:p>
        </w:tc>
        <w:tc>
          <w:tcPr>
            <w:tcW w:w="2340" w:type="dxa"/>
          </w:tcPr>
          <w:p>
            <w:pPr>
              <w:spacing w:after="20"/>
            </w:pPr>
            <w:r>
              <w:t xml:space="preserve">Resolution and interpretation</w:t>
            </w:r>
          </w:p>
        </w:tc>
      </w:tr>
      <w:tr>
        <w:tc>
          <w:tcPr>
            <w:tcW w:w="2340" w:type="dxa"/>
          </w:tcPr>
          <w:p>
            <w:pPr>
              <w:spacing w:after="20"/>
            </w:pPr>
            <w:r>
              <w:t xml:space="preserve">Corporate documents</w:t>
            </w:r>
          </w:p>
        </w:tc>
        <w:tc>
          <w:tcPr>
            <w:tcW w:w="2340" w:type="dxa"/>
          </w:tcPr>
          <w:p>
            <w:pPr>
              <w:spacing w:after="20"/>
            </w:pPr>
            <w:r>
              <w:t xml:space="preserve">Unstructured text</w:t>
            </w:r>
          </w:p>
        </w:tc>
        <w:tc>
          <w:tcPr>
            <w:tcW w:w="2340" w:type="dxa"/>
          </w:tcPr>
          <w:p>
            <w:pPr>
              <w:spacing w:after="20"/>
            </w:pPr>
            <w:r>
              <w:t xml:space="preserve">Targets, policies, commitments</w:t>
            </w:r>
          </w:p>
        </w:tc>
        <w:tc>
          <w:tcPr>
            <w:tcW w:w="2340" w:type="dxa"/>
          </w:tcPr>
          <w:p>
            <w:pPr>
              <w:spacing w:after="20"/>
            </w:pPr>
            <w:r>
              <w:t xml:space="preserve">Ambiguity and self-reporting bias</w:t>
            </w:r>
          </w:p>
        </w:tc>
      </w:tr>
      <w:tr>
        <w:tc>
          <w:tcPr>
            <w:tcW w:w="2340" w:type="dxa"/>
          </w:tcPr>
          <w:p>
            <w:pPr>
              <w:spacing w:after="20"/>
            </w:pPr>
            <w:r>
              <w:t xml:space="preserve">Third-party databases</w:t>
            </w:r>
          </w:p>
        </w:tc>
        <w:tc>
          <w:tcPr>
            <w:tcW w:w="2340" w:type="dxa"/>
          </w:tcPr>
          <w:p>
            <w:pPr>
              <w:spacing w:after="20"/>
            </w:pPr>
            <w:r>
              <w:t xml:space="preserve">Semi-structured</w:t>
            </w:r>
          </w:p>
        </w:tc>
        <w:tc>
          <w:tcPr>
            <w:tcW w:w="2340" w:type="dxa"/>
          </w:tcPr>
          <w:p>
            <w:pPr>
              <w:spacing w:after="20"/>
            </w:pPr>
            <w:r>
              <w:t xml:space="preserve">Ratings, supplier disclosures</w:t>
            </w:r>
          </w:p>
        </w:tc>
        <w:tc>
          <w:tcPr>
            <w:tcW w:w="2340" w:type="dxa"/>
          </w:tcPr>
          <w:p>
            <w:pPr>
              <w:spacing w:after="20"/>
            </w:pPr>
            <w:r>
              <w:t xml:space="preserve">Comparability and methodology</w:t>
            </w:r>
          </w:p>
        </w:tc>
      </w:tr>
    </w:tbl>
    <w:p/>
    <w:p>
      <w:pPr>
        <w:pStyle w:val="Heading2"/>
      </w:pPr>
      <w:r>
        <w:t xml:space="preserve">1.4 Challenges in Conventional CSR and ESG Reporting</w:t>
      </w:r>
    </w:p>
    <w:p>
      <w:pPr>
        <w:pStyle w:val="Normal"/>
      </w:pPr>
      <w:r>
        <w:t xml:space="preserve">Conventional approaches to CSR and ESG reporting suffer from a set of persistent and interrelated challenges that limit the reliability and usefulness of sustainability disclosures. Foremost among these is the reliance on manual data collection and fragmented reporting systems. In many organizations, sustainability data are gathered through spreadsheets, email requests, and ad hoc surveys distributed across business units and geographies [25]. This manual process is labor-intensive, error-prone, and difficult to audit, and it often produces data that are outdated by the time they are compiled into an annual report. Fragmentation across systems means that environmental, social, and financial data are rarely integrated, making it difficult to construct a holistic view of performance or to respond promptly to information requests from investors and regulators [26].</w:t>
      </w:r>
    </w:p>
    <w:p>
      <w:pPr>
        <w:pStyle w:val="Normal"/>
      </w:pPr>
      <w:r>
        <w:t xml:space="preserve">A second major challenge concerns greenwashing, inconsistent metrics, and information asymmetry. Greenwashing refers to the practice of conveying a misleading impression of environmental or social responsibility, whether through selective disclosure, vague claims, or the omission of unfavorable information [27]. The absence of universally accepted metrics allows firms to present their performance in the most favorable light, choosing indicators, baselines, and boundaries that flatter their record. This selectivity creates information asymmetry between firms and their stakeholders, undermining the ability of investors and the public to make informed judgments [28]. The proliferation of divergent ESG ratings, which frequently disagree in their assessments of the same firm, further compounds the confusion and erodes trust in sustainability information [29].</w:t>
      </w:r>
    </w:p>
    <w:p>
      <w:pPr>
        <w:pStyle w:val="Normal"/>
      </w:pPr>
      <w:r>
        <w:t xml:space="preserve">A third challenge relates to verification, assurance, and the credibility of sustainability disclosures. Unlike financial statements, which are typically subject to rigorous independent audit, sustainability disclosures have historically received limited external assurance, and where assurance is provided, it is often at a low level that offers only modest confidence [30]. The lack of robust verification mechanisms makes it difficult for stakeholders to distinguish substantive performance from mere rhetoric. Table 3 organizes these conventional reporting challenges alongside their consequences and the ways in which AI-enabled approaches can address them, providing a bridge between the problems of current practice and the solutions explored in subsequent sections [31]. The mapping in Table 3 makes explicit that each conventional weakness has a corresponding AI-enabled response, but it also signals that these responses are not automatic remedies: automation can reduce manual error and accelerate integration, yet it introduces new dependencies on model quality, data governance, and human oversight that must themselves be managed. Collectively, these challenges motivate the adoption of more automated, data-driven, and verifiable approaches to sustainability measurement, in which artificial intelligence plays a central role, while simultaneously establishing the criteria against which any AI-enabled solution should be judged, namely whether it demonstrably improves completeness, comparability, timeliness, and credibility relative to the manual practices it replaces [32].</w:t>
      </w:r>
    </w:p>
    <w:p>
      <w:pPr>
        <w:pStyle w:val="TableCaption"/>
      </w:pPr>
      <w:r>
        <w:t xml:space="preserve">Table 3: Conventional CSR and ESG reporting challenges and AI-enabled responses.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w="3120" w:type="dxa"/>
            <w:shd w:val="clear" w:color="auto" w:fill="D9E2F3"/>
          </w:tcPr>
          <w:p>
            <w:pPr>
              <w:jc w:val="center"/>
              <w:spacing w:after="20"/>
            </w:pPr>
            <w:r>
              <w:rPr>
                <w:b/>
              </w:rPr>
              <w:t xml:space="preserve">Challenge</w:t>
            </w:r>
          </w:p>
        </w:tc>
        <w:tc>
          <w:tcPr>
            <w:tcW w:w="3120" w:type="dxa"/>
            <w:shd w:val="clear" w:color="auto" w:fill="D9E2F3"/>
          </w:tcPr>
          <w:p>
            <w:pPr>
              <w:jc w:val="center"/>
              <w:spacing w:after="20"/>
            </w:pPr>
            <w:r>
              <w:rPr>
                <w:b/>
              </w:rPr>
              <w:t xml:space="preserve">Consequence</w:t>
            </w:r>
          </w:p>
        </w:tc>
        <w:tc>
          <w:tcPr>
            <w:tcW w:w="3120" w:type="dxa"/>
            <w:shd w:val="clear" w:color="auto" w:fill="D9E2F3"/>
          </w:tcPr>
          <w:p>
            <w:pPr>
              <w:jc w:val="center"/>
              <w:spacing w:after="20"/>
            </w:pPr>
            <w:r>
              <w:rPr>
                <w:b/>
              </w:rPr>
              <w:t xml:space="preserve">AI-Enabled Response</w:t>
            </w:r>
          </w:p>
        </w:tc>
      </w:tr>
      <w:tr>
        <w:tc>
          <w:tcPr>
            <w:tcW w:w="3120" w:type="dxa"/>
          </w:tcPr>
          <w:p>
            <w:pPr>
              <w:spacing w:after="20"/>
            </w:pPr>
            <w:r>
              <w:t xml:space="preserve">Manual data collection</w:t>
            </w:r>
          </w:p>
        </w:tc>
        <w:tc>
          <w:tcPr>
            <w:tcW w:w="3120" w:type="dxa"/>
          </w:tcPr>
          <w:p>
            <w:pPr>
              <w:spacing w:after="20"/>
            </w:pPr>
            <w:r>
              <w:t xml:space="preserve">Errors, delays, high cost</w:t>
            </w:r>
          </w:p>
        </w:tc>
        <w:tc>
          <w:tcPr>
            <w:tcW w:w="3120" w:type="dxa"/>
          </w:tcPr>
          <w:p>
            <w:pPr>
              <w:spacing w:after="20"/>
            </w:pPr>
            <w:r>
              <w:t xml:space="preserve">Automated extraction and integration</w:t>
            </w:r>
          </w:p>
        </w:tc>
      </w:tr>
      <w:tr>
        <w:tc>
          <w:tcPr>
            <w:tcW w:w="3120" w:type="dxa"/>
          </w:tcPr>
          <w:p>
            <w:pPr>
              <w:spacing w:after="20"/>
            </w:pPr>
            <w:r>
              <w:t xml:space="preserve">Fragmented systems</w:t>
            </w:r>
          </w:p>
        </w:tc>
        <w:tc>
          <w:tcPr>
            <w:tcW w:w="3120" w:type="dxa"/>
          </w:tcPr>
          <w:p>
            <w:pPr>
              <w:spacing w:after="20"/>
            </w:pPr>
            <w:r>
              <w:t xml:space="preserve">Incomplete, siloed performance view</w:t>
            </w:r>
          </w:p>
        </w:tc>
        <w:tc>
          <w:tcPr>
            <w:tcW w:w="3120" w:type="dxa"/>
          </w:tcPr>
          <w:p>
            <w:pPr>
              <w:spacing w:after="20"/>
            </w:pPr>
            <w:r>
              <w:t xml:space="preserve">Unified data pipelines</w:t>
            </w:r>
          </w:p>
        </w:tc>
      </w:tr>
      <w:tr>
        <w:tc>
          <w:tcPr>
            <w:tcW w:w="3120" w:type="dxa"/>
          </w:tcPr>
          <w:p>
            <w:pPr>
              <w:spacing w:after="20"/>
            </w:pPr>
            <w:r>
              <w:t xml:space="preserve">Greenwashing</w:t>
            </w:r>
          </w:p>
        </w:tc>
        <w:tc>
          <w:tcPr>
            <w:tcW w:w="3120" w:type="dxa"/>
          </w:tcPr>
          <w:p>
            <w:pPr>
              <w:spacing w:after="20"/>
            </w:pPr>
            <w:r>
              <w:t xml:space="preserve">Misleading claims, eroded trust</w:t>
            </w:r>
          </w:p>
        </w:tc>
        <w:tc>
          <w:tcPr>
            <w:tcW w:w="3120" w:type="dxa"/>
          </w:tcPr>
          <w:p>
            <w:pPr>
              <w:spacing w:after="20"/>
            </w:pPr>
            <w:r>
              <w:t xml:space="preserve">Automated claim and anomaly detection</w:t>
            </w:r>
          </w:p>
        </w:tc>
      </w:tr>
      <w:tr>
        <w:tc>
          <w:tcPr>
            <w:tcW w:w="3120" w:type="dxa"/>
          </w:tcPr>
          <w:p>
            <w:pPr>
              <w:spacing w:after="20"/>
            </w:pPr>
            <w:r>
              <w:t xml:space="preserve">Inconsistent metrics</w:t>
            </w:r>
          </w:p>
        </w:tc>
        <w:tc>
          <w:tcPr>
            <w:tcW w:w="3120" w:type="dxa"/>
          </w:tcPr>
          <w:p>
            <w:pPr>
              <w:spacing w:after="20"/>
            </w:pPr>
            <w:r>
              <w:t xml:space="preserve">Poor comparability</w:t>
            </w:r>
          </w:p>
        </w:tc>
        <w:tc>
          <w:tcPr>
            <w:tcW w:w="3120" w:type="dxa"/>
          </w:tcPr>
          <w:p>
            <w:pPr>
              <w:spacing w:after="20"/>
            </w:pPr>
            <w:r>
              <w:t xml:space="preserve">Framework mapping and normalization</w:t>
            </w:r>
          </w:p>
        </w:tc>
      </w:tr>
      <w:tr>
        <w:tc>
          <w:tcPr>
            <w:tcW w:w="3120" w:type="dxa"/>
          </w:tcPr>
          <w:p>
            <w:pPr>
              <w:spacing w:after="20"/>
            </w:pPr>
            <w:r>
              <w:t xml:space="preserve">Limited assurance</w:t>
            </w:r>
          </w:p>
        </w:tc>
        <w:tc>
          <w:tcPr>
            <w:tcW w:w="3120" w:type="dxa"/>
          </w:tcPr>
          <w:p>
            <w:pPr>
              <w:spacing w:after="20"/>
            </w:pPr>
            <w:r>
              <w:t xml:space="preserve">Low credibility of disclosures</w:t>
            </w:r>
          </w:p>
        </w:tc>
        <w:tc>
          <w:tcPr>
            <w:tcW w:w="3120" w:type="dxa"/>
          </w:tcPr>
          <w:p>
            <w:pPr>
              <w:spacing w:after="20"/>
            </w:pPr>
            <w:r>
              <w:t xml:space="preserve">Cross-validation against evidence</w:t>
            </w:r>
          </w:p>
        </w:tc>
      </w:tr>
    </w:tbl>
    <w:p/>
    <w:p>
      <w:pPr>
        <w:pStyle w:val="Heading1"/>
      </w:pPr>
      <w:r>
        <w:t xml:space="preserve">Section 2: Artificial Intelligence for Sustainability Measurement</w:t>
      </w:r>
    </w:p>
    <w:p>
      <w:pPr>
        <w:pStyle w:val="Heading2"/>
      </w:pPr>
      <w:r>
        <w:t xml:space="preserve">2.1 AI-Enabled ESG Data Collection and Integration</w:t>
      </w:r>
    </w:p>
    <w:p>
      <w:pPr>
        <w:pStyle w:val="Normal"/>
      </w:pPr>
      <w:r>
        <w:t xml:space="preserve">Artificial intelligence transforms the labor-intensive and fragmented process of sustainability data collection into an automated, scalable, and continuous activity. Automated extraction of sustainability information allows organizations to harvest relevant data from a wide variety of sources, including internal documents, invoices, utility bills, regulatory filings, and third-party reports, without the manual keying that dominates conventional practice [33]. Machine learning models trained to recognize sustainability-relevant entities and quantities can parse unstructured documents and populate structured databases, dramatically reducing the effort and error associated with data compilation. The overall architecture of such an AI-enabled sustainability measurement system, spanning data ingestion, integration, analysis, and reporting, is depicted in Figure 1, which illustrates how disparate inputs are progressively transformed into decision-useful outputs [34].</w:t>
      </w:r>
    </w:p>
    <w:p>
      <w:pPr>
        <w:pStyle w:val="Normal"/>
      </w:pPr>
      <w:r>
        <w:t xml:space="preserve">The integration of structured and unstructured organizational data is a particular strength of AI-based approaches. Sustainability-relevant information exists in structured form within enterprise resource planning systems and sensor feeds, but also in unstructured form within policies, contracts, meeting minutes, and correspondence. AI systems can reconcile these heterogeneous inputs, resolving inconsistencies in units, boundaries, and terminology, and linking related records across systems to build a unified data foundation [35]. This capability addresses one of the central weaknesses of conventional reporting, namely the siloing of data across functions, and enables the construction of comprehensive performance indicators that draw on the full informational resources of the organization [36].</w:t>
      </w:r>
    </w:p>
    <w:p>
      <w:pPr>
        <w:pStyle w:val="Normal"/>
      </w:pPr>
      <w:r>
        <w:t xml:space="preserve">Natural language processing plays an especially important role in handling sustainability documents and disclosures. NLP techniques can analyze large volumes of textual material, extracting commitments, targets, risks, and performance claims from reports, transcripts, and regulatory submissions [37]. Beyond extraction, NLP enables the classification of disclosures against reporting frameworks, the detection of vague or unsubstantiated language, and the comparison of a firm's statements over time and against its peers. As Figure 1 indicates, these language-processing capabilities sit at the interface between raw textual inputs and the structured analytics that follow, converting narrative disclosure into analyzable data [38]. The result is a substantial expansion in the quantity and timeliness of sustainability information that can be captured and processed, laying the groundwork for the analytical applications described in the following subsections [39].</w:t>
      </w:r>
    </w:p>
    <w:p>
      <w:pPr>
        <w:pStyle w:val="FigureImage"/>
      </w:pPr>
      <w:r>
        <w:drawing>
          <wp:inline xmlns:wp="http://schemas.openxmlformats.org/drawingml/2006/wordprocessingDrawing" distT="0" distB="0" distL="0" distR="0">
            <wp:extent cx="5486400" cy="3392905"/>
            <wp:effectExtent l="0" t="0" r="0" b="0"/>
            <wp:docPr id="100"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 1"/>
                    <pic:cNvPicPr/>
                  </pic:nvPicPr>
                  <pic:blipFill>
                    <a:blip xmlns:r="http://schemas.openxmlformats.org/officeDocument/2006/relationships" r:embed="rId3"/>
                    <a:stretch>
                      <a:fillRect/>
                    </a:stretch>
                  </pic:blipFill>
                  <pic:spPr>
                    <a:xfrm>
                      <a:off x="0" y="0"/>
                      <a:ext cx="5486400" cy="3392905"/>
                    </a:xfrm>
                    <a:prstGeom prst="rect">
                      <a:avLst/>
                    </a:prstGeom>
                  </pic:spPr>
                </pic:pic>
              </a:graphicData>
            </a:graphic>
          </wp:inline>
        </w:drawing>
      </w:r>
    </w:p>
    <w:p>
      <w:pPr>
        <w:pStyle w:val="FigureCaption"/>
      </w:pPr>
      <w:r>
        <w:t xml:space="preserve">Figure 1: Architecture of an AI-enabled CSR and ESG measurement and reporting system.</w:t>
      </w:r>
    </w:p>
    <w:p>
      <w:pPr>
        <w:pStyle w:val="Heading2"/>
      </w:pPr>
      <w:r>
        <w:t xml:space="preserve">2.2 Machine Learning for ESG Performance Analysis</w:t>
      </w:r>
    </w:p>
    <w:p>
      <w:pPr>
        <w:pStyle w:val="Normal"/>
      </w:pPr>
      <w:r>
        <w:t xml:space="preserve">Once sustainability data have been collected and integrated, machine learning provides powerful tools for analyzing performance, identifying risks, and benchmarking against peers. Predictive models for environmental and social performance can forecast future outcomes based on historical patterns and contextual variables, enabling organizations to anticipate trends in emissions, resource consumption, safety incidents, or workforce metrics [40]. Such models support forward-looking management by allowing firms to test the likely effects of interventions before committing resources, and by flagging emerging deterioration in performance that might otherwise go unnoticed until it appears in an annual report. The predictive accuracy of these models improves as they incorporate richer data, including real-time sensor feeds and external signals, though careful validation is required to avoid overfitting and spurious correlations [41].</w:t>
      </w:r>
    </w:p>
    <w:p>
      <w:pPr>
        <w:pStyle w:val="Normal"/>
      </w:pPr>
      <w:r>
        <w:t xml:space="preserve">ESG risk identification and classification represents another important application of machine learning. Classification algorithms can categorize firms, facilities, suppliers, or investments according to their exposure to specific sustainability risks, drawing on structured indicators and unstructured signals such as news reports and social media [42]. These techniques enable the early detection of controversies, supply chain vulnerabilities, and governance weaknesses, supporting more proactive risk management. Machine learning can also uncover latent patterns and relationships among ESG factors that are not apparent through conventional analysis, revealing, for example, how governance quality correlates with environmental performance or how social factors influence financial resilience [43]. The comparative performance of several categories of analytical models across common ESG measurement tasks is summarized in Table 4, which contrasts their typical strengths, data requirements, and interpretability [1].</w:t>
      </w:r>
    </w:p>
    <w:p>
      <w:pPr>
        <w:pStyle w:val="Normal"/>
      </w:pPr>
      <w:r>
        <w:t xml:space="preserve">Benchmarking corporate sustainability performance using intelligent analytics allows organizations and investors to situate performance in context. By analyzing large datasets spanning many firms and sectors, machine learning systems can construct meaningful peer groups, normalize for differences in size and activity, and identify leaders and laggards on specific dimensions [2]. Intelligent benchmarking moves beyond simple ranking to provide diagnostic insight, highlighting the specific practices and conditions associated with superior performance. This analytical depth supports both internal improvement efforts and external evaluation by investors and rating agencies. The relative capabilities of different analytical approaches summarized in Table 4 underscore that no single technique dominates across all tasks; rather, effective ESG analysis typically combines multiple methods suited to the specific measurement objective [3]. In practice, organizations often deploy a layered analytical stack in which interpretable regression and tree-based models handle routine benchmarking and classification, while more complex neural architectures are reserved for tasks that genuinely require the recognition of subtle, high-dimensional patterns, such as inferring sustainability signals from satellite imagery or large text corpora. This layering reflects a pragmatic trade-off between predictive power and interpretability: the most accurate models are frequently the least transparent, and in a reporting context where outputs must be explained and defended to investors, auditors, and regulators, interpretability often carries a premium that justifies the use of simpler models even at some cost in raw accuracy. The choice of technique is therefore not merely a technical decision but a governance decision, shaped by the accountability requirements of the specific use case.</w:t>
      </w:r>
    </w:p>
    <w:p>
      <w:pPr>
        <w:pStyle w:val="TableCaption"/>
      </w:pPr>
      <w:r>
        <w:t xml:space="preserve">Table 4: Comparison of analytical approaches for ESG performance analysis.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Analytical Approach</w:t>
            </w:r>
          </w:p>
        </w:tc>
        <w:tc>
          <w:tcPr>
            <w:tcW w:w="2340" w:type="dxa"/>
            <w:shd w:val="clear" w:color="auto" w:fill="D9E2F3"/>
          </w:tcPr>
          <w:p>
            <w:pPr>
              <w:jc w:val="center"/>
              <w:spacing w:after="20"/>
            </w:pPr>
            <w:r>
              <w:rPr>
                <w:b/>
              </w:rPr>
              <w:t xml:space="preserve">Typical Strength</w:t>
            </w:r>
          </w:p>
        </w:tc>
        <w:tc>
          <w:tcPr>
            <w:tcW w:w="2340" w:type="dxa"/>
            <w:shd w:val="clear" w:color="auto" w:fill="D9E2F3"/>
          </w:tcPr>
          <w:p>
            <w:pPr>
              <w:jc w:val="center"/>
              <w:spacing w:after="20"/>
            </w:pPr>
            <w:r>
              <w:rPr>
                <w:b/>
              </w:rPr>
              <w:t xml:space="preserve">Data Requirement</w:t>
            </w:r>
          </w:p>
        </w:tc>
        <w:tc>
          <w:tcPr>
            <w:tcW w:w="2340" w:type="dxa"/>
            <w:shd w:val="clear" w:color="auto" w:fill="D9E2F3"/>
          </w:tcPr>
          <w:p>
            <w:pPr>
              <w:jc w:val="center"/>
              <w:spacing w:after="20"/>
            </w:pPr>
            <w:r>
              <w:rPr>
                <w:b/>
              </w:rPr>
              <w:t xml:space="preserve">Interpretability</w:t>
            </w:r>
          </w:p>
        </w:tc>
      </w:tr>
      <w:tr>
        <w:tc>
          <w:tcPr>
            <w:tcW w:w="2340" w:type="dxa"/>
          </w:tcPr>
          <w:p>
            <w:pPr>
              <w:spacing w:after="20"/>
            </w:pPr>
            <w:r>
              <w:t xml:space="preserve">Regression models</w:t>
            </w:r>
          </w:p>
        </w:tc>
        <w:tc>
          <w:tcPr>
            <w:tcW w:w="2340" w:type="dxa"/>
          </w:tcPr>
          <w:p>
            <w:pPr>
              <w:spacing w:after="20"/>
            </w:pPr>
            <w:r>
              <w:t xml:space="preserve">Trend estimation, benchmarking</w:t>
            </w:r>
          </w:p>
        </w:tc>
        <w:tc>
          <w:tcPr>
            <w:tcW w:w="2340" w:type="dxa"/>
          </w:tcPr>
          <w:p>
            <w:pPr>
              <w:spacing w:after="20"/>
            </w:pPr>
            <w:r>
              <w:t xml:space="preserve">Moderate structured data</w:t>
            </w:r>
          </w:p>
        </w:tc>
        <w:tc>
          <w:tcPr>
            <w:tcW w:w="2340" w:type="dxa"/>
          </w:tcPr>
          <w:p>
            <w:pPr>
              <w:spacing w:after="20"/>
            </w:pPr>
            <w:r>
              <w:t xml:space="preserve">High</w:t>
            </w:r>
          </w:p>
        </w:tc>
      </w:tr>
      <w:tr>
        <w:tc>
          <w:tcPr>
            <w:tcW w:w="2340" w:type="dxa"/>
          </w:tcPr>
          <w:p>
            <w:pPr>
              <w:spacing w:after="20"/>
            </w:pPr>
            <w:r>
              <w:t xml:space="preserve">Tree-based ensembles</w:t>
            </w:r>
          </w:p>
        </w:tc>
        <w:tc>
          <w:tcPr>
            <w:tcW w:w="2340" w:type="dxa"/>
          </w:tcPr>
          <w:p>
            <w:pPr>
              <w:spacing w:after="20"/>
            </w:pPr>
            <w:r>
              <w:t xml:space="preserve">Risk classification, prediction</w:t>
            </w:r>
          </w:p>
        </w:tc>
        <w:tc>
          <w:tcPr>
            <w:tcW w:w="2340" w:type="dxa"/>
          </w:tcPr>
          <w:p>
            <w:pPr>
              <w:spacing w:after="20"/>
            </w:pPr>
            <w:r>
              <w:t xml:space="preserve">Moderate to large</w:t>
            </w:r>
          </w:p>
        </w:tc>
        <w:tc>
          <w:tcPr>
            <w:tcW w:w="2340" w:type="dxa"/>
          </w:tcPr>
          <w:p>
            <w:pPr>
              <w:spacing w:after="20"/>
            </w:pPr>
            <w:r>
              <w:t xml:space="preserve">Medium</w:t>
            </w:r>
          </w:p>
        </w:tc>
      </w:tr>
      <w:tr>
        <w:tc>
          <w:tcPr>
            <w:tcW w:w="2340" w:type="dxa"/>
          </w:tcPr>
          <w:p>
            <w:pPr>
              <w:spacing w:after="20"/>
            </w:pPr>
            <w:r>
              <w:t xml:space="preserve">Deep neural networks</w:t>
            </w:r>
          </w:p>
        </w:tc>
        <w:tc>
          <w:tcPr>
            <w:tcW w:w="2340" w:type="dxa"/>
          </w:tcPr>
          <w:p>
            <w:pPr>
              <w:spacing w:after="20"/>
            </w:pPr>
            <w:r>
              <w:t xml:space="preserve">Complex pattern recognition</w:t>
            </w:r>
          </w:p>
        </w:tc>
        <w:tc>
          <w:tcPr>
            <w:tcW w:w="2340" w:type="dxa"/>
          </w:tcPr>
          <w:p>
            <w:pPr>
              <w:spacing w:after="20"/>
            </w:pPr>
            <w:r>
              <w:t xml:space="preserve">Large, diverse datasets</w:t>
            </w:r>
          </w:p>
        </w:tc>
        <w:tc>
          <w:tcPr>
            <w:tcW w:w="2340" w:type="dxa"/>
          </w:tcPr>
          <w:p>
            <w:pPr>
              <w:spacing w:after="20"/>
            </w:pPr>
            <w:r>
              <w:t xml:space="preserve">Low</w:t>
            </w:r>
          </w:p>
        </w:tc>
      </w:tr>
      <w:tr>
        <w:tc>
          <w:tcPr>
            <w:tcW w:w="2340" w:type="dxa"/>
          </w:tcPr>
          <w:p>
            <w:pPr>
              <w:spacing w:after="20"/>
            </w:pPr>
            <w:r>
              <w:t xml:space="preserve">Natural language processing</w:t>
            </w:r>
          </w:p>
        </w:tc>
        <w:tc>
          <w:tcPr>
            <w:tcW w:w="2340" w:type="dxa"/>
          </w:tcPr>
          <w:p>
            <w:pPr>
              <w:spacing w:after="20"/>
            </w:pPr>
            <w:r>
              <w:t xml:space="preserve">Disclosure and claim analysis</w:t>
            </w:r>
          </w:p>
        </w:tc>
        <w:tc>
          <w:tcPr>
            <w:tcW w:w="2340" w:type="dxa"/>
          </w:tcPr>
          <w:p>
            <w:pPr>
              <w:spacing w:after="20"/>
            </w:pPr>
            <w:r>
              <w:t xml:space="preserve">Large text corpora</w:t>
            </w:r>
          </w:p>
        </w:tc>
        <w:tc>
          <w:tcPr>
            <w:tcW w:w="2340" w:type="dxa"/>
          </w:tcPr>
          <w:p>
            <w:pPr>
              <w:spacing w:after="20"/>
            </w:pPr>
            <w:r>
              <w:t xml:space="preserve">Medium</w:t>
            </w:r>
          </w:p>
        </w:tc>
      </w:tr>
      <w:tr>
        <w:tc>
          <w:tcPr>
            <w:tcW w:w="2340" w:type="dxa"/>
          </w:tcPr>
          <w:p>
            <w:pPr>
              <w:spacing w:after="20"/>
            </w:pPr>
            <w:r>
              <w:t xml:space="preserve">Anomaly detection</w:t>
            </w:r>
          </w:p>
        </w:tc>
        <w:tc>
          <w:tcPr>
            <w:tcW w:w="2340" w:type="dxa"/>
          </w:tcPr>
          <w:p>
            <w:pPr>
              <w:spacing w:after="20"/>
            </w:pPr>
            <w:r>
              <w:t xml:space="preserve">Greenwashing and outlier flags</w:t>
            </w:r>
          </w:p>
        </w:tc>
        <w:tc>
          <w:tcPr>
            <w:tcW w:w="2340" w:type="dxa"/>
          </w:tcPr>
          <w:p>
            <w:pPr>
              <w:spacing w:after="20"/>
            </w:pPr>
            <w:r>
              <w:t xml:space="preserve">Historical baselines</w:t>
            </w:r>
          </w:p>
        </w:tc>
        <w:tc>
          <w:tcPr>
            <w:tcW w:w="2340" w:type="dxa"/>
          </w:tcPr>
          <w:p>
            <w:pPr>
              <w:spacing w:after="20"/>
            </w:pPr>
            <w:r>
              <w:t xml:space="preserve">Medium</w:t>
            </w:r>
          </w:p>
        </w:tc>
      </w:tr>
    </w:tbl>
    <w:p/>
    <w:p>
      <w:pPr>
        <w:pStyle w:val="Heading2"/>
      </w:pPr>
      <w:r>
        <w:t xml:space="preserve">2.3 AI-Based Carbon and Environmental Impact Assessment</w:t>
      </w:r>
    </w:p>
    <w:p>
      <w:pPr>
        <w:pStyle w:val="Normal"/>
      </w:pPr>
      <w:r>
        <w:t xml:space="preserve">The assessment of carbon and broader environmental impacts is among the most consequential and technically demanding aspects of sustainability measurement, and it is an area where artificial intelligence offers particularly transformative capabilities. Automated carbon-footprint measurement and emissions forecasting leverage machine learning to estimate greenhouse gas emissions from activity data, filling gaps where direct measurement is impractical and improving the accuracy of estimates through data-driven calibration [4]. AI models can integrate metered energy data, production records, transportation logs, and supplier information to construct comprehensive emissions inventories that span direct operations and value-chain activities. Forecasting models then project future emissions under alternative scenarios, enabling firms to evaluate decarbonization pathways and to monitor progress against science-based targets [5].</w:t>
      </w:r>
    </w:p>
    <w:p>
      <w:pPr>
        <w:pStyle w:val="Normal"/>
      </w:pPr>
      <w:r>
        <w:t xml:space="preserve">Energy, water, waste, and resource-efficiency analytics extend AI-based environmental assessment beyond carbon to the full spectrum of resource flows. Intelligent analytics can identify inefficiencies in energy and water use, detect anomalies indicative of leaks or malfunctions, and optimize resource consumption across facilities and processes [6]. By analyzing patterns in high-frequency sensor data, these systems can recommend operational adjustments that reduce environmental impact while lowering costs, aligning sustainability objectives with financial performance. Such analytics are especially valuable in complex industrial settings where the interactions among energy, water, and material flows are difficult to manage through conventional means [7].</w:t>
      </w:r>
    </w:p>
    <w:p>
      <w:pPr>
        <w:pStyle w:val="Normal"/>
      </w:pPr>
      <w:r>
        <w:t xml:space="preserve">AI-supported lifecycle and environmental impact assessment enables a more complete accounting of the environmental consequences of products and activities across their entire lifecycle. Lifecycle assessment traditionally requires extensive data collection and modeling, making it costly and time-consuming; AI can accelerate this process by estimating missing data, automating the mapping of processes to impact categories, and scaling assessments across large product portfolios [8]. The relationship between environmental impact intensity and the maturity of AI-enabled measurement capabilities is illustrated in Figure 2, which shows how organizations that deploy more sophisticated analytical tools tend to achieve both more accurate measurement and greater impact reduction over time [9]. As Figure 2 further suggests, the benefits of AI-based environmental assessment compound as data quality and analytical maturity improve, reinforcing the case for sustained investment in these capabilities [10].</w:t>
      </w:r>
    </w:p>
    <w:p>
      <w:pPr>
        <w:pStyle w:val="FigureImage"/>
      </w:pPr>
      <w:r>
        <w:drawing>
          <wp:inline xmlns:wp="http://schemas.openxmlformats.org/drawingml/2006/wordprocessingDrawing" distT="0" distB="0" distL="0" distR="0">
            <wp:extent cx="5486400" cy="3505200"/>
            <wp:effectExtent l="0" t="0" r="0" b="0"/>
            <wp:docPr id="1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2"/>
                    <pic:cNvPicPr/>
                  </pic:nvPicPr>
                  <pic:blipFill>
                    <a:blip xmlns:r="http://schemas.openxmlformats.org/officeDocument/2006/relationships" r:embed="rId4"/>
                    <a:stretch>
                      <a:fillRect/>
                    </a:stretch>
                  </pic:blipFill>
                  <pic:spPr>
                    <a:xfrm>
                      <a:off x="0" y="0"/>
                      <a:ext cx="5486400" cy="3505200"/>
                    </a:xfrm>
                    <a:prstGeom prst="rect">
                      <a:avLst/>
                    </a:prstGeom>
                  </pic:spPr>
                </pic:pic>
              </a:graphicData>
            </a:graphic>
          </wp:inline>
        </w:drawing>
      </w:r>
    </w:p>
    <w:p>
      <w:pPr>
        <w:pStyle w:val="FigureCaption"/>
      </w:pPr>
      <w:r>
        <w:t xml:space="preserve">Figure 2: Relationship between AI measurement maturity and environmental impact reduction.</w:t>
      </w:r>
    </w:p>
    <w:p>
      <w:pPr>
        <w:pStyle w:val="Heading2"/>
      </w:pPr>
      <w:r>
        <w:t xml:space="preserve">2.4 Generative AI and Automated Sustainability Reporting</w:t>
      </w:r>
    </w:p>
    <w:p>
      <w:pPr>
        <w:pStyle w:val="Normal"/>
      </w:pPr>
      <w:r>
        <w:t xml:space="preserve">Generative artificial intelligence introduces a new dimension to sustainability reporting by enabling the automated production of disclosures that are structured, coherent, and grounded in underlying data. Intelligent generation of CSR and ESG reports allows organizations to transform validated performance data into narrative text, tables, and visualizations that conform to the requirements of relevant reporting frameworks [11]. Large language models can draft sections of sustainability reports, summarize performance against targets, and adapt content for different audiences, substantially reducing the time and cost of report production. This capability is particularly valuable given the growing volume and complexity of disclosure requirements, which strain the capacity of sustainability teams to produce comprehensive reports on demanding timelines [12].</w:t>
      </w:r>
    </w:p>
    <w:p>
      <w:pPr>
        <w:pStyle w:val="Normal"/>
      </w:pPr>
      <w:r>
        <w:t xml:space="preserve">Automated narrative development and evidence linking address a critical requirement for credible reporting, namely the connection between claims and supporting evidence. Generative systems can be designed to link each assertion in a report to the specific data, calculations, and sources that substantiate it, creating an auditable trail from narrative to evidence [13]. This linkage enhances the transparency and verifiability of disclosures, and it supports assurance processes by making it easier for auditors to trace claims back to their origins. When combined with the data integration and analytical capabilities described earlier, evidence-linked generation moves sustainability reporting toward a model in which narrative and data are tightly coupled rather than loosely associated [14].</w:t>
      </w:r>
    </w:p>
    <w:p>
      <w:pPr>
        <w:pStyle w:val="Normal"/>
      </w:pPr>
      <w:r>
        <w:t xml:space="preserve">The opportunities and risks of generative AI in corporate disclosures must be carefully balanced. On the opportunity side, generative AI can democratize high-quality reporting, enable more frequent and granular disclosure, and free skilled professionals to focus on analysis and strategy rather than document production [15]. On the risk side, generative models can produce fluent but inaccurate content, may obscure the provenance of claims, and could be misused to generate sophisticated greenwashing that is difficult to detect [16]. The tendency of generative models to produce plausible but unsupported statements poses a particular danger in a domain where accuracy and accountability are paramount. These risks underscore the necessity of the responsible AI practices examined in the next section, including human oversight, explainability, and rigorous verification, without which the automation of reporting could amplify rather than mitigate the credibility problems that have long afflicted sustainability disclosure [17]. A prudent operating model for generative reporting therefore treats the model as a drafting assistant rather than an author of record: the system proposes text and visualizations grounded in validated data, while sustainability and assurance professionals review, correct, and ultimately sign off on the content. Guardrails such as retrieval from verified data stores, mandatory citation of underlying figures, and automated checks that reject unsupported claims can substantially reduce the risk of fabricated or exaggerated statements. The objective is to capture the efficiency gains of generation while preserving the chain of accountability that gives disclosures their credibility, ensuring that the speed of automated drafting is never mistaken for a substitute for the diligence of human verification.</w:t>
      </w:r>
    </w:p>
    <w:p>
      <w:pPr>
        <w:pStyle w:val="Heading1"/>
      </w:pPr>
      <w:r>
        <w:t xml:space="preserve">Section 3: Responsible AI and Trustworthy ESG Reporting</w:t>
      </w:r>
    </w:p>
    <w:p>
      <w:pPr>
        <w:pStyle w:val="Heading2"/>
      </w:pPr>
      <w:r>
        <w:t xml:space="preserve">3.1 Transparency, Explainability, and Accountability</w:t>
      </w:r>
    </w:p>
    <w:p>
      <w:pPr>
        <w:pStyle w:val="Normal"/>
      </w:pPr>
      <w:r>
        <w:t xml:space="preserve">The deployment of artificial intelligence in sustainability measurement introduces a fundamental tension between analytical power and interpretability, making transparency, explainability, and accountability indispensable to trustworthy ESG reporting. Interpretable AI models for sustainability decision-making are essential because the outputs of these systems inform consequential decisions about capital allocation, risk management, and public disclosure [18]. Stakeholders reasonably expect to understand how a sustainability assessment or forecast was derived, particularly when it affects investment decisions or regulatory compliance. Complex models such as deep neural networks can achieve high predictive accuracy but often operate as opaque systems whose reasoning is difficult to inspect, creating a need for explanation techniques that render their behavior comprehensible to human users [19].</w:t>
      </w:r>
    </w:p>
    <w:p>
      <w:pPr>
        <w:pStyle w:val="Normal"/>
      </w:pPr>
      <w:r>
        <w:t xml:space="preserve">Traceability of ESG data and analytical processes is a closely related requirement. For sustainability information to be trusted, stakeholders must be able to trace reported figures back through the analytical pipeline to their original sources, understanding the transformations, assumptions, and calculations applied along the way [20]. This traceability supports both internal quality control and external assurance, and it is a prerequisite for the kind of evidence-linked reporting described earlier. Maintaining a complete and auditable record of data lineage becomes more challenging as AI systems introduce additional layers of processing, making the deliberate design of traceable pipelines an important governance priority [21]. Explanation techniques developed in the broader field of interpretable machine learning, such as feature-attribution methods that identify which inputs most influenced a given output, can be adapted to sustainability analytics to help users understand why a particular assessment was produced. Yet explanations must be tailored to their audience: the technical justification meaningful to a data scientist differs from the plain-language rationale an investor or board member requires. Designing sustainability AI systems that can render their reasoning at multiple levels of abstraction, without sacrificing fidelity to the underlying computation, is a subtle but essential aspect of building trust.</w:t>
      </w:r>
    </w:p>
    <w:p>
      <w:pPr>
        <w:pStyle w:val="Normal"/>
      </w:pPr>
      <w:r>
        <w:t xml:space="preserve">Human oversight and accountability in AI-assisted reporting ensure that ultimate responsibility for sustainability disclosures rests with people rather than with automated systems. Even as AI automates data collection, analysis, and drafting, human professionals must review outputs, exercise judgment on contested matters, and take accountability for the accuracy and integrity of what is reported [22]. The principle of meaningful human control implies that AI functions as a tool that augments human capability rather than a substitute for human responsibility. Establishing clear lines of accountability, defining the points at which human review is mandatory, and preserving the authority of professionals to override automated outputs are all necessary to maintain trust in AI-assisted sustainability reporting [23].</w:t>
      </w:r>
    </w:p>
    <w:p>
      <w:pPr>
        <w:pStyle w:val="Heading2"/>
      </w:pPr>
      <w:r>
        <w:t xml:space="preserve">3.2 Bias, Fairness, and Ethical Sustainability Analytics</w:t>
      </w:r>
    </w:p>
    <w:p>
      <w:pPr>
        <w:pStyle w:val="Normal"/>
      </w:pPr>
      <w:r>
        <w:t xml:space="preserve">Artificial intelligence systems can inadvertently perpetuate or amplify biases present in their training data, raising significant concerns about fairness in sustainability analytics. Sources of bias in ESG datasets and algorithms are numerous and often subtle. Historical data may reflect systemic inequities, incomplete coverage of certain regions or firm types, or measurement practices that disadvantage particular groups [24]. When such data are used to train models, the resulting systems may produce assessments that systematically favor or disfavor certain firms, sectors, or populations, embedding bias into ostensibly objective analytics. The disproportionate availability of data for large firms in developed markets, for instance, can bias models against smaller enterprises and those in emerging economies, distorting comparative assessments [25].</w:t>
      </w:r>
    </w:p>
    <w:p>
      <w:pPr>
        <w:pStyle w:val="Normal"/>
      </w:pPr>
      <w:r>
        <w:t xml:space="preserve">Fairness in social and workforce-related assessments is a particularly sensitive concern, given that the social dimension of ESG directly involves the treatment of people. Analytics that evaluate diversity, labor practices, or community impact must be designed to avoid discriminatory outcomes and to represent affected groups equitably [26]. An algorithm that assesses workforce practices, for example, must be constructed so that it does not penalize legitimate variation or reinforce existing patterns of disadvantage. Ensuring fairness requires careful attention to how social outcomes are defined and measured, as well as ongoing monitoring to detect and correct disparate impacts that may emerge as systems are deployed at scale [27].</w:t>
      </w:r>
    </w:p>
    <w:p>
      <w:pPr>
        <w:pStyle w:val="Normal"/>
      </w:pPr>
      <w:r>
        <w:t xml:space="preserve">Ethical principles for responsible AI deployment provide a framework for navigating these challenges. Widely endorsed principles emphasize fairness, transparency, accountability, privacy, and the promotion of human wellbeing, and they translate into concrete practices such as bias auditing, diverse and representative data sourcing, stakeholder consultation, and continuous monitoring [28]. In the context of sustainability, ethical AI deployment also entails ensuring that the pursuit of measurement efficiency does not override the substantive social and environmental values that sustainability reporting is meant to serve. Embedding ethical principles into the design and governance of AI systems, rather than treating ethics as an afterthought, is essential to ensuring that AI advances rather than undermines the goals of responsible business conduct [29].</w:t>
      </w:r>
    </w:p>
    <w:p>
      <w:pPr>
        <w:pStyle w:val="Heading2"/>
      </w:pPr>
      <w:r>
        <w:t xml:space="preserve">3.3 Data Governance, Privacy, and Cybersecurity</w:t>
      </w:r>
    </w:p>
    <w:p>
      <w:pPr>
        <w:pStyle w:val="Normal"/>
      </w:pPr>
      <w:r>
        <w:t xml:space="preserve">The reliance of AI-enabled sustainability measurement on large volumes of diverse data makes robust data governance, privacy protection, and cybersecurity foundational to trustworthy reporting. ESG data governance and quality-management mechanisms establish the policies, roles, and controls that ensure sustainability data are accurate, complete, consistent, and fit for purpose [30]. Effective governance defines ownership and stewardship of data, sets standards for measurement and documentation, and implements validation and reconciliation processes that catch errors before they propagate into disclosures. As AI systems increasingly automate the flow of data from source to report, strong governance becomes even more critical, because errors or manipulations introduced early in the pipeline can be rapidly amplified and difficult to detect downstream [31].</w:t>
      </w:r>
    </w:p>
    <w:p>
      <w:pPr>
        <w:pStyle w:val="Normal"/>
      </w:pPr>
      <w:r>
        <w:t xml:space="preserve">Protection of sensitive employee and stakeholder information is a pressing concern in social sustainability measurement, which often involves personal data relating to workforce demographics, health and safety, and community relations. The collection and analysis of such data must comply with privacy regulations and ethical norms, employing techniques such as anonymization, aggregation, and access controls to safeguard individuals [32]. The tension between the desire for granular social metrics and the imperative to protect privacy requires thoughtful design, ensuring that sustainability analytics deliver useful insight without exposing individuals to harm or violating their rights. Privacy-preserving analytical techniques offer promising avenues for reconciling these objectives, enabling analysis while limiting the exposure of underlying personal data [33].</w:t>
      </w:r>
    </w:p>
    <w:p>
      <w:pPr>
        <w:pStyle w:val="Normal"/>
      </w:pPr>
      <w:r>
        <w:t xml:space="preserve">Cybersecurity risks in AI-enabled sustainability platforms constitute a further dimension of governance that grows in importance as these platforms become integral to corporate reporting and decision-making. Sustainability platforms aggregate sensitive operational, financial, and personal data, making them attractive targets for malicious actors, and the AI models themselves may be vulnerable to adversarial manipulation designed to distort outputs [34]. Protecting these systems requires comprehensive security measures spanning data encryption, access management, model integrity verification, and monitoring for anomalous activity. The integrity of sustainability disclosures depends on the security of the systems that produce them, and a breach that compromises data or manipulates analytics could undermine both the accuracy of reporting and the trust that stakeholders place in it [35]. As sustainability data increasingly feed into regulated disclosures and influence the cost of capital, the incentive to tamper with them grows, and the threat model must expand accordingly to include not only external attackers but also insiders who might seek to manipulate reported performance. Practices drawn from mature financial-systems security, including segregation of duties, immutable audit logs, and independent reconciliation, are directly applicable to sustainability platforms and help ensure that the automation of reporting does not create new avenues for misstatement.</w:t>
      </w:r>
    </w:p>
    <w:p>
      <w:pPr>
        <w:pStyle w:val="Heading2"/>
      </w:pPr>
      <w:r>
        <w:t xml:space="preserve">3.4 Combating Greenwashing through AI</w:t>
      </w:r>
    </w:p>
    <w:p>
      <w:pPr>
        <w:pStyle w:val="Normal"/>
      </w:pPr>
      <w:r>
        <w:t xml:space="preserve">Artificial intelligence, while capable of enabling sophisticated greenwashing, also offers powerful tools for detecting and combating misleading sustainability claims, thereby strengthening the integrity of ESG reporting. Automated detection of inconsistent or misleading sustainability claims uses natural language processing and machine learning to analyze corporate disclosures for signs of greenwashing, such as vague language, unsubstantiated assertions, selective disclosure, and discrepancies between claims and evidence [36]. By systematically scanning large volumes of reports, marketing materials, and public statements, AI systems can flag claims that warrant scrutiny, supporting regulators, investors, and civil society in holding firms accountable. The typical architecture of an AI-based greenwashing detection and assurance system, showing how claims are cross-checked against multiple evidence sources, is presented in Figure 3 [37].</w:t>
      </w:r>
    </w:p>
    <w:p>
      <w:pPr>
        <w:pStyle w:val="Normal"/>
      </w:pPr>
      <w:r>
        <w:t xml:space="preserve">Cross-validation of reported performance against operational evidence is a particularly powerful application, leveraging the ability of AI to reconcile disclosures with independent data. Satellite imagery, sensor readings, and third-party datasets can be compared against a firm's reported performance to identify inconsistencies that may indicate misrepresentation [38]. For example, reported reductions in emissions or deforestation can be checked against remote sensing observations, providing an objective basis for verification that does not rely solely on self-reported data. As Figure 3 illustrates, the integration of multiple independent evidence streams enables a form of triangulation that makes it far more difficult for firms to sustain misleading claims, shifting the balance of information toward stakeholders [39].</w:t>
      </w:r>
    </w:p>
    <w:p>
      <w:pPr>
        <w:pStyle w:val="Normal"/>
      </w:pPr>
      <w:r>
        <w:t xml:space="preserve">AI-supported assurance, auditing, and credibility assessment extends these capabilities into the formal processes that underpin trust in sustainability reporting. AI can assist auditors by automating the examination of large datasets, identifying anomalies and outliers that merit investigation, and assessing the consistency of disclosures against established benchmarks and peer performance [40]. These tools enhance the efficiency and depth of assurance, enabling higher levels of confidence in sustainability information at lower cost. By making verification more rigorous and scalable, AI-supported assurance addresses one of the most persistent weaknesses of conventional reporting and contributes to a broader shift toward credible, evidence-based sustainability disclosure. The combination of automated detection, cross-validation, and enhanced assurance represents a significant advance in the collective capacity to combat greenwashing and to reward genuine sustainability performance [41].</w:t>
      </w:r>
    </w:p>
    <w:p>
      <w:pPr>
        <w:pStyle w:val="FigureImage"/>
      </w:pPr>
      <w:r>
        <w:drawing>
          <wp:inline xmlns:wp="http://schemas.openxmlformats.org/drawingml/2006/wordprocessingDrawing" distT="0" distB="0" distL="0" distR="0">
            <wp:extent cx="5486400" cy="3392905"/>
            <wp:effectExtent l="0" t="0" r="0" b="0"/>
            <wp:docPr id="1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
                    <pic:cNvPicPr/>
                  </pic:nvPicPr>
                  <pic:blipFill>
                    <a:blip xmlns:r="http://schemas.openxmlformats.org/officeDocument/2006/relationships" r:embed="rId5"/>
                    <a:stretch>
                      <a:fillRect/>
                    </a:stretch>
                  </pic:blipFill>
                  <pic:spPr>
                    <a:xfrm>
                      <a:off x="0" y="0"/>
                      <a:ext cx="5486400" cy="3392905"/>
                    </a:xfrm>
                    <a:prstGeom prst="rect">
                      <a:avLst/>
                    </a:prstGeom>
                  </pic:spPr>
                </pic:pic>
              </a:graphicData>
            </a:graphic>
          </wp:inline>
        </w:drawing>
      </w:r>
    </w:p>
    <w:p>
      <w:pPr>
        <w:pStyle w:val="FigureCaption"/>
      </w:pPr>
      <w:r>
        <w:t xml:space="preserve">Figure 3: AI-based greenwashing detection and assurance framework.</w:t>
      </w:r>
    </w:p>
    <w:p>
      <w:pPr>
        <w:pStyle w:val="Heading1"/>
      </w:pPr>
      <w:r>
        <w:t xml:space="preserve">Section 4: Strategic Applications and Future Directions</w:t>
      </w:r>
    </w:p>
    <w:p>
      <w:pPr>
        <w:pStyle w:val="Heading2"/>
      </w:pPr>
      <w:r>
        <w:t xml:space="preserve">4.1 AI-Driven ESG Dashboards and Decision Support</w:t>
      </w:r>
    </w:p>
    <w:p>
      <w:pPr>
        <w:pStyle w:val="Normal"/>
      </w:pPr>
      <w:r>
        <w:t xml:space="preserve">The maturation of AI-enabled sustainability measurement gives rise to strategic applications that embed sustainability intelligence directly into corporate management and decision-making. AI-driven ESG dashboards provide real-time sustainability performance monitoring, replacing the static, backward-looking reports of conventional practice with dynamic interfaces that reflect current conditions [42]. By continuously ingesting data from sensors, enterprise systems, and external sources, these dashboards enable managers to track performance against targets, detect emerging issues promptly, and respond before problems escalate. Real-time monitoring transforms sustainability from a periodic reporting exercise into an ongoing management discipline, aligning the cadence of sustainability oversight with that of financial and operational management [43].</w:t>
      </w:r>
    </w:p>
    <w:p>
      <w:pPr>
        <w:pStyle w:val="Normal"/>
      </w:pPr>
      <w:r>
        <w:t xml:space="preserve">Executive dashboards and stakeholder-oriented analytics tailor the presentation of sustainability information to the needs of different audiences. Executives require concise, decision-focused summaries that highlight material risks and opportunities, while operational managers need granular data to guide day-to-day decisions [1]. AI systems can generate customized views that surface the most relevant information for each user, drawing on the same underlying data foundation to ensure consistency. This capability enhances the usefulness of sustainability information by making it accessible and actionable across the organization, from the boardroom to the shop floor, and by supporting stakeholders outside the firm who seek insight into its performance [2].</w:t>
      </w:r>
    </w:p>
    <w:p>
      <w:pPr>
        <w:pStyle w:val="Normal"/>
      </w:pPr>
      <w:r>
        <w:t xml:space="preserve">Linking ESG indicators with strategic corporate decision-making represents the ultimate purpose of these applications, integrating sustainability considerations into the core processes of the enterprise. When ESG data are available in real time and analyzed intelligently, they can inform capital allocation, product development, supply chain management, and strategic planning [3]. This integration helps to dissolve the historical separation between sustainability and business strategy, treating environmental and social performance as integral to competitiveness and resilience. The extent to which organizations achieve this integration varies widely, and it is useful to conceive of progress along a maturity continuum that runs from manual, compliance-driven reporting through automated data collection and predictive analytics to fully integrated, continuously assured sustainability intelligence. This progression is depicted in Figure 4, which arranges AI-enabled sustainability capabilities across ascending levels of readiness and links each level to the decision-making value it unlocks [4]. The direction of travel is clear: sustainability intelligence is becoming an input to mainstream decision-making rather than a separate reporting stream, and advancement along this continuum depends not only on technology but on the parallel development of data governance, skills, and organizational processes that allow higher-order capabilities to be used responsibly.</w:t>
      </w:r>
    </w:p>
    <w:p>
      <w:pPr>
        <w:pStyle w:val="FigureImage"/>
      </w:pPr>
      <w:r>
        <w:drawing>
          <wp:inline xmlns:wp="http://schemas.openxmlformats.org/drawingml/2006/wordprocessingDrawing" distT="0" distB="0" distL="0" distR="0">
            <wp:extent cx="5486400" cy="3305907"/>
            <wp:effectExtent l="0" t="0" r="0" b="0"/>
            <wp:docPr id="103"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4"/>
                    <pic:cNvPicPr/>
                  </pic:nvPicPr>
                  <pic:blipFill>
                    <a:blip xmlns:r="http://schemas.openxmlformats.org/officeDocument/2006/relationships" r:embed="rId6"/>
                    <a:stretch>
                      <a:fillRect/>
                    </a:stretch>
                  </pic:blipFill>
                  <pic:spPr>
                    <a:xfrm>
                      <a:off x="0" y="0"/>
                      <a:ext cx="5486400" cy="3305907"/>
                    </a:xfrm>
                    <a:prstGeom prst="rect">
                      <a:avLst/>
                    </a:prstGeom>
                  </pic:spPr>
                </pic:pic>
              </a:graphicData>
            </a:graphic>
          </wp:inline>
        </w:drawing>
      </w:r>
    </w:p>
    <w:p>
      <w:pPr>
        <w:pStyle w:val="FigureCaption"/>
      </w:pPr>
      <w:r>
        <w:t xml:space="preserve">Figure 4: Maturity continuum of AI-enabled CSR and ESG measurement capabilities.</w:t>
      </w:r>
    </w:p>
    <w:p>
      <w:pPr>
        <w:pStyle w:val="Heading2"/>
      </w:pPr>
      <w:r>
        <w:t xml:space="preserve">4.2 Predictive Sustainability and Risk Management</w:t>
      </w:r>
    </w:p>
    <w:p>
      <w:pPr>
        <w:pStyle w:val="Normal"/>
      </w:pPr>
      <w:r>
        <w:t xml:space="preserve">Predictive analytics extend the value of AI-enabled sustainability measurement from describing past performance to anticipating future conditions, transforming sustainability into a forward-looking discipline. Forecasting environmental, social, and governance risks enables organizations to identify potential threats before they materialize, drawing on historical patterns, leading indicators, and external signals to project likely developments [5]. Predictive models can anticipate regulatory changes, physical climate risks, supply chain disruptions, and reputational threats, giving management the lead time needed to prepare and adapt. This anticipatory capacity is especially valuable in a context of accelerating environmental change and evolving stakeholder expectations, where the ability to foresee and prepare for risks confers a significant competitive advantage [6]. Predictive sustainability models are most powerful when they combine internal performance histories with external leading indicators such as commodity prices, weather patterns, policy signals, and shifts in public sentiment detected through text analysis, because many sustainability risks originate outside the firm's own boundaries and manifest first in the broader environment. Nevertheless, forecasts should be presented with honest quantification of their uncertainty, since overconfident projections can be as damaging as no projection at all; communicating ranges, confidence levels, and the assumptions on which forecasts rest is essential to responsible predictive reporting.</w:t>
      </w:r>
    </w:p>
    <w:p>
      <w:pPr>
        <w:pStyle w:val="Normal"/>
      </w:pPr>
      <w:r>
        <w:t xml:space="preserve">Scenario analysis and early-warning systems build on predictive capabilities to support structured exploration of alternative futures. Scenario analysis allows organizations to examine how their performance and risk exposure would evolve under different assumptions about climate policy, market conditions, and other drivers, informing strategic choices under uncertainty [7]. AI enhances scenario analysis by enabling the rapid generation and evaluation of many scenarios, incorporating complex interactions and nonlinear dynamics that would be difficult to model manually. Early-warning systems complement scenario analysis by continuously monitoring indicators and alerting management when thresholds are approached or anomalies detected, providing a real-time counterpart to the longer-term perspective of scenario planning [8]. The value of such systems depends heavily on the calibration of alert thresholds, since overly sensitive settings generate alarm fatigue while overly permissive settings allow genuine risks to pass unnoticed; machine learning can help by learning the normal operating envelope of each indicator and adapting thresholds to context rather than relying on static rules. In climate risk applications in particular, the integration of physical hazard models with financial exposure data allows firms to translate abstract environmental projections into concrete estimates of asset-level vulnerability, supporting more informed capital planning and insurance decisions.</w:t>
      </w:r>
    </w:p>
    <w:p>
      <w:pPr>
        <w:pStyle w:val="Normal"/>
      </w:pPr>
      <w:r>
        <w:t xml:space="preserve">AI-supported resilience and sustainability strategy development integrates these predictive and analytical capabilities into the formulation of robust long-term strategies. By combining forecasts, scenarios, and early warnings with analysis of the organization's capabilities and vulnerabilities, AI systems can inform the design of strategies that are resilient across a range of possible futures [9]. This approach moves beyond reactive risk management toward proactive resilience building, helping organizations to position themselves for success amid environmental and social change. The maturity of predictive sustainability capabilities across organizations, and their relationship to overall AI readiness, is a key theme in understanding how firms progress toward advanced sustainability management, connecting the technical potential of AI with the organizational conditions required to realize it [10].</w:t>
      </w:r>
    </w:p>
    <w:p>
      <w:pPr>
        <w:pStyle w:val="Heading2"/>
      </w:pPr>
      <w:r>
        <w:t xml:space="preserve">4.3 Integrated and Stakeholder-Centric Sustainability Reporting</w:t>
      </w:r>
    </w:p>
    <w:p>
      <w:pPr>
        <w:pStyle w:val="Normal"/>
      </w:pPr>
      <w:r>
        <w:t xml:space="preserve">The convergence of financial and sustainability information within intelligent reporting systems marks a significant advance toward integrated, stakeholder-centric disclosure. Connecting financial, ESG, and impact information within a unified framework allows organizations to present a holistic picture of value creation that encompasses both economic returns and broader social and environmental outcomes [11]. AI facilitates this integration by reconciling data from financial and sustainability systems, identifying the connections between them, and constructing coherent narratives that link performance across dimensions. This integrated view supports the growing expectation that firms account for their full range of impacts and dependencies, and it aligns with the movement toward integrated reporting standards that treat financial and sustainability information as interdependent [12].</w:t>
      </w:r>
    </w:p>
    <w:p>
      <w:pPr>
        <w:pStyle w:val="Normal"/>
      </w:pPr>
      <w:r>
        <w:t xml:space="preserve">Personalized sustainability insights for investors, regulators, employees, and communities respond to the diverse informational needs of different stakeholder groups. Each stakeholder brings distinct interests and priorities: investors focus on financially material risks and opportunities, regulators on compliance and systemic impacts, employees on workplace conditions and organizational values, and communities on local environmental and social effects [13]. AI systems can tailor sustainability information to these varied audiences, delivering relevant, comprehensible, and actionable insights to each. This personalization enhances the value of sustainability disclosure by ensuring that information reaches its intended users in a form they can use, rather than presenting a one-size-fits-all report that serves no audience well [14].</w:t>
      </w:r>
    </w:p>
    <w:p>
      <w:pPr>
        <w:pStyle w:val="Normal"/>
      </w:pPr>
      <w:r>
        <w:t xml:space="preserve">Improving transparency and stakeholder engagement through intelligent reporting represents a broader benefit of these developments, strengthening the relationships between firms and their stakeholders. Intelligent reporting systems can provide greater transparency by making underlying data and methodologies accessible, enabling stakeholders to interrogate disclosures and to verify claims [15]. They can also support interactive engagement, allowing stakeholders to explore information according to their interests and to provide feedback that informs future reporting and strategy. By enhancing transparency and engagement, AI-enabled reporting contributes to the accountability and legitimacy of corporate sustainability efforts, reinforcing the trust on which the entire enterprise of sustainability reporting depends [16]. It is important to recognize, however, that transparency is not the same as comprehensibility: publishing large volumes of data does not by itself empower stakeholders unless that data is contextualized, explained, and made navigable. Intelligent reporting systems that allow users to drill down from headline indicators to underlying evidence, to compare performance against peers and targets, and to interrogate the assumptions behind key figures come closer to genuine transparency than static disclosures ever could. The most advanced implementations treat reporting as a two-way channel, capturing stakeholder questions and feedback and using them to refine both the presentation of information and the substance of the sustainability strategy itself.</w:t>
      </w:r>
    </w:p>
    <w:p>
      <w:pPr>
        <w:pStyle w:val="Heading2"/>
      </w:pPr>
      <w:r>
        <w:t xml:space="preserve">4.4 Future of AI-Enabled CSR and ESG Measurement</w:t>
      </w:r>
    </w:p>
    <w:p>
      <w:pPr>
        <w:pStyle w:val="Normal"/>
      </w:pPr>
      <w:r>
        <w:t xml:space="preserve">The trajectory of AI-enabled sustainability measurement points toward increasingly autonomous, verifiable, and continuous forms of reporting that could fundamentally reshape corporate accountability. Autonomous sustainability reporting and continuous assurance envision a future in which sustainability information is generated, verified, and disclosed on an ongoing basis with minimal manual intervention [17]. Rather than producing an annual report through a laborious periodic process, organizations would maintain continuously updated disclosures drawn directly from operational data, subject to automated verification that provides ongoing assurance of accuracy. This shift would dramatically improve the timeliness and reliability of sustainability information, though it would also require robust governance to ensure that automation does not compromise accountability [18].</w:t>
      </w:r>
    </w:p>
    <w:p>
      <w:pPr>
        <w:pStyle w:val="Normal"/>
      </w:pPr>
      <w:r>
        <w:t xml:space="preserve">Digital twins, blockchain, and AI for verifiable ESG data represent complementary technologies that could underpin this future of trustworthy sustainability measurement. Digital twins, which are dynamic virtual representations of physical assets and processes, can provide detailed and continuously updated data on environmental performance, enabling precise measurement and simulation [19]. Blockchain and related distributed ledger technologies offer mechanisms for creating tamper-evident records of sustainability data, enhancing the verifiability and auditability of disclosures by establishing an immutable trail from source to report [20]. Combined with AI analytics, these technologies could create sustainability information infrastructures in which data are captured accurately at the source, recorded securely, and analyzed intelligently, addressing the credibility challenges that have long constrained the field [21].</w:t>
      </w:r>
    </w:p>
    <w:p>
      <w:pPr>
        <w:pStyle w:val="Normal"/>
      </w:pPr>
      <w:r>
        <w:t xml:space="preserve">Emerging pathways toward transparent, accountable, and responsible corporate sustainability depend on the thoughtful integration of these technological capabilities with sound governance, ethical principles, and stakeholder engagement. The realization of AI's potential in sustainability measurement requires that technological advancement be matched by developments in human competence, organizational capacity, ethical governance, and stakeholder acceptance [22]. The readiness continuum summarized in Figure 4 provides a practical lens for this balanced development, since it makes explicit that leaping to autonomous reporting without first establishing sound data governance and human oversight is likely to produce fragile systems that erode rather than build trust; organizations are therefore best served by advancing deliberately through the maturity levels, consolidating governance and competence at each stage before adopting more autonomous capabilities. Just as the transition toward advanced educational and industrial paradigms requires balanced development across technological and human dimensions, the future of AI-enabled CSR and ESG measurement will be shaped by the alignment of technical capability with responsible practice [23]. Overall, the transition toward AI-enabled sustainability reporting requires a balanced approach in which technological capability, human competence, organizational capacity, ethical governance, and stakeholder acceptance develop together. A data-driven readiness framework can provide organizations with a structured mechanism for identifying gaps, prioritizing investments, evaluating progress, and developing responsible AI strategies. Stakeholders should remain at the center of this transformation so that AI becomes an enabler of transparency, accountability, inclusion, and genuine sustainability performance rather than simply another layer of technological automation.</w:t>
      </w:r>
    </w:p>
    <w:p>
      <w:pPr>
        <w:pStyle w:val="Heading1"/>
      </w:pPr>
      <w:r>
        <w:t xml:space="preserve">References</w:t>
      </w:r>
    </w:p>
    <w:p>
      <w:pPr>
        <w:pStyle w:val="References"/>
      </w:pPr>
      <w:r>
        <w:t xml:space="preserve">[1] Carroll, A. B. (2021). Corporate social responsibility: Perspectives on the CSR construct's development and future. Business &amp; Society, 60(6), 1258-1278.</w:t>
      </w:r>
    </w:p>
    <w:p>
      <w:pPr>
        <w:pStyle w:val="References"/>
      </w:pPr>
      <w:r>
        <w:t xml:space="preserve">[2] Freeman, R. E., &amp; Dmytriyev, S. (2020). Corporate social responsibility and stakeholder theory: Learning from each other. Symphonya: Emerging Issues in Management, 1, 7-15.</w:t>
      </w:r>
    </w:p>
    <w:p>
      <w:pPr>
        <w:pStyle w:val="References"/>
      </w:pPr>
      <w:r>
        <w:t xml:space="preserve">[3] Eccles, R. G., &amp; Klimenko, S. (2019). The investor revolution: Shareholders are getting serious about sustainability. Harvard Business Review, 97(3), 106-116.</w:t>
      </w:r>
    </w:p>
    <w:p>
      <w:pPr>
        <w:pStyle w:val="References"/>
      </w:pPr>
      <w:r>
        <w:t xml:space="preserve">[4] de Villiers, C., Rinaldi, L., &amp; Unerman, J. (2020). Integrated reporting: Insights, gaps and an agenda for future research. Accounting, Auditing &amp; Accountability Journal, 33(7), 1565-1593.</w:t>
      </w:r>
    </w:p>
    <w:p>
      <w:pPr>
        <w:pStyle w:val="References"/>
      </w:pPr>
      <w:r>
        <w:t xml:space="preserve">[5] Berg, F., Koelbel, J. F., &amp; Rigobon, R. (2022). Aggregate confusion: The divergence of ESG ratings. Review of Finance, 26(6), 1315-1344.</w:t>
      </w:r>
    </w:p>
    <w:p>
      <w:pPr>
        <w:pStyle w:val="References"/>
      </w:pPr>
      <w:r>
        <w:t xml:space="preserve">[6] Christensen, D. M., Serafeim, G., &amp; Sikochi, A. (2022). Why is corporate virtue in the eye of the beholder? The case of ESG ratings. The Accounting Review, 97(1), 147-175.</w:t>
      </w:r>
    </w:p>
    <w:p>
      <w:pPr>
        <w:pStyle w:val="References"/>
      </w:pPr>
      <w:r>
        <w:t xml:space="preserve">[7] Amel-Zadeh, A., &amp; Serafeim, G. (2018). Why and how investors use ESG information: Evidence from a global survey. Financial Analysts Journal, 74(3), 87-103.</w:t>
      </w:r>
    </w:p>
    <w:p>
      <w:pPr>
        <w:pStyle w:val="References"/>
      </w:pPr>
      <w:r>
        <w:t xml:space="preserve">[8] Krueger, P., Sautner, Z., Tang, D. Y., &amp; Zhong, R. (2024). The effects of mandatory ESG disclosure around the world. Journal of Accounting Research, 62(5), 1795-1847.</w:t>
      </w:r>
    </w:p>
    <w:p>
      <w:pPr>
        <w:pStyle w:val="References"/>
      </w:pPr>
      <w:r>
        <w:t xml:space="preserve">[9] Busch, T., Johnson, M., &amp; Pioch, T. (2022). Corporate carbon performance data: Quo vadis? Journal of Industrial Ecology, 26(1), 350-363.</w:t>
      </w:r>
    </w:p>
    <w:p>
      <w:pPr>
        <w:pStyle w:val="References"/>
      </w:pPr>
      <w:r>
        <w:t xml:space="preserve">[10] Gillan, S. L., Koch, A., &amp; Starks, L. T. (2021). Firms and social responsibility: A review of ESG and CSR research in corporate finance. Journal of Corporate Finance, 66, 101889.</w:t>
      </w:r>
    </w:p>
    <w:p>
      <w:pPr>
        <w:pStyle w:val="References"/>
      </w:pPr>
      <w:r>
        <w:t xml:space="preserve">[11] Beske, F., Haustein, E., &amp; Lorson, P. C. (2020). Materiality analysis in sustainability and integrated reports. Sustainability Accounting, Management and Policy Journal, 11(1), 162-186.</w:t>
      </w:r>
    </w:p>
    <w:p>
      <w:pPr>
        <w:pStyle w:val="References"/>
      </w:pPr>
      <w:r>
        <w:t xml:space="preserve">[12] Adams, C. A., &amp; Abhayawansa, S. (2022). Connecting the COVID-19 pandemic, environmental, social and governance (ESG) investing and calls for harmonisation of sustainability reporting. Critical Perspectives on Accounting, 82, 102309.</w:t>
      </w:r>
    </w:p>
    <w:p>
      <w:pPr>
        <w:pStyle w:val="References"/>
      </w:pPr>
      <w:r>
        <w:t xml:space="preserve">[13] In, S. Y., Rook, D., &amp; Monk, A. (2019). Integrating alternative data into investment processes for ESG. Global Finance Journal, 42, 100455.</w:t>
      </w:r>
    </w:p>
    <w:p>
      <w:pPr>
        <w:pStyle w:val="References"/>
      </w:pPr>
      <w:r>
        <w:t xml:space="preserve">[14] Stolowy, H., &amp; Paugam, L. (2018). The expansion of non-financial reporting: An exploratory study. Accounting and Business Research, 48(5), 525-548.</w:t>
      </w:r>
    </w:p>
    <w:p>
      <w:pPr>
        <w:pStyle w:val="References"/>
      </w:pPr>
      <w:r>
        <w:t xml:space="preserve">[15] Abhayawansa, S. (2022). Swimming against the tide: Back to single materiality for sustainability reporting. Sustainability Accounting, Management and Policy Journal, 13(6), 1361-1385.</w:t>
      </w:r>
    </w:p>
    <w:p>
      <w:pPr>
        <w:pStyle w:val="References"/>
      </w:pPr>
      <w:r>
        <w:t xml:space="preserve">[16] La Torre, M., Sabelfeld, S., Blomkvist, M., &amp; Dumay, J. (2020). Rebuilding trust: Sustainability and non-financial reporting and the European Union regulation. Meditari Accountancy Research, 28(5), 701-725.</w:t>
      </w:r>
    </w:p>
    <w:p>
      <w:pPr>
        <w:pStyle w:val="References"/>
      </w:pPr>
      <w:r>
        <w:t xml:space="preserve">[17] Kaplan, R. S., &amp; Ramanna, K. (2021). Accounting for climate change. Harvard Business Review, 99(6), 120-131.</w:t>
      </w:r>
    </w:p>
    <w:p>
      <w:pPr>
        <w:pStyle w:val="References"/>
      </w:pPr>
      <w:r>
        <w:t xml:space="preserve">[18] George, G., Haas, M. R., &amp; Pentland, A. (2014). Big data and management. Academy of Management Journal, 57(2), 321-326.</w:t>
      </w:r>
    </w:p>
    <w:p>
      <w:pPr>
        <w:pStyle w:val="References"/>
      </w:pPr>
      <w:r>
        <w:t xml:space="preserve">[19] Nishant, R., Kennedy, M., &amp; Corbett, J. (2020). Artificial intelligence for sustainability: Challenges, opportunities, and a research agenda. International Journal of Information Management, 53, 102104.</w:t>
      </w:r>
    </w:p>
    <w:p>
      <w:pPr>
        <w:pStyle w:val="References"/>
      </w:pPr>
      <w:r>
        <w:t xml:space="preserve">[20] Jung, J., Herbohn, K., &amp; Clarkson, P. (2018). Carbon risk, carbon risk awareness and the cost of debt financing. Journal of Business Ethics, 150(4), 1151-1171.</w:t>
      </w:r>
    </w:p>
    <w:p>
      <w:pPr>
        <w:pStyle w:val="References"/>
      </w:pPr>
      <w:r>
        <w:t xml:space="preserve">[21] Hoberg, G., &amp; Lewis, C. (2017). Do fraudulent firms produce abnormal disclosure? Journal of Corporate Finance, 43, 58-85.</w:t>
      </w:r>
    </w:p>
    <w:p>
      <w:pPr>
        <w:pStyle w:val="References"/>
      </w:pPr>
      <w:r>
        <w:t xml:space="preserve">[22] Kolk, A. (2016). The social responsibility of international business: From ethics and the environment to CSR and sustainable development. Journal of World Business, 51(1), 23-34.</w:t>
      </w:r>
    </w:p>
    <w:p>
      <w:pPr>
        <w:pStyle w:val="References"/>
      </w:pPr>
      <w:r>
        <w:t xml:space="preserve">[23] Chen, T., &amp; Wu, Z. (2022). How to facilitate the digital transformation of ESG data management. Journal of Cleaner Production, 380, 134847.</w:t>
      </w:r>
    </w:p>
    <w:p>
      <w:pPr>
        <w:pStyle w:val="References"/>
      </w:pPr>
      <w:r>
        <w:t xml:space="preserve">[24] Vinuesa, R., Azizpour, H., Leite, I., Balaam, M., Dignum, V., Domisch, S., et al. (2020). The role of artificial intelligence in achieving the Sustainable Development Goals. Nature Communications, 11(1), 233.</w:t>
      </w:r>
    </w:p>
    <w:p>
      <w:pPr>
        <w:pStyle w:val="References"/>
      </w:pPr>
      <w:r>
        <w:t xml:space="preserve">[25] Delmas, M. A., &amp; Burbano, V. C. (2011). The drivers of greenwashing. California Management Review, 54(1), 64-87.</w:t>
      </w:r>
    </w:p>
    <w:p>
      <w:pPr>
        <w:pStyle w:val="References"/>
      </w:pPr>
      <w:r>
        <w:t xml:space="preserve">[26] Marquis, C., Toffel, M. W., &amp; Zhou, Y. (2016). Scrutiny, norms, and selective disclosure: A global study of greenwashing. Organization Science, 27(2), 483-504.</w:t>
      </w:r>
    </w:p>
    <w:p>
      <w:pPr>
        <w:pStyle w:val="References"/>
      </w:pPr>
      <w:r>
        <w:t xml:space="preserve">[27] Lyon, T. P., &amp; Montgomery, A. W. (2015). The means and end of greenwash. Organization &amp; Environment, 28(2), 223-249.</w:t>
      </w:r>
    </w:p>
    <w:p>
      <w:pPr>
        <w:pStyle w:val="References"/>
      </w:pPr>
      <w:r>
        <w:t xml:space="preserve">[28] Dhaliwal, D. S., Li, O. Z., Tsang, A., &amp; Yang, Y. G. (2011). Voluntary nonfinancial disclosure and the cost of equity capital. The Accounting Review, 86(1), 59-100.</w:t>
      </w:r>
    </w:p>
    <w:p>
      <w:pPr>
        <w:pStyle w:val="References"/>
      </w:pPr>
      <w:r>
        <w:t xml:space="preserve">[29] Chatterji, A. K., Durand, R., Levine, D. I., &amp; Touboul, S. (2016). Do ratings of firms converge? Implications for managers, investors and strategy researchers. Strategic Management Journal, 37(8), 1597-1614.</w:t>
      </w:r>
    </w:p>
    <w:p>
      <w:pPr>
        <w:pStyle w:val="References"/>
      </w:pPr>
      <w:r>
        <w:t xml:space="preserve">[30] Michelon, G., Pilonato, S., &amp; Ricceri, F. (2015). CSR reporting practices and the quality of disclosure: An empirical analysis. Critical Perspectives on Accounting, 33, 59-78.</w:t>
      </w:r>
    </w:p>
    <w:p>
      <w:pPr>
        <w:pStyle w:val="References"/>
      </w:pPr>
      <w:r>
        <w:t xml:space="preserve">[31] Cohen, S., Kadach, I., &amp; Ormazabal, G. (2023). Institutional investors, climate disclosure, and carbon emissions. Journal of Accounting and Economics, 76(2-3), 101640.</w:t>
      </w:r>
    </w:p>
    <w:p>
      <w:pPr>
        <w:pStyle w:val="References"/>
      </w:pPr>
      <w:r>
        <w:t xml:space="preserve">[32] In, S. Y., &amp; Schumacher, K. (2021). Carbonwashing: A washing behavior of greenwashing in carbon disclosures. Sustainability, 13(20), 11225.</w:t>
      </w:r>
    </w:p>
    <w:p>
      <w:pPr>
        <w:pStyle w:val="References"/>
      </w:pPr>
      <w:r>
        <w:t xml:space="preserve">[33] Wong, C., &amp; Petroy, E. (2020). Rate the raters 2020: Investor survey and interview results. SustainAbility Institute Report, 1-42.</w:t>
      </w:r>
    </w:p>
    <w:p>
      <w:pPr>
        <w:pStyle w:val="References"/>
      </w:pPr>
      <w:r>
        <w:t xml:space="preserve">[34] Lewis, C., &amp; Young, S. (2019). Fad or future? Automated analysis of financial text and its implications for corporate reporting. Accounting and Business Research, 49(5), 587-615.</w:t>
      </w:r>
    </w:p>
    <w:p>
      <w:pPr>
        <w:pStyle w:val="References"/>
      </w:pPr>
      <w:r>
        <w:t xml:space="preserve">[35] Fisher, I. E., Garnsey, M. R., &amp; Hughes, M. E. (2016). Natural language processing in accounting, auditing and finance. Intelligent Systems in Accounting, Finance and Management, 23(3), 157-214.</w:t>
      </w:r>
    </w:p>
    <w:p>
      <w:pPr>
        <w:pStyle w:val="References"/>
      </w:pPr>
      <w:r>
        <w:t xml:space="preserve">[36] Loughran, T., &amp; McDonald, B. (2020). Textual analysis in finance. Annual Review of Financial Economics, 12, 357-375.</w:t>
      </w:r>
    </w:p>
    <w:p>
      <w:pPr>
        <w:pStyle w:val="References"/>
      </w:pPr>
      <w:r>
        <w:t xml:space="preserve">[37] Kang, Y., Cai, Z., Tan, C. W., Huang, Q., &amp; Liu, H. (2020). Natural language processing in finance: A survey. International Journal of Data Science and Analytics, 10, 1-25.</w:t>
      </w:r>
    </w:p>
    <w:p>
      <w:pPr>
        <w:pStyle w:val="References"/>
      </w:pPr>
      <w:r>
        <w:t xml:space="preserve">[38] Sautner, Z., van Lent, L., Vilkov, G., &amp; Zhang, R. (2023). Firm-level climate change exposure. The Journal of Finance, 78(3), 1449-1498.</w:t>
      </w:r>
    </w:p>
    <w:p>
      <w:pPr>
        <w:pStyle w:val="References"/>
      </w:pPr>
      <w:r>
        <w:t xml:space="preserve">[39] Bolton, P., &amp; Kacperczyk, M. (2021). Do investors care about carbon risk? Journal of Financial Economics, 142(2), 517-549.</w:t>
      </w:r>
    </w:p>
    <w:p>
      <w:pPr>
        <w:pStyle w:val="References"/>
      </w:pPr>
      <w:r>
        <w:t xml:space="preserve">[40] Serafeim, G., &amp; Yoon, A. (2023). Which corporate ESG news does the market react to? Financial Analysts Journal, 78(1), 59-78.</w:t>
      </w:r>
    </w:p>
    <w:p>
      <w:pPr>
        <w:pStyle w:val="References"/>
      </w:pPr>
      <w:r>
        <w:t xml:space="preserve">[41] Goldstein, I., Spatt, C. S., &amp; Ye, M. (2021). Big data in finance. The Review of Financial Studies, 34(7), 3213-3225.</w:t>
      </w:r>
    </w:p>
    <w:p>
      <w:pPr>
        <w:pStyle w:val="References"/>
      </w:pPr>
      <w:r>
        <w:t xml:space="preserve">[42] Dwivedi, Y. K., Hughes, L., Ismagilova, E., et al. (2021). Artificial intelligence: Multidisciplinary perspectives on emerging challenges, opportunities, and agenda for research, practice and policy. International Journal of Information Management, 57, 101994.</w:t>
      </w:r>
    </w:p>
    <w:p>
      <w:pPr>
        <w:pStyle w:val="References"/>
      </w:pPr>
      <w:r>
        <w:t xml:space="preserve">[43] Truby, J. (2020). Governing artificial intelligence to benefit the UN Sustainable Development Goals. Sustainable Development, 28(4), 946-959.</w:t>
      </w:r>
    </w:p>
    <w:p>
      <w:pPr>
        <w:pStyle w:val="Normal"/>
      </w:pPr>
      <w:r>
        <w:rPr>
          <w:b/>
        </w:rPr>
        <w:t xml:space="preserve">Note:</w:t>
      </w:r>
      <w:r>
        <w:t xml:space="preserve"> All figures are provided as embedded PNG images. Figures and tables are cited within the main text.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120" w:after="4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200" w:after="60"/>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s>
</file>