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xmlns:w="http://schemas.openxmlformats.org/wordprocessingml/2006/main">
      <w:pPr>
        <w:pStyle w:val="Title"/>
      </w:pPr>
      <w:r>
        <w:rPr>
          <w:b/>
        </w:rPr>
        <w:t xml:space="preserve">Cultivating Tomorrow: Agricultural Tourism and Regenerative Landscapes &amp; Bio-Integrated Urban Tourism</w:t>
      </w:r>
    </w:p>
    <w:p>
      <w:pPr>
        <w:jc w:val="center"/>
      </w:pPr>
      <w:r>
        <w:rPr>
          <w:i/>
          <w:sz w:val="28"/>
        </w:rPr>
        <w:t>A Comprehensive Guide to Sustainable Rural and Urban Development</w:t>
      </w:r>
    </w:p>
    <w:p>
      <w:pPr>
        <w:spacing w:after="0"/>
      </w:pPr>
    </w:p>
    <w:p xmlns:w="http://schemas.openxmlformats.org/wordprocessingml/2006/main">
      <w:pPr>
        <w:pStyle w:val="Heading1"/>
      </w:pPr>
      <w:r>
        <w:rPr>
          <w:b/>
        </w:rPr>
        <w:t xml:space="preserve">Abstract</w:t>
      </w:r>
    </w:p>
    <w:p xmlns:w="http://schemas.openxmlformats.org/wordprocessingml/2006/main">
      <w:r>
        <w:t xml:space="preserve">This comprehensive work explores two interconnected paradigms that are reshaping our understanding of sustainable development: agricultural tourism integrated with regenerative farming practices, and bio-integrated urban tourism designed around green infrastructure. The first part examines how combining agritourism with regenerative agriculture creates a new model for rural development that is ecologically restorative, economically viable, and culturally enriching. It argues that farms practicing regenerative principles offer uniquely compelling visitor experiences that simultaneously generate economic returns and build public advocacy for land stewardship. The second part presents a visionary framework for urban tourism, arguing that cities must evolve from concrete jungles into living, breathing ecosystems through the integration of green infrastructure and computational design. Urban tourism, under this paradigm, becomes a force for ecological restoration rather than environmental degradation. Together, these chapters provide theoretical frameworks, practical case studies, and actionable strategies for building more sustainable and resilient futures for both rural and urban landscapes. Drawing on evidence from multiple continents and diverse operational scales, this work serves as an essential resource for farmers, tourism operators, urban planners, architects, policymakers, students, and community leaders seeking to create environments where economic prosperity and ecological health are mutually reinforcing rather than competing objectives. The interdisciplinary approach bridges agricultural science, ecology, tourism studies, urban planning, and community development to offer a holistic perspective on transformative change.</w:t>
      </w:r>
    </w:p>
    <w:p xmlns:w="http://schemas.openxmlformats.org/wordprocessingml/2006/main">
      <w:r>
        <w:t xml:space="preserve">Keywords: Regenerative agriculture, agritourism, green infrastructure, bio-integrated design, ecosystem services, sustainable tourism, rural development, urban ecology, computational design, community resilience</w:t>
      </w:r>
    </w:p>
    <w:p>
      <w:pPr>
        <w:spacing w:after="0"/>
      </w:pPr>
    </w:p>
    <w:p xmlns:w="http://schemas.openxmlformats.org/wordprocessingml/2006/main">
      <w:pPr>
        <w:pStyle w:val="Heading1"/>
      </w:pPr>
      <w:r>
        <w:rPr>
          <w:b/>
        </w:rPr>
        <w:t xml:space="preserve">Chapter 1: The Roots of Resilience: An Introduction to Regenerative Agriculture and Agritourism</w:t>
      </w:r>
    </w:p>
    <w:p xmlns:w="http://schemas.openxmlformats.org/wordprocessingml/2006/main">
      <w:pPr>
        <w:pStyle w:val="Heading2"/>
      </w:pPr>
      <w:r>
        <w:rPr>
          <w:b/>
        </w:rPr>
        <w:t xml:space="preserve">1.1 Defining the Terrain: What is Regenerative Agriculture?</w:t>
      </w:r>
    </w:p>
    <w:p xmlns:w="http://schemas.openxmlformats.org/wordprocessingml/2006/main">
      <w:r>
        <w:t xml:space="preserve">Regenerative agriculture represents a paradigm shift in how we conceptualize the relationship between farming and ecological systems. Unlike conventional agriculture, which often depletes soil organic matter, reduces biodiversity, and contributes to water cycle disruption, regenerative agriculture actively seeks to restore and revitalize the ecosystems upon which food production depends [1]. The term encompasses a holistic approach to land management that goes beyond the principle of sustainability, which merely aims to maintain existing conditions, toward a philosophy of active restoration and improvement [2]. This distinction is crucial: while sustainable agriculture aims to do less harm, regenerative agriculture commits to doing active good, rebuilding the natural capital that decades of industrial farming have eroded.</w:t>
      </w:r>
    </w:p>
    <w:p xmlns:w="http://schemas.openxmlformats.org/wordprocessingml/2006/main">
      <w:r>
        <w:t xml:space="preserve">At its core, regenerative agriculture is built upon several interconnected principles that work synergistically to restore ecosystem function. First, soil health management forms the foundation, incorporating practices such as no-till or minimal tillage farming, which preserves soil structure and the complex web of microbial life that supports plant nutrition [3]. The soil microbiome, comprising billions of bacteria, fungi, protozoa, and other organisms per gram of healthy soil, represents the biological engine that drives nutrient cycling, disease suppression, and plant health. Cover cropping, the practice of growing non-cash crops to protect and enrich the soil between harvest seasons, is another essential component that maintains living root systems in the soil year-round. Composting and the application of organic amendments return nutrients to the soil while building organic matter, which improves water retention and carbon sequestration [4]. These practices collectively work to rebuild topsoil, a resource that conventional farming has depleted at alarming rates globally, with some estimates suggesting that current agricultural practices destroy topsoil at rates ten to forty times faster than natural processes can replenish it.</w:t>
      </w:r>
    </w:p>
    <w:p xmlns:w="http://schemas.openxmlformats.org/wordprocessingml/2006/main">
      <w:r>
        <w:t xml:space="preserve">Biodiversity enhancement represents the second major pillar of regenerative agriculture and is intrinsically linked to system resilience. Rather than monocultures that are vulnerable to pest outbreaks and disease, regenerative systems encourage polycultures, agroforestry, and the integration of livestock with crop production [5]. This diversity creates resilient ecosystems that can self-regulate many of the challenges that conventional farms address through chemical inputs. The concept of functional biodiversity recognizes that each species within an agricultural ecosystem performs multiple roles, from pest predation to pollination to nutrient cycling, and that the loss of any component weakens the whole system. Holistic planned grazing, where livestock are moved frequently to mimic the patterns of wild herbivores, has demonstrated remarkable capacity to restore degraded grasslands and sequester atmospheric carbon [6]. The animal impact, when properly managed, stimulates plant growth, breaks soil crusts, and distributes organic matter in ways that no mechanical process can replicate.</w:t>
      </w:r>
    </w:p>
    <w:p xmlns:w="http://schemas.openxmlformats.org/wordprocessingml/2006/main">
      <w:r>
        <w:t xml:space="preserve">Water cycle restoration constitutes the third critical element of regenerative systems. Through improved soil structure and increased organic matter content, regenerative farms dramatically improve water infiltration, reducing runoff and the associated problems of erosion and downstream flooding [7]. Each one percent increase in soil organic matter enables the soil to hold approximately 20,000 additional gallons of water per acre, creating enormous buffering capacity against both drought and flood conditions. The urgency of transitioning to regenerative models cannot be overstated. With approximately one-third of global arable land degraded and topsoil being lost at rates far exceeding natural replenishment, the conventional agricultural model threatens the very foundation of food security [8]. Climate change amplifies these threats, with increasing temperatures, altered precipitation patterns, and more frequent extreme weather events placing unprecedented stress on agricultural systems worldwide. As illustrated in Table 1, the comparative benefits of regenerative approaches across multiple dimensions demonstrate their superiority as a long-term land management strategy.</w:t>
      </w:r>
    </w:p>
    <w:p xmlns:w="http://schemas.openxmlformats.org/wordprocessingml/2006/main">
      <w:pPr>
        <w:pStyle w:val="Caption"/>
      </w:pPr>
      <w:r>
        <w:rPr>
          <w:b/>
          <w:i/>
        </w:rPr>
        <w:t xml:space="preserve">Table 1: Comparative Analysis of Agricultural Approaches Across Key Sustainability Indicators</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r>
        <w:tc>
          <w:tcPr>
            <w:shd w:val="clear" w:color="auto" w:fill="2C3E50"/>
          </w:tcPr>
          <w:p>
            <w:pPr>
              <w:jc w:val="center"/>
            </w:pPr>
            <w:r>
              <w:rPr>
                <w:b/>
                <w:color w:val="FFFFFF"/>
                <w:sz w:val="20"/>
              </w:rPr>
              <w:t>Indicator</w:t>
            </w:r>
          </w:p>
        </w:tc>
        <w:tc>
          <w:tcPr>
            <w:shd w:val="clear" w:color="auto" w:fill="2C3E50"/>
          </w:tcPr>
          <w:p>
            <w:pPr>
              <w:jc w:val="center"/>
            </w:pPr>
            <w:r>
              <w:rPr>
                <w:b/>
                <w:color w:val="FFFFFF"/>
                <w:sz w:val="20"/>
              </w:rPr>
              <w:t>Conventional</w:t>
            </w:r>
          </w:p>
        </w:tc>
        <w:tc>
          <w:tcPr>
            <w:shd w:val="clear" w:color="auto" w:fill="2C3E50"/>
          </w:tcPr>
          <w:p>
            <w:pPr>
              <w:jc w:val="center"/>
            </w:pPr>
            <w:r>
              <w:rPr>
                <w:b/>
                <w:color w:val="FFFFFF"/>
                <w:sz w:val="20"/>
              </w:rPr>
              <w:t>Organic</w:t>
            </w:r>
          </w:p>
        </w:tc>
        <w:tc>
          <w:tcPr>
            <w:shd w:val="clear" w:color="auto" w:fill="2C3E50"/>
          </w:tcPr>
          <w:p>
            <w:pPr>
              <w:jc w:val="center"/>
            </w:pPr>
            <w:r>
              <w:rPr>
                <w:b/>
                <w:color w:val="FFFFFF"/>
                <w:sz w:val="20"/>
              </w:rPr>
              <w:t>Regenerative</w:t>
            </w:r>
          </w:p>
        </w:tc>
        <w:tc>
          <w:tcPr>
            <w:shd w:val="clear" w:color="auto" w:fill="2C3E50"/>
          </w:tcPr>
          <w:p>
            <w:pPr>
              <w:jc w:val="center"/>
            </w:pPr>
            <w:r>
              <w:rPr>
                <w:b/>
                <w:color w:val="FFFFFF"/>
                <w:sz w:val="20"/>
              </w:rPr>
              <w:t>Assessment Period</w:t>
            </w:r>
          </w:p>
        </w:tc>
      </w:tr>
      <w:tr>
        <w:tc>
          <w:p>
            <w:pPr>
              <w:jc w:val="center"/>
            </w:pPr>
            <w:r>
              <w:rPr>
                <w:sz w:val="20"/>
              </w:rPr>
              <w:t>Soil Organic Carbon (%)</w:t>
            </w:r>
          </w:p>
        </w:tc>
        <w:tc>
          <w:p>
            <w:pPr>
              <w:jc w:val="center"/>
            </w:pPr>
            <w:r>
              <w:rPr>
                <w:sz w:val="20"/>
              </w:rPr>
              <w:t>1.2-2.0</w:t>
            </w:r>
          </w:p>
        </w:tc>
        <w:tc>
          <w:p>
            <w:pPr>
              <w:jc w:val="center"/>
            </w:pPr>
            <w:r>
              <w:rPr>
                <w:sz w:val="20"/>
              </w:rPr>
              <w:t>2.0-3.5</w:t>
            </w:r>
          </w:p>
        </w:tc>
        <w:tc>
          <w:p>
            <w:pPr>
              <w:jc w:val="center"/>
            </w:pPr>
            <w:r>
              <w:rPr>
                <w:sz w:val="20"/>
              </w:rPr>
              <w:t>3.5-6.0+</w:t>
            </w:r>
          </w:p>
        </w:tc>
        <w:tc>
          <w:p>
            <w:pPr>
              <w:jc w:val="center"/>
            </w:pPr>
            <w:r>
              <w:rPr>
                <w:sz w:val="20"/>
              </w:rPr>
              <w:t>5-10 years</w:t>
            </w:r>
          </w:p>
        </w:tc>
      </w:tr>
      <w:tr>
        <w:tc>
          <w:p>
            <w:pPr>
              <w:jc w:val="center"/>
            </w:pPr>
            <w:r>
              <w:rPr>
                <w:sz w:val="20"/>
              </w:rPr>
              <w:t>Biodiversity Index</w:t>
            </w:r>
          </w:p>
        </w:tc>
        <w:tc>
          <w:p>
            <w:pPr>
              <w:jc w:val="center"/>
            </w:pPr>
            <w:r>
              <w:rPr>
                <w:sz w:val="20"/>
              </w:rPr>
              <w:t>Low (0.3-0.4)</w:t>
            </w:r>
          </w:p>
        </w:tc>
        <w:tc>
          <w:p>
            <w:pPr>
              <w:jc w:val="center"/>
            </w:pPr>
            <w:r>
              <w:rPr>
                <w:sz w:val="20"/>
              </w:rPr>
              <w:t>Medium (0.5-0.6)</w:t>
            </w:r>
          </w:p>
        </w:tc>
        <w:tc>
          <w:p>
            <w:pPr>
              <w:jc w:val="center"/>
            </w:pPr>
            <w:r>
              <w:rPr>
                <w:sz w:val="20"/>
              </w:rPr>
              <w:t>High (0.7-0.9)</w:t>
            </w:r>
          </w:p>
        </w:tc>
        <w:tc>
          <w:p>
            <w:pPr>
              <w:jc w:val="center"/>
            </w:pPr>
            <w:r>
              <w:rPr>
                <w:sz w:val="20"/>
              </w:rPr>
              <w:t>3-7 years</w:t>
            </w:r>
          </w:p>
        </w:tc>
      </w:tr>
      <w:tr>
        <w:tc>
          <w:p>
            <w:pPr>
              <w:jc w:val="center"/>
            </w:pPr>
            <w:r>
              <w:rPr>
                <w:sz w:val="20"/>
              </w:rPr>
              <w:t>Water Infiltration (mm/hr)</w:t>
            </w:r>
          </w:p>
        </w:tc>
        <w:tc>
          <w:p>
            <w:pPr>
              <w:jc w:val="center"/>
            </w:pPr>
            <w:r>
              <w:rPr>
                <w:sz w:val="20"/>
              </w:rPr>
              <w:t>12-25</w:t>
            </w:r>
          </w:p>
        </w:tc>
        <w:tc>
          <w:p>
            <w:pPr>
              <w:jc w:val="center"/>
            </w:pPr>
            <w:r>
              <w:rPr>
                <w:sz w:val="20"/>
              </w:rPr>
              <w:t>25-50</w:t>
            </w:r>
          </w:p>
        </w:tc>
        <w:tc>
          <w:p>
            <w:pPr>
              <w:jc w:val="center"/>
            </w:pPr>
            <w:r>
              <w:rPr>
                <w:sz w:val="20"/>
              </w:rPr>
              <w:t>50-120</w:t>
            </w:r>
          </w:p>
        </w:tc>
        <w:tc>
          <w:p>
            <w:pPr>
              <w:jc w:val="center"/>
            </w:pPr>
            <w:r>
              <w:rPr>
                <w:sz w:val="20"/>
              </w:rPr>
              <w:t>2-5 years</w:t>
            </w:r>
          </w:p>
        </w:tc>
      </w:tr>
      <w:tr>
        <w:tc>
          <w:p>
            <w:pPr>
              <w:jc w:val="center"/>
            </w:pPr>
            <w:r>
              <w:rPr>
                <w:sz w:val="20"/>
              </w:rPr>
              <w:t>Input Costs ($/hectare)</w:t>
            </w:r>
          </w:p>
        </w:tc>
        <w:tc>
          <w:p>
            <w:pPr>
              <w:jc w:val="center"/>
            </w:pPr>
            <w:r>
              <w:rPr>
                <w:sz w:val="20"/>
              </w:rPr>
              <w:t>800-1200</w:t>
            </w:r>
          </w:p>
        </w:tc>
        <w:tc>
          <w:p>
            <w:pPr>
              <w:jc w:val="center"/>
            </w:pPr>
            <w:r>
              <w:rPr>
                <w:sz w:val="20"/>
              </w:rPr>
              <w:t>500-800</w:t>
            </w:r>
          </w:p>
        </w:tc>
        <w:tc>
          <w:p>
            <w:pPr>
              <w:jc w:val="center"/>
            </w:pPr>
            <w:r>
              <w:rPr>
                <w:sz w:val="20"/>
              </w:rPr>
              <w:t>200-500</w:t>
            </w:r>
          </w:p>
        </w:tc>
        <w:tc>
          <w:p>
            <w:pPr>
              <w:jc w:val="center"/>
            </w:pPr>
            <w:r>
              <w:rPr>
                <w:sz w:val="20"/>
              </w:rPr>
              <w:t>Annual</w:t>
            </w:r>
          </w:p>
        </w:tc>
      </w:tr>
      <w:tr>
        <w:tc>
          <w:p>
            <w:pPr>
              <w:jc w:val="center"/>
            </w:pPr>
            <w:r>
              <w:rPr>
                <w:sz w:val="20"/>
              </w:rPr>
              <w:t>Carbon Sequestration (t CO2/ha/yr)</w:t>
            </w:r>
          </w:p>
        </w:tc>
        <w:tc>
          <w:p>
            <w:pPr>
              <w:jc w:val="center"/>
            </w:pPr>
            <w:r>
              <w:rPr>
                <w:sz w:val="20"/>
              </w:rPr>
              <w:t>-0.5 to 0.5</w:t>
            </w:r>
          </w:p>
        </w:tc>
        <w:tc>
          <w:p>
            <w:pPr>
              <w:jc w:val="center"/>
            </w:pPr>
            <w:r>
              <w:rPr>
                <w:sz w:val="20"/>
              </w:rPr>
              <w:t>0.5-2.0</w:t>
            </w:r>
          </w:p>
        </w:tc>
        <w:tc>
          <w:p>
            <w:pPr>
              <w:jc w:val="center"/>
            </w:pPr>
            <w:r>
              <w:rPr>
                <w:sz w:val="20"/>
              </w:rPr>
              <w:t>2.0-8.0</w:t>
            </w:r>
          </w:p>
        </w:tc>
        <w:tc>
          <w:p>
            <w:pPr>
              <w:jc w:val="center"/>
            </w:pPr>
            <w:r>
              <w:rPr>
                <w:sz w:val="20"/>
              </w:rPr>
              <w:t>Annual</w:t>
            </w:r>
          </w:p>
        </w:tc>
      </w:tr>
      <w:tr>
        <w:tc>
          <w:p>
            <w:pPr>
              <w:jc w:val="center"/>
            </w:pPr>
            <w:r>
              <w:rPr>
                <w:sz w:val="20"/>
              </w:rPr>
              <w:t>Ecosystem Service Value ($/ha/yr)</w:t>
            </w:r>
          </w:p>
        </w:tc>
        <w:tc>
          <w:p>
            <w:pPr>
              <w:jc w:val="center"/>
            </w:pPr>
            <w:r>
              <w:rPr>
                <w:sz w:val="20"/>
              </w:rPr>
              <w:t>200-500</w:t>
            </w:r>
          </w:p>
        </w:tc>
        <w:tc>
          <w:p>
            <w:pPr>
              <w:jc w:val="center"/>
            </w:pPr>
            <w:r>
              <w:rPr>
                <w:sz w:val="20"/>
              </w:rPr>
              <w:t>800-1500</w:t>
            </w:r>
          </w:p>
        </w:tc>
        <w:tc>
          <w:p>
            <w:pPr>
              <w:jc w:val="center"/>
            </w:pPr>
            <w:r>
              <w:rPr>
                <w:sz w:val="20"/>
              </w:rPr>
              <w:t>2000-5000</w:t>
            </w:r>
          </w:p>
        </w:tc>
        <w:tc>
          <w:p>
            <w:pPr>
              <w:jc w:val="center"/>
            </w:pPr>
            <w:r>
              <w:rPr>
                <w:sz w:val="20"/>
              </w:rPr>
              <w:t>5-year average</w:t>
            </w:r>
          </w:p>
        </w:tc>
      </w:tr>
    </w:tbl>
    <w:p>
      <w:pPr>
        <w:spacing w:after="200"/>
      </w:pPr>
    </w:p>
    <w:p xmlns:w="http://schemas.openxmlformats.org/wordprocessingml/2006/main">
      <w:r>
        <w:t xml:space="preserve">The data presented in Table 1 clearly demonstrates that regenerative agriculture outperforms both conventional and organic systems across all measured sustainability indicators, particularly in soil organic carbon accumulation and ecosystem service valuation [9]. These improvements typically manifest within the first five to ten years of transition, making the investment timeline reasonable for most farming operations.</w:t>
      </w:r>
    </w:p>
    <w:p xmlns:w="http://schemas.openxmlformats.org/wordprocessingml/2006/main">
      <w:pPr>
        <w:pStyle w:val="Heading2"/>
      </w:pPr>
      <w:r>
        <w:rPr>
          <w:b/>
        </w:rPr>
        <w:t xml:space="preserve">1.2 Opening the Farm Gates: The Evolution of Agricultural Tourism</w:t>
      </w:r>
    </w:p>
    <w:p xmlns:w="http://schemas.openxmlformats.org/wordprocessingml/2006/main">
      <w:r>
        <w:t xml:space="preserve">Agricultural tourism, or agritourism, has evolved dramatically from its humble origins as simple farm stays and pick-your-own operations into a sophisticated, multi-faceted industry that generates billions of dollars annually worldwide [10]. The historical roots of agritourism can be traced to European traditions of rural hospitality, where farming families supplemented their income by hosting travelers seeking respite from urban life. However, the modern agritourism movement began to take shape in the 1970s and 1980s as urbanization accelerated and consumer interest in food provenance grew [11]. This evolution reflects broader societal shifts in values, with increasing numbers of urban dwellers seeking authentic connections to the land, food production, and rural culture that their grandparents took for granted.</w:t>
      </w:r>
    </w:p>
    <w:p xmlns:w="http://schemas.openxmlformats.org/wordprocessingml/2006/main">
      <w:r>
        <w:t xml:space="preserve">Today, agritourism encompasses an extraordinary diversity of experiences that span the spectrum from casual entertainment to deep educational immersion. Farm-to-table dining operations connect consumers directly with the source of their food, creating visceral understanding of seasonality and terroir that no restaurant menu can convey. Educational workshops on everything from cheese-making to beekeeping, from fermentation science to natural dyeing, provide immersive learning opportunities that tap into growing consumer desire for hands-on skill acquisition [12]. Nature trails and wildlife observation areas attract eco-tourists who value biodiversity encounters, while on-farm events ranging from harvest festivals to agricultural conferences to wellness retreats create cultural gathering points for communities. The shift from purely commercial activity to one prioritizing education, cultural preservation, and consumer-producer connection represents one of the most significant transformations in the sector [13]. Farms are increasingly understood not merely as production units but as cultural landscapes worthy of preservation and celebration.</w:t>
      </w:r>
    </w:p>
    <w:p xmlns:w="http://schemas.openxmlformats.org/wordprocessingml/2006/main">
      <w:r>
        <w:t xml:space="preserve">The economic significance of agritourism has grown substantially in recent years, becoming a critical diversification strategy for farms facing commodity price volatility and rising input costs. In the United States alone, agritourism-related income exceeded $1.4 billion in 2022, representing a growth rate of approximately 35% over the previous five years [14]. European markets have shown similar trajectories, with countries like Italy, France, and Austria leading in agritourism development through well-established networks of agriturismi, gites ruraux, and Urlaub am Bauernhof programs respectively. The COVID-19 pandemic paradoxically accelerated this growth, as consumers sought safe, outdoor recreational experiences and developed heightened interest in food security and local food systems [15]. The pandemic revealed the fragility of global supply chains and stimulated demand for direct relationships with local food producers, a trend that shows no sign of reversing. As depicted in Figure 1, the revenue diversification enabled by combining regenerative practices with tourism activities creates a more resilient economic model for farming operations that reduces vulnerability to any single market disruption.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486400" cy="3600000"/>
            <wp:docPr id="1" name="Picture"/>
            <a:graphic>
              <a:graphicData uri="http://schemas.openxmlformats.org/drawingml/2006/picture">
                <pic:pic>
                  <pic:nvPicPr>
                    <pic:cNvPr id="0" name="Picture"/>
                    <pic:cNvPicPr/>
                  </pic:nvPicPr>
                  <pic:blipFill>
                    <a:blip r:embed="rId10"/>
                    <a:stretch>
                      <a:fillRect/>
                    </a:stretch>
                  </pic:blipFill>
                  <pic:spPr>
                    <a:xfrm>
                      <a:off x="0" y="0"/>
                      <a:ext cx="5486400" cy="3600000"/>
                    </a:xfrm>
                    <a:prstGeom prst="rect">
                      <a:avLst/>
                    </a:prstGeom>
                  </pic:spPr>
                </pic:pic>
              </a:graphicData>
            </a:graphic>
          </wp:inline>
        </w:drawing>
      </w:r>
    </w:p>
    <w:p>
      <w:pPr>
        <w:pStyle w:val="Caption"/>
        <w:jc w:val="center"/>
      </w:pPr>
      <w:r>
        <w:rPr>
          <w:i/>
          <w:sz w:val="20"/>
        </w:rPr>
        <w:t xml:space="preserve">Figure 1: Comparative Analysis of Revenue Streams Between Regenerative Agritourism Farms and Conventional Operations (2020-2025). The chart demonstrates the significant revenue diversification advantage of regenerative agritourism models, with multiple income channels reducing economic vulnerability.</w:t>
      </w:r>
    </w:p>
    <w:p xmlns:w="http://schemas.openxmlformats.org/wordprocessingml/2006/main">
      <w:r>
        <w:t xml:space="preserve">The transformation of agritourism from a marginal supplementary income source to a central component of farm viability reflects broader societal changes in how people relate to food and landscape. Urban populations increasingly seek authentic experiences that connect them with natural systems, and farms that can provide these experiences while maintaining genuine agricultural productivity occupy a unique and valuable market position [16]. The integration of digital platforms and social media has further democratized access to agritourism marketing, allowing even small operations to reach global audiences with compelling stories of their land and practices. Instagram, YouTube, and specialized platforms like Airbnb Experiences have created entirely new channels through which farms can attract visitors without the intermediation of traditional tourism operators. This digital transformation has particularly benefited regenerative farms, whose visually rich and story-laden landscapes generate naturally compelling content that performs well across social media algorithms.</w:t>
      </w:r>
    </w:p>
    <w:p xmlns:w="http://schemas.openxmlformats.org/wordprocessingml/2006/main">
      <w:pPr>
        <w:pStyle w:val="Heading2"/>
      </w:pPr>
      <w:r>
        <w:rPr>
          <w:b/>
        </w:rPr>
        <w:t xml:space="preserve">1.3 The Symbiotic Relationship: How Agritourism and Regenerative Farming Complement Each Other</w:t>
      </w:r>
    </w:p>
    <w:p xmlns:w="http://schemas.openxmlformats.org/wordprocessingml/2006/main">
      <w:r>
        <w:t xml:space="preserve">The integration of agritourism and regenerative farming creates a powerful synergy that benefits both domains in ways that neither could achieve independently [17]. Regenerative farms provide visitors with a unique, authentic, and visually compelling landscape that attracts those seeking meaningful experiences beyond conventional tourism. The rich biodiversity, thriving soil ecosystems, diverse plantings, and vibrant wildlife populations of a regenerative farm create a multi-sensory environment that stands in stark contrast to the monoculture landscapes of conventional agriculture [18]. Where a conventional corn field offers little visual interest or ecological engagement, a regenerative farm presents a tapestry of flowering cover crops, diverse pastures, productive hedgerows, and wildlife corridors that captivate visitors and provide endless opportunities for observation and learning.</w:t>
      </w:r>
    </w:p>
    <w:p xmlns:w="http://schemas.openxmlformats.org/wordprocessingml/2006/main">
      <w:r>
        <w:t xml:space="preserve">In return, agritourism offers regenerative farmers several critical advantages that can determine the success or failure of their transition. First, it provides a vital revenue stream that can help offset the initial costs of transitioning from conventional to regenerative practices. This transition period, typically lasting three to five years, often involves reduced yields before the ecological benefits fully manifest in production terms [19]. During this vulnerable period, farms may experience a thirty to fifty percent reduction in cash crop yields as soil biology rebuilds and new systems establish themselves. Tourism income during this period can mean the difference between a successful transition and abandonment of the effort, providing cash flow that bridges the gap between old production systems and new ones. Second, direct-to-consumer sales through farm shops, community-supported agriculture programs, and farm-to-table experiences typically command premium prices of thirty to one hundred percent above commodity rates, as consumers willingly pay more for products they can connect with emotionally and whose provenance they trust [20].</w:t>
      </w:r>
    </w:p>
    <w:p xmlns:w="http://schemas.openxmlformats.org/wordprocessingml/2006/main">
      <w:r>
        <w:t xml:space="preserve">Third, and perhaps most importantly from a long-term systems perspective, agritourism builds a community of advocates for regenerative land stewardship. Visitors who experience the beauty and vitality of a regenerative farm become ambassadors for the approach, spreading awareness through their social networks and creating demand for regeneratively produced food in their home communities [21]. This advocacy effect has been documented in multiple studies showing that farm visitors are significantly more likely to purchase regenerative products, support policy initiatives favorable to regenerative agriculture, and make personal lifestyle changes following their visit [22]. The emotional impact of witnessing healthy ecosystems and understanding the contrast with degraded conventional landscapes creates lasting behavioral change that extends far beyond the farm gate. The relationship between visitor engagement levels and subsequent advocacy behavior, as summarized in Figure 1, demonstrates the economic multiplier effect that meaningful farm experiences generate beyond direct tourism revenue. This multiplier effect means that every dollar invested in visitor experience design generates returns not only through immediate tourism revenue but through expanded markets, policy support, and community goodwill that accrue over years and decades.</w:t>
      </w:r>
    </w:p>
    <w:p xmlns:w="http://schemas.openxmlformats.org/wordprocessingml/2006/main">
      <w:pPr>
        <w:pStyle w:val="Heading1"/>
      </w:pPr>
      <w:r>
        <w:rPr>
          <w:b/>
        </w:rPr>
        <w:t xml:space="preserve">Chapter 2: The Living Landscape: Designing and Managing Farms for Regeneration and Engagement</w:t>
      </w:r>
    </w:p>
    <w:p xmlns:w="http://schemas.openxmlformats.org/wordprocessingml/2006/main">
      <w:pPr>
        <w:pStyle w:val="Heading2"/>
      </w:pPr>
      <w:r>
        <w:rPr>
          <w:b/>
        </w:rPr>
        <w:t xml:space="preserve">2.1 Designing for Ecological Function and Visitor Experience</w:t>
      </w:r>
    </w:p>
    <w:p xmlns:w="http://schemas.openxmlformats.org/wordprocessingml/2006/main">
      <w:r>
        <w:t xml:space="preserve">The physical design of a regenerative farm that welcomes visitors requires careful consideration of both ecological function and human experience. The landscape must simultaneously serve as a productive agricultural system, a functioning ecosystem, and an engaging visitor destination [23]. This tripartite objective demands an integrated design approach that draws on principles from agroecology, landscape architecture, and experience design. The challenge is substantial: agricultural productivity requires efficient work flows and equipment access, ecological function demands habitat connectivity and minimal disturbance, while visitor experience necessitates accessible pathways, viewpoints, and interpretive opportunities. Successful designs resolve these potentially competing demands through creative spatial organization that layers multiple functions within the same landscape.</w:t>
      </w:r>
    </w:p>
    <w:p xmlns:w="http://schemas.openxmlformats.org/wordprocessingml/2006/main">
      <w:r>
        <w:t xml:space="preserve">Landscape design strategies that enhance biodiversity while creating visual appeal include the establishment of hedgerow corridors that connect habitat patches and simultaneously guide visitor movement through the farm landscape. These living boundaries serve as windbreaks, wildlife corridors, pollinator resources, and wayfinding elements that create a sense of journey and discovery for visitors [24]. The creation of water features such as constructed wetlands, retention ponds, and swales manages runoff while providing aesthetic focal points and wildlife viewing opportunities. The integration of flowering perennial systems that support pollinators while providing seasonal color and interest creates landscapes that change throughout the year, encouraging repeat visits. Keyline design, a water harvesting and distribution technique developed in Australia, can be implemented in ways that create visually striking landscape patterns while dramatically improving water availability and reducing erosion across the farm.</w:t>
      </w:r>
    </w:p>
    <w:p xmlns:w="http://schemas.openxmlformats.org/wordprocessingml/2006/main">
      <w:r>
        <w:t xml:space="preserve">Practical visitor infrastructure must be designed to provide access to fascinating regenerative processes without disrupting them. Elevated walkways over intensive grazing areas allow visitors to observe mob grazing without disturbing livestock behavior or compacting sensitive soils [25]. Glass-sided composting facilities reveal the remarkable transformation of organic waste into living soil, making visible a process that is typically hidden from public view. Interpretive signage at key points helps visitors understand what they are observing and why it matters for broader ecological health. The design challenge is to create what might be termed a productive landscape theater, where ecological processes are made visible, comprehensible, and emotionally engaging without compromising their function or integrity.</w:t>
      </w:r>
    </w:p>
    <w:p xmlns:w="http://schemas.openxmlformats.org/wordprocessingml/2006/main">
      <w:r>
        <w:t xml:space="preserve">The integration of technology into farm design offers additional opportunities for visitor engagement while simultaneously supporting farm management objectives. Soil moisture sensors can feed real-time data to digital displays, allowing visitors to witness the superior water-holding capacity of regenerative soils compared to conventional fields [26]. Weather stations connected to interpretive applications can demonstrate how regenerative practices influence microclimate conditions, showing reduced temperature extremes and improved humidity levels within diverse plantings. Trail cameras positioned at wildlife corridors capture footage of the biodiversity that healthy farm ecosystems support, providing content for both on-site interpretation and digital marketing. These technological integrations serve the dual purpose of farm management optimization and visitor education, creating efficiency by using a single investment to serve multiple objectives, as detailed in Table 2 which outlines the key design elements and their functional contributions across ecological, experiential, and economic dimensions.</w:t>
      </w:r>
    </w:p>
    <w:p xmlns:w="http://schemas.openxmlformats.org/wordprocessingml/2006/main">
      <w:pPr>
        <w:pStyle w:val="Caption"/>
      </w:pPr>
      <w:r>
        <w:rPr>
          <w:b/>
          <w:i/>
        </w:rPr>
        <w:t xml:space="preserve">Table 2: Integrated Design Elements for Regenerative Agritourism Farms</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r>
        <w:tc>
          <w:tcPr>
            <w:shd w:val="clear" w:color="auto" w:fill="2C3E50"/>
          </w:tcPr>
          <w:p>
            <w:pPr>
              <w:jc w:val="center"/>
            </w:pPr>
            <w:r>
              <w:rPr>
                <w:b/>
                <w:color w:val="FFFFFF"/>
                <w:sz w:val="20"/>
              </w:rPr>
              <w:t>Design Element</w:t>
            </w:r>
          </w:p>
        </w:tc>
        <w:tc>
          <w:tcPr>
            <w:shd w:val="clear" w:color="auto" w:fill="2C3E50"/>
          </w:tcPr>
          <w:p>
            <w:pPr>
              <w:jc w:val="center"/>
            </w:pPr>
            <w:r>
              <w:rPr>
                <w:b/>
                <w:color w:val="FFFFFF"/>
                <w:sz w:val="20"/>
              </w:rPr>
              <w:t>Ecological Function</w:t>
            </w:r>
          </w:p>
        </w:tc>
        <w:tc>
          <w:tcPr>
            <w:shd w:val="clear" w:color="auto" w:fill="2C3E50"/>
          </w:tcPr>
          <w:p>
            <w:pPr>
              <w:jc w:val="center"/>
            </w:pPr>
            <w:r>
              <w:rPr>
                <w:b/>
                <w:color w:val="FFFFFF"/>
                <w:sz w:val="20"/>
              </w:rPr>
              <w:t>Visitor Experience</w:t>
            </w:r>
          </w:p>
        </w:tc>
        <w:tc>
          <w:tcPr>
            <w:shd w:val="clear" w:color="auto" w:fill="2C3E50"/>
          </w:tcPr>
          <w:p>
            <w:pPr>
              <w:jc w:val="center"/>
            </w:pPr>
            <w:r>
              <w:rPr>
                <w:b/>
                <w:color w:val="FFFFFF"/>
                <w:sz w:val="20"/>
              </w:rPr>
              <w:t>Implementation Cost</w:t>
            </w:r>
          </w:p>
        </w:tc>
        <w:tc>
          <w:tcPr>
            <w:shd w:val="clear" w:color="auto" w:fill="2C3E50"/>
          </w:tcPr>
          <w:p>
            <w:pPr>
              <w:jc w:val="center"/>
            </w:pPr>
            <w:r>
              <w:rPr>
                <w:b/>
                <w:color w:val="FFFFFF"/>
                <w:sz w:val="20"/>
              </w:rPr>
              <w:t>ROI Timeline</w:t>
            </w:r>
          </w:p>
        </w:tc>
      </w:tr>
      <w:tr>
        <w:tc>
          <w:p>
            <w:pPr>
              <w:jc w:val="center"/>
            </w:pPr>
            <w:r>
              <w:rPr>
                <w:sz w:val="20"/>
              </w:rPr>
              <w:t>Hedgerow Corridors</w:t>
            </w:r>
          </w:p>
        </w:tc>
        <w:tc>
          <w:p>
            <w:pPr>
              <w:jc w:val="center"/>
            </w:pPr>
            <w:r>
              <w:rPr>
                <w:sz w:val="20"/>
              </w:rPr>
              <w:t>Wildlife habitat connectivity</w:t>
            </w:r>
          </w:p>
        </w:tc>
        <w:tc>
          <w:p>
            <w:pPr>
              <w:jc w:val="center"/>
            </w:pPr>
            <w:r>
              <w:rPr>
                <w:sz w:val="20"/>
              </w:rPr>
              <w:t>Guided walking paths</w:t>
            </w:r>
          </w:p>
        </w:tc>
        <w:tc>
          <w:p>
            <w:pPr>
              <w:jc w:val="center"/>
            </w:pPr>
            <w:r>
              <w:rPr>
                <w:sz w:val="20"/>
              </w:rPr>
              <w:t>Medium ($5-15K/km)</w:t>
            </w:r>
          </w:p>
        </w:tc>
        <w:tc>
          <w:p>
            <w:pPr>
              <w:jc w:val="center"/>
            </w:pPr>
            <w:r>
              <w:rPr>
                <w:sz w:val="20"/>
              </w:rPr>
              <w:t>3-5 years</w:t>
            </w:r>
          </w:p>
        </w:tc>
      </w:tr>
      <w:tr>
        <w:tc>
          <w:p>
            <w:pPr>
              <w:jc w:val="center"/>
            </w:pPr>
            <w:r>
              <w:rPr>
                <w:sz w:val="20"/>
              </w:rPr>
              <w:t>Constructed Wetlands</w:t>
            </w:r>
          </w:p>
        </w:tc>
        <w:tc>
          <w:p>
            <w:pPr>
              <w:jc w:val="center"/>
            </w:pPr>
            <w:r>
              <w:rPr>
                <w:sz w:val="20"/>
              </w:rPr>
              <w:t>Water filtration and storage</w:t>
            </w:r>
          </w:p>
        </w:tc>
        <w:tc>
          <w:p>
            <w:pPr>
              <w:jc w:val="center"/>
            </w:pPr>
            <w:r>
              <w:rPr>
                <w:sz w:val="20"/>
              </w:rPr>
              <w:t>Bird watching areas</w:t>
            </w:r>
          </w:p>
        </w:tc>
        <w:tc>
          <w:p>
            <w:pPr>
              <w:jc w:val="center"/>
            </w:pPr>
            <w:r>
              <w:rPr>
                <w:sz w:val="20"/>
              </w:rPr>
              <w:t>High ($20-50K)</w:t>
            </w:r>
          </w:p>
        </w:tc>
        <w:tc>
          <w:p>
            <w:pPr>
              <w:jc w:val="center"/>
            </w:pPr>
            <w:r>
              <w:rPr>
                <w:sz w:val="20"/>
              </w:rPr>
              <w:t>5-8 years</w:t>
            </w:r>
          </w:p>
        </w:tc>
      </w:tr>
      <w:tr>
        <w:tc>
          <w:p>
            <w:pPr>
              <w:jc w:val="center"/>
            </w:pPr>
            <w:r>
              <w:rPr>
                <w:sz w:val="20"/>
              </w:rPr>
              <w:t>Demonstration Plots</w:t>
            </w:r>
          </w:p>
        </w:tc>
        <w:tc>
          <w:p>
            <w:pPr>
              <w:jc w:val="center"/>
            </w:pPr>
            <w:r>
              <w:rPr>
                <w:sz w:val="20"/>
              </w:rPr>
              <w:t>Soil comparison research</w:t>
            </w:r>
          </w:p>
        </w:tc>
        <w:tc>
          <w:p>
            <w:pPr>
              <w:jc w:val="center"/>
            </w:pPr>
            <w:r>
              <w:rPr>
                <w:sz w:val="20"/>
              </w:rPr>
              <w:t>Educational touchpoints</w:t>
            </w:r>
          </w:p>
        </w:tc>
        <w:tc>
          <w:p>
            <w:pPr>
              <w:jc w:val="center"/>
            </w:pPr>
            <w:r>
              <w:rPr>
                <w:sz w:val="20"/>
              </w:rPr>
              <w:t>Low ($2-5K)</w:t>
            </w:r>
          </w:p>
        </w:tc>
        <w:tc>
          <w:p>
            <w:pPr>
              <w:jc w:val="center"/>
            </w:pPr>
            <w:r>
              <w:rPr>
                <w:sz w:val="20"/>
              </w:rPr>
              <w:t>1-2 years</w:t>
            </w:r>
          </w:p>
        </w:tc>
      </w:tr>
      <w:tr>
        <w:tc>
          <w:p>
            <w:pPr>
              <w:jc w:val="center"/>
            </w:pPr>
            <w:r>
              <w:rPr>
                <w:sz w:val="20"/>
              </w:rPr>
              <w:t>Elevated Walkways</w:t>
            </w:r>
          </w:p>
        </w:tc>
        <w:tc>
          <w:p>
            <w:pPr>
              <w:jc w:val="center"/>
            </w:pPr>
            <w:r>
              <w:rPr>
                <w:sz w:val="20"/>
              </w:rPr>
              <w:t>Minimal ground disturbance</w:t>
            </w:r>
          </w:p>
        </w:tc>
        <w:tc>
          <w:p>
            <w:pPr>
              <w:jc w:val="center"/>
            </w:pPr>
            <w:r>
              <w:rPr>
                <w:sz w:val="20"/>
              </w:rPr>
              <w:t>Panoramic observation</w:t>
            </w:r>
          </w:p>
        </w:tc>
        <w:tc>
          <w:p>
            <w:pPr>
              <w:jc w:val="center"/>
            </w:pPr>
            <w:r>
              <w:rPr>
                <w:sz w:val="20"/>
              </w:rPr>
              <w:t>High ($30-80K)</w:t>
            </w:r>
          </w:p>
        </w:tc>
        <w:tc>
          <w:p>
            <w:pPr>
              <w:jc w:val="center"/>
            </w:pPr>
            <w:r>
              <w:rPr>
                <w:sz w:val="20"/>
              </w:rPr>
              <w:t>4-6 years</w:t>
            </w:r>
          </w:p>
        </w:tc>
      </w:tr>
      <w:tr>
        <w:tc>
          <w:p>
            <w:pPr>
              <w:jc w:val="center"/>
            </w:pPr>
            <w:r>
              <w:rPr>
                <w:sz w:val="20"/>
              </w:rPr>
              <w:t>Sensory Gardens</w:t>
            </w:r>
          </w:p>
        </w:tc>
        <w:tc>
          <w:p>
            <w:pPr>
              <w:jc w:val="center"/>
            </w:pPr>
            <w:r>
              <w:rPr>
                <w:sz w:val="20"/>
              </w:rPr>
              <w:t>Pollinator support</w:t>
            </w:r>
          </w:p>
        </w:tc>
        <w:tc>
          <w:p>
            <w:pPr>
              <w:jc w:val="center"/>
            </w:pPr>
            <w:r>
              <w:rPr>
                <w:sz w:val="20"/>
              </w:rPr>
              <w:t>Immersive experiences</w:t>
            </w:r>
          </w:p>
        </w:tc>
        <w:tc>
          <w:p>
            <w:pPr>
              <w:jc w:val="center"/>
            </w:pPr>
            <w:r>
              <w:rPr>
                <w:sz w:val="20"/>
              </w:rPr>
              <w:t>Low ($3-8K)</w:t>
            </w:r>
          </w:p>
        </w:tc>
        <w:tc>
          <w:p>
            <w:pPr>
              <w:jc w:val="center"/>
            </w:pPr>
            <w:r>
              <w:rPr>
                <w:sz w:val="20"/>
              </w:rPr>
              <w:t>1-3 years</w:t>
            </w:r>
          </w:p>
        </w:tc>
      </w:tr>
      <w:tr>
        <w:tc>
          <w:p>
            <w:pPr>
              <w:jc w:val="center"/>
            </w:pPr>
            <w:r>
              <w:rPr>
                <w:sz w:val="20"/>
              </w:rPr>
              <w:t>Digital Monitoring Stations</w:t>
            </w:r>
          </w:p>
        </w:tc>
        <w:tc>
          <w:p>
            <w:pPr>
              <w:jc w:val="center"/>
            </w:pPr>
            <w:r>
              <w:rPr>
                <w:sz w:val="20"/>
              </w:rPr>
              <w:t>Data-driven management</w:t>
            </w:r>
          </w:p>
        </w:tc>
        <w:tc>
          <w:p>
            <w:pPr>
              <w:jc w:val="center"/>
            </w:pPr>
            <w:r>
              <w:rPr>
                <w:sz w:val="20"/>
              </w:rPr>
              <w:t>Real-time education</w:t>
            </w:r>
          </w:p>
        </w:tc>
        <w:tc>
          <w:p>
            <w:pPr>
              <w:jc w:val="center"/>
            </w:pPr>
            <w:r>
              <w:rPr>
                <w:sz w:val="20"/>
              </w:rPr>
              <w:t>Medium ($10-25K)</w:t>
            </w:r>
          </w:p>
        </w:tc>
        <w:tc>
          <w:p>
            <w:pPr>
              <w:jc w:val="center"/>
            </w:pPr>
            <w:r>
              <w:rPr>
                <w:sz w:val="20"/>
              </w:rPr>
              <w:t>2-4 years</w:t>
            </w:r>
          </w:p>
        </w:tc>
      </w:tr>
    </w:tbl>
    <w:p>
      <w:pPr>
        <w:spacing w:after="200"/>
      </w:pPr>
    </w:p>
    <w:p xmlns:w="http://schemas.openxmlformats.org/wordprocessingml/2006/main">
      <w:r>
        <w:t xml:space="preserve">As Table 2 illustrates, each design element serves multiple functions simultaneously, creating synergies that justify investment through both ecological returns and tourism revenue. The most successful regenerative agritourism operations report that thoughtful design integration reduces long-term management costs while increasing visitor satisfaction scores by 40-60% compared to farms that retrofit tourism onto existing landscapes [27].</w:t>
      </w:r>
    </w:p>
    <w:p xmlns:w="http://schemas.openxmlformats.org/wordprocessingml/2006/main">
      <w:pPr>
        <w:pStyle w:val="Heading2"/>
      </w:pPr>
      <w:r>
        <w:rPr>
          <w:b/>
        </w:rPr>
        <w:t xml:space="preserve">2.2 Cultivating Connection: Hands-On Experiences in a Regenerative Setting</w:t>
      </w:r>
    </w:p>
    <w:p xmlns:w="http://schemas.openxmlformats.org/wordprocessingml/2006/main">
      <w:r>
        <w:t xml:space="preserve">The experiential component of regenerative agritourism represents its most transformative potential and its strongest competitive advantage over conventional tourism offerings. Unlike passive observation, hands-on participation in regenerative processes creates emotional connections and embodied understanding that fundamentally shifts how visitors relate to food systems and ecological processes [28]. Research in environmental education consistently demonstrates that experiential learning in natural settings produces deeper, longer-lasting attitude and behavior changes than information-based approaches alone. The design of these experiences requires careful attention to safety, accessibility, educational content, and emotional impact, ensuring that visitors leave not merely informed but genuinely transformed in their relationship with the natural world.</w:t>
      </w:r>
    </w:p>
    <w:p xmlns:w="http://schemas.openxmlformats.org/wordprocessingml/2006/main">
      <w:r>
        <w:t xml:space="preserve">Soil health workshops represent one of the most powerful experiential offerings available to regenerative farms. Participants can learn to assess soil texture by feel, observe soil biology through portable microscopes that reveal the teeming life invisible to the naked eye, and conduct infiltration tests that dramatically illustrate the difference between healthy and degraded soils. The visceral experience of holding living, fungal-rich soil, noting its sweet earthy aroma produced by actinomycetes, and comparing it to compacted, lifeless conventional soil creates understanding that no textbook or lecture can achieve [29]. These workshops can be scaled from half-hour introductions suitable for casual visitors to multi-day intensive programs for aspiring regenerative farmers, with pricing structures that reflect the depth of engagement and the expertise being shared.</w:t>
      </w:r>
    </w:p>
    <w:p xmlns:w="http://schemas.openxmlformats.org/wordprocessingml/2006/main">
      <w:r>
        <w:t xml:space="preserve">Planting and harvesting days invite visitors to participate directly in the productive cycle of the farm, creating connections that extend across seasons and years. Spring tree-planting events, where participants help establish agroforestry systems, create personal connections to the landscape that encourage return visits over subsequent years as visitors watch their trees grow and begin producing [30]. Cover crop broadcasting in autumn provides opportunities to explain nutrient cycling and soil protection while giving visitors the satisfying physical experience of seeding the earth. Harvest festivals celebrating the abundance of polyculture systems allow visitors to experience the diversity and nutrient density of regeneratively grown produce, often alongside preparation and consumption of meals that complete the seed-to-plate narrative. These activities generate both meaningful labor contributions to the farm operation and emotional investment in the farm landscape that translates to long-term customer loyalty and advocacy.</w:t>
      </w:r>
    </w:p>
    <w:p xmlns:w="http://schemas.openxmlformats.org/wordprocessingml/2006/main">
      <w:r>
        <w:t xml:space="preserve">Ecological monitoring activities tap into the growing citizen science movement, positioning visitors as contributors to genuine research rather than mere spectators. Bird counts conducted at dawn, insect identification surveys in wildflower meadows, and soil organism assessments using standardized protocols generate valuable data for tracking biodiversity trends while providing educational content that deepens understanding of ecological complexity [31]. Partnerships with universities and research institutions can validate these citizen science contributions, adding scientific credibility to the visitor experience and generating publications that enhance the farm reputation. Farm-to-table culinary experiences complete the cycle, connecting the ecological processes visitors have observed and participated in to the food they consume, creating a holistic understanding of the journey from healthy soil to nutritious food that challenges industrial food system assumptions. The ecosystem services generated through these integrated approaches are tracked over time as shown in Figure 2, demonstrating the compounding value of regenerative management across carbon, biodiversity, and water quality dimensions.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486400" cy="3600000"/>
            <wp:docPr id="1" name="Picture"/>
            <a:graphic>
              <a:graphicData uri="http://schemas.openxmlformats.org/drawingml/2006/picture">
                <pic:pic>
                  <pic:nvPicPr>
                    <pic:cNvPr id="0" name="Picture"/>
                    <pic:cNvPicPr/>
                  </pic:nvPicPr>
                  <pic:blipFill>
                    <a:blip r:embed="rId11"/>
                    <a:stretch>
                      <a:fillRect/>
                    </a:stretch>
                  </pic:blipFill>
                  <pic:spPr>
                    <a:xfrm>
                      <a:off x="0" y="0"/>
                      <a:ext cx="5486400" cy="3600000"/>
                    </a:xfrm>
                    <a:prstGeom prst="rect">
                      <a:avLst/>
                    </a:prstGeom>
                  </pic:spPr>
                </pic:pic>
              </a:graphicData>
            </a:graphic>
          </wp:inline>
        </w:drawing>
      </w:r>
    </w:p>
    <w:p>
      <w:pPr>
        <w:pStyle w:val="Caption"/>
        <w:jc w:val="center"/>
      </w:pPr>
      <w:r>
        <w:rPr>
          <w:i/>
          <w:sz w:val="20"/>
        </w:rPr>
        <w:t xml:space="preserve">Figure 2: Temporal Trends in Ecosystem Services Valuation for Regenerative Farms with Integrated Tourism Programs (2020-2026). Green line represents carbon sequestration value, blue represents biodiversity credits, and orange represents water quality improvements. All services show accelerating returns after initial establishment period.</w:t>
      </w:r>
    </w:p>
    <w:p xmlns:w="http://schemas.openxmlformats.org/wordprocessingml/2006/main">
      <w:pPr>
        <w:pStyle w:val="Heading2"/>
      </w:pPr>
      <w:r>
        <w:rPr>
          <w:b/>
        </w:rPr>
        <w:t xml:space="preserve">2.3 Marketing the Message: Storytelling for a Regenerative Brand</w:t>
      </w:r>
    </w:p>
    <w:p xmlns:w="http://schemas.openxmlformats.org/wordprocessingml/2006/main">
      <w:r>
        <w:t xml:space="preserve">Marketing a regenerative farm requires a narrative approach fundamentally different from conventional agricultural marketing, which typically emphasizes product features, price points, and convenience. The regenerative brand story must communicate ecological mission, ethical values, and authentic connection to place in ways that resonate with increasingly discerning eco-conscious consumers who are motivated by purpose and meaning rather than mere consumption [32]. Transparency and authenticity are non-negotiable foundations of this brand narrative, as the target audience is typically well-informed, digitally literate, and deeply skeptical of greenwashing or superficial environmental claims. The brand must convey not just what the farm produces but why it exists and how its practices contribute to broader ecological and social healing.</w:t>
      </w:r>
    </w:p>
    <w:p xmlns:w="http://schemas.openxmlformats.org/wordprocessingml/2006/main">
      <w:r>
        <w:t xml:space="preserve">Digital marketing strategies for regenerative agritourism must leverage the inherent visual richness of regenerative landscapes to tell compelling stories across multiple platforms. Time-lapse videos showing seasonal transformations from dormant winter landscapes through spring explosion into summer abundance, drone footage revealing landscape-scale design patterns invisible from ground level, and close-up photography of soil life and biodiversity all provide compelling content for social media platforms [33]. The story of the land, told through regular updates showing both successes and challenges, triumphs and setbacks, builds authentic relationships with potential visitors long before they arrive at the farm gate. Instagram and YouTube have proven particularly effective platforms for regenerative farm storytelling, with successful operations building followings of tens of thousands of engaged potential visitors who feel personal connection to the landscape and its stewards. Podcast appearances, blog partnerships with food and sustainability writers, and collaborations with documentary filmmakers extend reach into audiences that may not actively seek agricultural content but respond to compelling environmental narratives.</w:t>
      </w:r>
    </w:p>
    <w:p xmlns:w="http://schemas.openxmlformats.org/wordprocessingml/2006/main">
      <w:r>
        <w:t xml:space="preserve">The pricing strategy for regenerative agritourism experiences must reflect both the premium quality of the offering and the genuine costs of maintaining ecological integrity while hosting visitors. Research consistently demonstrates that visitors to regenerative farms are willing to pay 30-50% premiums over conventional agritourism experiences when the regenerative story is effectively communicated and the experience delivers on its promises of authenticity and depth [34]. This willingness reflects growing consumer awareness of the environmental costs of conventional systems and active desire to direct spending toward alternatives that align with personal values. Strategic partnerships with urban restaurants seeking regenerative sourcing stories, wellness retreats looking for meaningful outdoor programming, and corporate social responsibility programs needing authentic sustainability engagement provide additional channels for premium-positioned experiences that generate high per-visitor revenue while maintaining the exclusive, uncrowded atmosphere that preserves both ecological integrity and visitor satisfaction.</w:t>
      </w:r>
    </w:p>
    <w:p xmlns:w="http://schemas.openxmlformats.org/wordprocessingml/2006/main">
      <w:pPr>
        <w:pStyle w:val="Heading1"/>
      </w:pPr>
      <w:r>
        <w:rPr>
          <w:b/>
        </w:rPr>
        <w:t xml:space="preserve">Chapter 3: The Living City: Foundations of Bio-Integrated Urban Tourism</w:t>
      </w:r>
    </w:p>
    <w:p xmlns:w="http://schemas.openxmlformats.org/wordprocessingml/2006/main">
      <w:pPr>
        <w:pStyle w:val="Heading2"/>
      </w:pPr>
      <w:r>
        <w:rPr>
          <w:b/>
        </w:rPr>
        <w:t xml:space="preserve">3.1 Redefining Urban Tourism: From Consumption to Coexistence</w:t>
      </w:r>
    </w:p>
    <w:p xmlns:w="http://schemas.openxmlformats.org/wordprocessingml/2006/main">
      <w:r>
        <w:t xml:space="preserve">Traditional urban tourism operates predominantly on a model of consumption, where visitors extract cultural and recreational value from cities while contributing to environmental pressures including increased waste generation, transportation emissions, water consumption, and strain on energy infrastructure [35]. This extractive model has reached crisis point in many popular destinations, spawning the phenomenon of overtourism that degrades the very qualities that attracted visitors in the first place, while generating significant resident backlash against tourism development. Cities from Barcelona to Venice to Amsterdam have experienced social movements against uncontrolled tourism growth that damages community character and environmental quality. The bio-integrated approach represents a fundamental reconceptualization of this relationship, positioning tourism as a potential driver for ecological investment rather than environmental degradation, and visitors as contributors to rather than detractors from urban environmental quality.</w:t>
      </w:r>
    </w:p>
    <w:p xmlns:w="http://schemas.openxmlformats.org/wordprocessingml/2006/main">
      <w:r>
        <w:t xml:space="preserve">The bio-integrated urban tourism paradigm proposes that visitor experiences can be designed around living infrastructure, creating attractions that simultaneously deliver ecosystem services, enhance resident quality of life, and provide unique tourism offerings unavailable in conventional urban destinations. Under this model, a green roof becomes both a stormwater management system and a sky garden destination; a constructed wetland serves as both a water treatment facility and a nature observation site; an urban food forest functions simultaneously as community food security infrastructure and an educational tourism attraction [36]. This dual-purpose approach transforms the traditional cost-benefit analysis of green infrastructure by adding tourism revenue to the ecosystem service benefits already documented, creating investment cases that are compelling from multiple perspectives simultaneously and attracting diverse funding sources.</w:t>
      </w:r>
    </w:p>
    <w:p xmlns:w="http://schemas.openxmlformats.org/wordprocessingml/2006/main">
      <w:r>
        <w:t xml:space="preserve">The shift from consumption to coexistence requires reimagining the tourist not as a passive consumer of urban amenities but as an active participant in the urban ecosystem. Visitors might contribute to biodiversity monitoring through citizen science smartphone applications, participate in community garden maintenance during their stay, engage with interpretive trails that explain the ecological functioning of the city infrastructure they encounter, or attend workshops on urban food production techniques applicable to their home environments [37]. This participatory model creates deeper, more meaningful experiences while generating positive environmental and social outcomes. Research demonstrates that participatory tourism experiences generate significantly higher satisfaction scores and willingness to return compared to passive sightseeing, suggesting that the bio-integrated model is not merely environmentally superior but also commercially more successful, as visualized in Figure 3 which shows the distribution of benefits from green infrastructure investments across multiple stakeholder categories.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4572000" cy="3600000"/>
            <wp:docPr id="1" name="Picture"/>
            <a:graphic>
              <a:graphicData uri="http://schemas.openxmlformats.org/drawingml/2006/picture">
                <pic:pic>
                  <pic:nvPicPr>
                    <pic:cNvPr id="0" name="Picture"/>
                    <pic:cNvPicPr/>
                  </pic:nvPicPr>
                  <pic:blipFill>
                    <a:blip r:embed="rId12"/>
                    <a:stretch>
                      <a:fillRect/>
                    </a:stretch>
                  </pic:blipFill>
                  <pic:spPr>
                    <a:xfrm>
                      <a:off x="0" y="0"/>
                      <a:ext cx="4572000" cy="3600000"/>
                    </a:xfrm>
                    <a:prstGeom prst="rect">
                      <a:avLst/>
                    </a:prstGeom>
                  </pic:spPr>
                </pic:pic>
              </a:graphicData>
            </a:graphic>
          </wp:inline>
        </w:drawing>
      </w:r>
    </w:p>
    <w:p>
      <w:pPr>
        <w:pStyle w:val="Caption"/>
        <w:jc w:val="center"/>
      </w:pPr>
      <w:r>
        <w:rPr>
          <w:i/>
          <w:sz w:val="20"/>
        </w:rPr>
        <w:t xml:space="preserve">Figure 3: Distribution of Green Infrastructure Benefits Across Stakeholder Categories in Bio-Integrated Urban Tourism Systems. Ecosystem services (30%) and public health improvements (25%) represent the largest benefit categories, followed by tourism revenue (20%), property value enhancement (15%), and social cohesion (10%).</w:t>
      </w:r>
    </w:p>
    <w:p xmlns:w="http://schemas.openxmlformats.org/wordprocessingml/2006/main">
      <w:pPr>
        <w:pStyle w:val="Heading2"/>
      </w:pPr>
      <w:r>
        <w:rPr>
          <w:b/>
        </w:rPr>
        <w:t xml:space="preserve">3.2 The Principles of Green Infrastructure: A Living Framework for Cities</w:t>
      </w:r>
    </w:p>
    <w:p xmlns:w="http://schemas.openxmlformats.org/wordprocessingml/2006/main">
      <w:r>
        <w:t xml:space="preserve">Green infrastructure encompasses the interconnected network of natural and semi-natural features within urban environments that collectively deliver ecosystem services essential for urban sustainability, resilience, and human wellbeing [38]. Understanding the multifunctional capacity of these elements is fundamental to designing effective bio-integrated tourism systems that serve ecological, social, and economic objectives simultaneously. Each component of green infrastructure serves multiple simultaneous functions, creating efficiency and resilience through redundancy and interconnection that engineered gray infrastructure cannot match.</w:t>
      </w:r>
    </w:p>
    <w:p xmlns:w="http://schemas.openxmlformats.org/wordprocessingml/2006/main">
      <w:r>
        <w:t xml:space="preserve">Green roofs and living walls represent perhaps the most visible and architecturally dramatic manifestation of bio-integrated design, transforming otherwise inert building surfaces into productive ecological zones. Beyond their obvious aesthetic contribution to urban landscapes, these systems provide measurable stormwater management benefits, reducing peak runoff by 50-90% depending on design intensity and substrate depth. They contribute significantly to building energy efficiency by providing natural insulation, reducing cooling demand by up to 25% in summer months through evapotranspiration and shading effects [39]. Their capacity to support biodiversity, particularly pollinator populations, invertebrate communities, and bird species that are otherwise displaced by urbanization, has been extensively documented in recent research across multiple climate zones. From a tourism perspective, accessible green roofs create destination experiences that combine panoramic urban views with intimate garden environments, offering visitors encounters with urban nature that challenge assumptions about the mutual exclusivity of city life and ecological richness.</w:t>
      </w:r>
    </w:p>
    <w:p xmlns:w="http://schemas.openxmlformats.org/wordprocessingml/2006/main">
      <w:r>
        <w:t xml:space="preserve">Urban forests and parks serve as the green lungs of cities, providing carbon sequestration, particulate matter filtration, noise reduction, and critical recreational space for both residents and visitors. Their role in mitigating the urban heat island effect, which can increase city center temperatures by 2-8 degrees Celsius above surrounding rural areas during heat events, makes them essential climate adaptation infrastructure in an era of increasing urban heat stress [40]. Mature urban trees provide cooling equivalent to tens of air conditioning units through evapotranspiration, while simultaneously filtering air pollutants and sequestering carbon. As tourism assets, urban forests offer unique experiences including canopy walks, forest bathing programs based on the Japanese practice of shinrin-yoku, nocturnal wildlife experiences, and guided ecology tours that differentiate cities from their competitors in the increasingly crowded tourism market. Cities that invest strategically in their urban forest canopy consistently rank higher in quality-of-life indices and tourism attractiveness surveys.</w:t>
      </w:r>
    </w:p>
    <w:p xmlns:w="http://schemas.openxmlformats.org/wordprocessingml/2006/main">
      <w:r>
        <w:t xml:space="preserve">Wetlands and bio-swales perform critical water management functions while creating habitat richness and recreational opportunities unavailable in engineered drainage systems. Constructed wetlands can process urban wastewater to tertiary standards while creating biodiversity-rich environments that attract both wildlife and visitors interested in urban ecology. Bio-swales, integrated into streetscapes and public spaces as linear vegetated channels, manage stormwater runoff while creating green corridors and walking routes that enhance neighborhood connectivity and visitor wayfinding [41]. The visual drama of water moving through living systems, plants thriving in aquatic environments, and wildlife colonizing new habitats creates compelling attractions that evolve over time. The integration of these elements into a coherent urban ecosystem is detailed in Figure 3, which illustrates how benefits are distributed across multiple stakeholder groups when green infrastructure is designed with both ecological and tourism objectives informing the design process from inception.</w:t>
      </w:r>
    </w:p>
    <w:p xmlns:w="http://schemas.openxmlformats.org/wordprocessingml/2006/main">
      <w:pPr>
        <w:pStyle w:val="Heading2"/>
      </w:pPr>
      <w:r>
        <w:rPr>
          <w:b/>
        </w:rPr>
        <w:t xml:space="preserve">3.3 The Symbiotic Nexus: Intersecting Tourism, Ecology, and the Urban Built Environment</w:t>
      </w:r>
    </w:p>
    <w:p xmlns:w="http://schemas.openxmlformats.org/wordprocessingml/2006/main">
      <w:r>
        <w:t xml:space="preserve">The nexus between tourism, ecology, and urban built environment creates opportunities for mutual reinforcement that can fundamentally transform city planning priorities, investment decisions, and development outcomes. When green infrastructure is designed with tourism potential in mind from the outset, the economic case for investment strengthens considerably, as tourism revenues supplement the ecosystem service values that are often difficult to monetize through conventional mechanisms [42]. This combined value proposition overcomes one of the primary barriers to green infrastructure investment: the challenge of capturing financial returns from public goods that benefit broadly dispersed populations. Tourism creates a direct revenue mechanism through entrance fees, guided experiences, retail opportunities, and accommodation premiums in green neighborhoods.</w:t>
      </w:r>
    </w:p>
    <w:p xmlns:w="http://schemas.openxmlformats.org/wordprocessingml/2006/main">
      <w:r>
        <w:t xml:space="preserve">Cities that have successfully integrated these three domains demonstrate several common characteristics that can inform emerging practice elsewhere. They adopt long-term planning horizons of twenty to fifty years that allow ecological systems to mature and demonstrate their full value, accepting that living infrastructure requires patience and sustained commitment rather than delivering immediate returns. They create governance structures that bridge traditionally siloed departments of environment, tourism, urban planning, and economic development, recognizing that bio-integrated projects inherently cross departmental boundaries and cannot be managed effectively within any single administrative unit [43]. They invest in public education programs that help residents understand and value the living infrastructure in their city, building constituency support for continued investment and maintenance. These characteristics, summarized in Table 3, provide a practical framework for cities seeking to develop bio-integrated tourism strategies regardless of their current starting point or resource levels.</w:t>
      </w:r>
    </w:p>
    <w:p xmlns:w="http://schemas.openxmlformats.org/wordprocessingml/2006/main">
      <w:pPr>
        <w:pStyle w:val="Caption"/>
      </w:pPr>
      <w:r>
        <w:rPr>
          <w:b/>
          <w:i/>
        </w:rPr>
        <w:t xml:space="preserve">Table 3: Framework for Bio-Integrated Urban Tourism Development</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r>
        <w:tc>
          <w:tcPr>
            <w:shd w:val="clear" w:color="auto" w:fill="2C3E50"/>
          </w:tcPr>
          <w:p>
            <w:pPr>
              <w:jc w:val="center"/>
            </w:pPr>
            <w:r>
              <w:rPr>
                <w:b/>
                <w:color w:val="FFFFFF"/>
                <w:sz w:val="20"/>
              </w:rPr>
              <w:t>Dimension</w:t>
            </w:r>
          </w:p>
        </w:tc>
        <w:tc>
          <w:tcPr>
            <w:shd w:val="clear" w:color="auto" w:fill="2C3E50"/>
          </w:tcPr>
          <w:p>
            <w:pPr>
              <w:jc w:val="center"/>
            </w:pPr>
            <w:r>
              <w:rPr>
                <w:b/>
                <w:color w:val="FFFFFF"/>
                <w:sz w:val="20"/>
              </w:rPr>
              <w:t>Key Actions</w:t>
            </w:r>
          </w:p>
        </w:tc>
        <w:tc>
          <w:tcPr>
            <w:shd w:val="clear" w:color="auto" w:fill="2C3E50"/>
          </w:tcPr>
          <w:p>
            <w:pPr>
              <w:jc w:val="center"/>
            </w:pPr>
            <w:r>
              <w:rPr>
                <w:b/>
                <w:color w:val="FFFFFF"/>
                <w:sz w:val="20"/>
              </w:rPr>
              <w:t>Stakeholders</w:t>
            </w:r>
          </w:p>
        </w:tc>
        <w:tc>
          <w:tcPr>
            <w:shd w:val="clear" w:color="auto" w:fill="2C3E50"/>
          </w:tcPr>
          <w:p>
            <w:pPr>
              <w:jc w:val="center"/>
            </w:pPr>
            <w:r>
              <w:rPr>
                <w:b/>
                <w:color w:val="FFFFFF"/>
                <w:sz w:val="20"/>
              </w:rPr>
              <w:t>Timeline</w:t>
            </w:r>
          </w:p>
        </w:tc>
        <w:tc>
          <w:tcPr>
            <w:shd w:val="clear" w:color="auto" w:fill="2C3E50"/>
          </w:tcPr>
          <w:p>
            <w:pPr>
              <w:jc w:val="center"/>
            </w:pPr>
            <w:r>
              <w:rPr>
                <w:b/>
                <w:color w:val="FFFFFF"/>
                <w:sz w:val="20"/>
              </w:rPr>
              <w:t>Success Metrics</w:t>
            </w:r>
          </w:p>
        </w:tc>
      </w:tr>
      <w:tr>
        <w:tc>
          <w:p>
            <w:pPr>
              <w:jc w:val="center"/>
            </w:pPr>
            <w:r>
              <w:rPr>
                <w:sz w:val="20"/>
              </w:rPr>
              <w:t>Governance</w:t>
            </w:r>
          </w:p>
        </w:tc>
        <w:tc>
          <w:p>
            <w:pPr>
              <w:jc w:val="center"/>
            </w:pPr>
            <w:r>
              <w:rPr>
                <w:sz w:val="20"/>
              </w:rPr>
              <w:t>Cross-departmental coordination</w:t>
            </w:r>
          </w:p>
        </w:tc>
        <w:tc>
          <w:p>
            <w:pPr>
              <w:jc w:val="center"/>
            </w:pPr>
            <w:r>
              <w:rPr>
                <w:sz w:val="20"/>
              </w:rPr>
              <w:t>Municipal agencies</w:t>
            </w:r>
          </w:p>
        </w:tc>
        <w:tc>
          <w:p>
            <w:pPr>
              <w:jc w:val="center"/>
            </w:pPr>
            <w:r>
              <w:rPr>
                <w:sz w:val="20"/>
              </w:rPr>
              <w:t>1-2 years</w:t>
            </w:r>
          </w:p>
        </w:tc>
        <w:tc>
          <w:p>
            <w:pPr>
              <w:jc w:val="center"/>
            </w:pPr>
            <w:r>
              <w:rPr>
                <w:sz w:val="20"/>
              </w:rPr>
              <w:t>Joint planning documents</w:t>
            </w:r>
          </w:p>
        </w:tc>
      </w:tr>
      <w:tr>
        <w:tc>
          <w:p>
            <w:pPr>
              <w:jc w:val="center"/>
            </w:pPr>
            <w:r>
              <w:rPr>
                <w:sz w:val="20"/>
              </w:rPr>
              <w:t>Infrastructure</w:t>
            </w:r>
          </w:p>
        </w:tc>
        <w:tc>
          <w:p>
            <w:pPr>
              <w:jc w:val="center"/>
            </w:pPr>
            <w:r>
              <w:rPr>
                <w:sz w:val="20"/>
              </w:rPr>
              <w:t>GI network design and construction</w:t>
            </w:r>
          </w:p>
        </w:tc>
        <w:tc>
          <w:p>
            <w:pPr>
              <w:jc w:val="center"/>
            </w:pPr>
            <w:r>
              <w:rPr>
                <w:sz w:val="20"/>
              </w:rPr>
              <w:t>Engineers, ecologists</w:t>
            </w:r>
          </w:p>
        </w:tc>
        <w:tc>
          <w:p>
            <w:pPr>
              <w:jc w:val="center"/>
            </w:pPr>
            <w:r>
              <w:rPr>
                <w:sz w:val="20"/>
              </w:rPr>
              <w:t>3-10 years</w:t>
            </w:r>
          </w:p>
        </w:tc>
        <w:tc>
          <w:p>
            <w:pPr>
              <w:jc w:val="center"/>
            </w:pPr>
            <w:r>
              <w:rPr>
                <w:sz w:val="20"/>
              </w:rPr>
              <w:t>Coverage area (ha)</w:t>
            </w:r>
          </w:p>
        </w:tc>
      </w:tr>
      <w:tr>
        <w:tc>
          <w:p>
            <w:pPr>
              <w:jc w:val="center"/>
            </w:pPr>
            <w:r>
              <w:rPr>
                <w:sz w:val="20"/>
              </w:rPr>
              <w:t>Tourism Integration</w:t>
            </w:r>
          </w:p>
        </w:tc>
        <w:tc>
          <w:p>
            <w:pPr>
              <w:jc w:val="center"/>
            </w:pPr>
            <w:r>
              <w:rPr>
                <w:sz w:val="20"/>
              </w:rPr>
              <w:t>Experience design and marketing</w:t>
            </w:r>
          </w:p>
        </w:tc>
        <w:tc>
          <w:p>
            <w:pPr>
              <w:jc w:val="center"/>
            </w:pPr>
            <w:r>
              <w:rPr>
                <w:sz w:val="20"/>
              </w:rPr>
              <w:t>Tourism boards, operators</w:t>
            </w:r>
          </w:p>
        </w:tc>
        <w:tc>
          <w:p>
            <w:pPr>
              <w:jc w:val="center"/>
            </w:pPr>
            <w:r>
              <w:rPr>
                <w:sz w:val="20"/>
              </w:rPr>
              <w:t>2-5 years</w:t>
            </w:r>
          </w:p>
        </w:tc>
        <w:tc>
          <w:p>
            <w:pPr>
              <w:jc w:val="center"/>
            </w:pPr>
            <w:r>
              <w:rPr>
                <w:sz w:val="20"/>
              </w:rPr>
              <w:t>Visitor numbers, satisfaction</w:t>
            </w:r>
          </w:p>
        </w:tc>
      </w:tr>
      <w:tr>
        <w:tc>
          <w:p>
            <w:pPr>
              <w:jc w:val="center"/>
            </w:pPr>
            <w:r>
              <w:rPr>
                <w:sz w:val="20"/>
              </w:rPr>
              <w:t>Community Engagement</w:t>
            </w:r>
          </w:p>
        </w:tc>
        <w:tc>
          <w:p>
            <w:pPr>
              <w:jc w:val="center"/>
            </w:pPr>
            <w:r>
              <w:rPr>
                <w:sz w:val="20"/>
              </w:rPr>
              <w:t>Participatory design processes</w:t>
            </w:r>
          </w:p>
        </w:tc>
        <w:tc>
          <w:p>
            <w:pPr>
              <w:jc w:val="center"/>
            </w:pPr>
            <w:r>
              <w:rPr>
                <w:sz w:val="20"/>
              </w:rPr>
              <w:t>Residents, NGOs</w:t>
            </w:r>
          </w:p>
        </w:tc>
        <w:tc>
          <w:p>
            <w:pPr>
              <w:jc w:val="center"/>
            </w:pPr>
            <w:r>
              <w:rPr>
                <w:sz w:val="20"/>
              </w:rPr>
              <w:t>Ongoing</w:t>
            </w:r>
          </w:p>
        </w:tc>
        <w:tc>
          <w:p>
            <w:pPr>
              <w:jc w:val="center"/>
            </w:pPr>
            <w:r>
              <w:rPr>
                <w:sz w:val="20"/>
              </w:rPr>
              <w:t>Participation rates</w:t>
            </w:r>
          </w:p>
        </w:tc>
      </w:tr>
      <w:tr>
        <w:tc>
          <w:p>
            <w:pPr>
              <w:jc w:val="center"/>
            </w:pPr>
            <w:r>
              <w:rPr>
                <w:sz w:val="20"/>
              </w:rPr>
              <w:t>Monitoring</w:t>
            </w:r>
          </w:p>
        </w:tc>
        <w:tc>
          <w:p>
            <w:pPr>
              <w:jc w:val="center"/>
            </w:pPr>
            <w:r>
              <w:rPr>
                <w:sz w:val="20"/>
              </w:rPr>
              <w:t>Ecological and economic tracking</w:t>
            </w:r>
          </w:p>
        </w:tc>
        <w:tc>
          <w:p>
            <w:pPr>
              <w:jc w:val="center"/>
            </w:pPr>
            <w:r>
              <w:rPr>
                <w:sz w:val="20"/>
              </w:rPr>
              <w:t>Researchers, data teams</w:t>
            </w:r>
          </w:p>
        </w:tc>
        <w:tc>
          <w:p>
            <w:pPr>
              <w:jc w:val="center"/>
            </w:pPr>
            <w:r>
              <w:rPr>
                <w:sz w:val="20"/>
              </w:rPr>
              <w:t>Ongoing</w:t>
            </w:r>
          </w:p>
        </w:tc>
        <w:tc>
          <w:p>
            <w:pPr>
              <w:jc w:val="center"/>
            </w:pPr>
            <w:r>
              <w:rPr>
                <w:sz w:val="20"/>
              </w:rPr>
              <w:t>Service valuation ($/yr)</w:t>
            </w:r>
          </w:p>
        </w:tc>
      </w:tr>
      <w:tr>
        <w:tc>
          <w:p>
            <w:pPr>
              <w:jc w:val="center"/>
            </w:pPr>
            <w:r>
              <w:rPr>
                <w:sz w:val="20"/>
              </w:rPr>
              <w:t>Education</w:t>
            </w:r>
          </w:p>
        </w:tc>
        <w:tc>
          <w:p>
            <w:pPr>
              <w:jc w:val="center"/>
            </w:pPr>
            <w:r>
              <w:rPr>
                <w:sz w:val="20"/>
              </w:rPr>
              <w:t>Interpretive programs and signage</w:t>
            </w:r>
          </w:p>
        </w:tc>
        <w:tc>
          <w:p>
            <w:pPr>
              <w:jc w:val="center"/>
            </w:pPr>
            <w:r>
              <w:rPr>
                <w:sz w:val="20"/>
              </w:rPr>
              <w:t>Educators, designers</w:t>
            </w:r>
          </w:p>
        </w:tc>
        <w:tc>
          <w:p>
            <w:pPr>
              <w:jc w:val="center"/>
            </w:pPr>
            <w:r>
              <w:rPr>
                <w:sz w:val="20"/>
              </w:rPr>
              <w:t>1-3 years</w:t>
            </w:r>
          </w:p>
        </w:tc>
        <w:tc>
          <w:p>
            <w:pPr>
              <w:jc w:val="center"/>
            </w:pPr>
            <w:r>
              <w:rPr>
                <w:sz w:val="20"/>
              </w:rPr>
              <w:t>Awareness surveys</w:t>
            </w:r>
          </w:p>
        </w:tc>
      </w:tr>
    </w:tbl>
    <w:p>
      <w:pPr>
        <w:spacing w:after="200"/>
      </w:pPr>
    </w:p>
    <w:p xmlns:w="http://schemas.openxmlformats.org/wordprocessingml/2006/main">
      <w:r>
        <w:t xml:space="preserve">The framework presented in Table 3 emphasizes the importance of coordinated action across multiple dimensions simultaneously, with each dimension reinforcing the others through positive feedback loops. Cities that attempt to add tourism to existing green infrastructure after the fact consistently achieve weaker outcomes than those that incorporate tourism potential from the initial design phase [36]. When tourism considerations inform plant selection, pathway design, viewing angles, and interpretive opportunities from the beginning, the resulting spaces deliver superior experiences at lower cost than retrofit approaches. This integrated approach requires new forms of professional collaboration that challenge traditional disciplinary boundaries and demand professionals capable of working across ecology, design, hospitality, and community development simultaneously, but the investment in interdisciplinary practice yields significantly superior results in both ecological and economic terms over the infrastructure lifecycle.</w:t>
      </w:r>
    </w:p>
    <w:p xmlns:w="http://schemas.openxmlformats.org/wordprocessingml/2006/main">
      <w:pPr>
        <w:pStyle w:val="Heading1"/>
      </w:pPr>
      <w:r>
        <w:rPr>
          <w:b/>
        </w:rPr>
        <w:t xml:space="preserve">Chapter 4: Forging a Sustainable Future: Challenges, Innovations, and a New Paradigm</w:t>
      </w:r>
    </w:p>
    <w:p xmlns:w="http://schemas.openxmlformats.org/wordprocessingml/2006/main">
      <w:pPr>
        <w:pStyle w:val="Heading2"/>
      </w:pPr>
      <w:r>
        <w:rPr>
          <w:b/>
        </w:rPr>
        <w:t xml:space="preserve">4.1 Computational Design and Ecological Modeling for Adaptive Systems</w:t>
      </w:r>
    </w:p>
    <w:p xmlns:w="http://schemas.openxmlformats.org/wordprocessingml/2006/main">
      <w:r>
        <w:t xml:space="preserve">The complexity of bio-integrated systems, which must simultaneously optimize for ecological function, human experience, and economic return across dynamic temporal scales, demands computational approaches to design and management that transcend what human intuition alone can achieve. Parametric modeling tools enable designers to explore vast solution spaces, testing thousands of design configurations against multiple performance criteria including solar access patterns, wind flow dynamics, water flow distribution, biodiversity potential based on habitat characteristics, and visitor circulation efficiency [38]. Building Information Modeling (BIM) extended to encompass landscape systems allows precise coordination between structural engineering elements and living systems, ensuring that the physical requirements of both are met without conflict and that maintenance access is planned from the outset.</w:t>
      </w:r>
    </w:p>
    <w:p xmlns:w="http://schemas.openxmlformats.org/wordprocessingml/2006/main">
      <w:r>
        <w:t xml:space="preserve">Ecological modeling provides the essential capacity to predict and manage the dynamic living components of bio-integrated tourism landscapes over timeframes spanning decades. Agent-based models can simulate visitor behavior within green infrastructure networks under various scenarios of visitor volume and seasonal variation, identifying potential conflict points between human activity and ecological sensitivity before they manifest as real damage [39]. Species distribution models predict how different design choices regarding substrate depth, plant community composition, and microhabitat features will influence biodiversity outcomes, allowing optimization before costly implementation commits resources to suboptimal configurations. Ecosystem service quantification models provide the economic data necessary to justify ongoing investment in green infrastructure by monetizing benefits such as carbon sequestration, air quality improvement, flood risk reduction, and heat stress mitigation in terms that financial decision-makers can evaluate against alternative investments.</w:t>
      </w:r>
    </w:p>
    <w:p xmlns:w="http://schemas.openxmlformats.org/wordprocessingml/2006/main">
      <w:r>
        <w:t xml:space="preserve">The integration of real-time monitoring data with predictive models creates adaptive management systems that can respond dynamically to changing conditions rather than relying on static management plans that become obsolete as ecosystems mature and climate conditions shift. Sensor networks embedded within green infrastructure provide continuous data streams on soil moisture, air quality, temperature at multiple heights, wind speed, noise levels, and biodiversity indicators including acoustic monitoring of bird and insect activity [40]. Machine learning algorithms process these complex, multivariate data streams to identify trends invisible to human observation, predict maintenance needs before failures occur, and optimize visitor routing to minimize ecological impact while maximizing experience quality during peak demand periods. This integration of ecological intelligence with tourism management represents a frontier of innovation with enormous potential for scaling bio-integrated approaches globally, as quantified in Figure 4 through the sustainability assessment matrix comparing cities at different stages of implementation.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4800000" cy="3600000"/>
            <wp:docPr id="1" name="Picture"/>
            <a:graphic>
              <a:graphicData uri="http://schemas.openxmlformats.org/drawingml/2006/picture">
                <pic:pic>
                  <pic:nvPicPr>
                    <pic:cNvPr id="0" name="Picture"/>
                    <pic:cNvPicPr/>
                  </pic:nvPicPr>
                  <pic:blipFill>
                    <a:blip r:embed="rId13"/>
                    <a:stretch>
                      <a:fillRect/>
                    </a:stretch>
                  </pic:blipFill>
                  <pic:spPr>
                    <a:xfrm>
                      <a:off x="0" y="0"/>
                      <a:ext cx="4800000" cy="3600000"/>
                    </a:xfrm>
                    <a:prstGeom prst="rect">
                      <a:avLst/>
                    </a:prstGeom>
                  </pic:spPr>
                </pic:pic>
              </a:graphicData>
            </a:graphic>
          </wp:inline>
        </w:drawing>
      </w:r>
    </w:p>
    <w:p>
      <w:pPr>
        <w:pStyle w:val="Caption"/>
        <w:jc w:val="center"/>
      </w:pPr>
      <w:r>
        <w:rPr>
          <w:i/>
          <w:sz w:val="20"/>
        </w:rPr>
        <w:t xml:space="preserve">Figure 4: Urban Tourism Sustainability Assessment Matrix Comparing Five Global Cities Across Key Performance Indicators. The heatmap displays relative performance scores (0-100) across dimensions of ecological integrity, visitor satisfaction, economic return, community benefit, and climate resilience. Warmer colors indicate higher performance scores.</w:t>
      </w:r>
    </w:p>
    <w:p xmlns:w="http://schemas.openxmlformats.org/wordprocessingml/2006/main">
      <w:pPr>
        <w:pStyle w:val="Heading2"/>
      </w:pPr>
      <w:r>
        <w:rPr>
          <w:b/>
        </w:rPr>
        <w:t xml:space="preserve">4.2 Case Studies in Successful Integration</w:t>
      </w:r>
    </w:p>
    <w:p xmlns:w="http://schemas.openxmlformats.org/wordprocessingml/2006/main">
      <w:r>
        <w:t xml:space="preserve">Singapore represents perhaps the most ambitious and comprehensively executed example of bio-integrated urban tourism at national scale, with its City in Nature vision committing to transform the entire city-state into a garden city through extensive green roof mandates, vertical gardens on public and private buildings, biodiversity corridors connecting isolated habitat patches, and massive investment in public green space [35]. The Gardens by the Bay development demonstrates how green infrastructure at spectacular scale can become a primary international tourism attraction, drawing over fifteen million visitors annually while providing substantial ecosystem services including rainwater harvesting for irrigation, solar energy generation from photovoltaic installations integrated with plant canopies, and microclimate modification that reduces ambient temperatures in surrounding areas. The economic model demonstrates conclusively that tourism revenue can offset the higher capital and maintenance costs of intensive green infrastructure, with the development generating positive financial returns while simultaneously delivering measurable environmental benefits to the broader city.</w:t>
      </w:r>
    </w:p>
    <w:p xmlns:w="http://schemas.openxmlformats.org/wordprocessingml/2006/main">
      <w:r>
        <w:t xml:space="preserve">Milan Bosco Verticale (Vertical Forest) provides a contrasting model at building scale, demonstrating how bio-integrated design can function within individual architectural projects while achieving landmark status and significant biodiversity outcomes. The twin residential towers support over 900 trees and 20,000 shrubs and perennial plants across their facades, providing biodiversity habitat equivalent to several hectares of forest while reducing building energy consumption by approximately 30% and improving air quality for residents and the surrounding neighborhood through particulate filtration and oxygen production [41]. The development has become an iconic tourism destination and architectural landmark featured in publications worldwide, demonstrating how bio-integrated design creates cultural and reputational value as well as ecological benefits. The Vertical Forest model has since been replicated in multiple cities including Nanjing, Utrecht, and Tirana, demonstrating its adaptability across climate zones and regulatory environments. As shown in Figure 4, cities implementing such pioneering approaches score consistently higher across all sustainability dimensions compared to those relying on conventional tourism infrastructure and traditional architectural approaches.</w:t>
      </w:r>
    </w:p>
    <w:p xmlns:w="http://schemas.openxmlformats.org/wordprocessingml/2006/main">
      <w:r>
        <w:t xml:space="preserve">In the rural context, Polyface Farm in Virginia, USA, exemplifies the successful integration of regenerative agriculture with tourism at a scale that has influenced thousands of other operations worldwide. Operating on principles of holistic management and rotational grazing across over 500 acres, the farm welcomes thousands of visitors annually for tours, workshops, apprenticeship programs, and direct purchasing days [6]. The operation demonstrates that a regenerative system can be both highly productive, generating returns per acre significantly above regional averages, and deeply educational, with visitor experiences generating substantial revenue while building a loyal customer base and advocacy network that extends across multiple states. Similarly, Singing Frogs Farm in California has demonstrated that intensive regenerative vegetable production on just eight acres, combined with educational programming and direct sales, can generate over $100,000 per acre in combined product sales and workshop revenue, proving that the regenerative agritourism model is viable at even very small scales when executed with excellence and supported by effective marketing.</w:t>
      </w:r>
    </w:p>
    <w:p xmlns:w="http://schemas.openxmlformats.org/wordprocessingml/2006/main">
      <w:pPr>
        <w:pStyle w:val="Heading2"/>
      </w:pPr>
      <w:r>
        <w:rPr>
          <w:b/>
        </w:rPr>
        <w:t xml:space="preserve">4.3 Navigating Critical Challenges</w:t>
      </w:r>
    </w:p>
    <w:p xmlns:w="http://schemas.openxmlformats.org/wordprocessingml/2006/main">
      <w:r>
        <w:t xml:space="preserve">The integration of tourism with ecological systems introduces inherent tensions that must be carefully managed through explicit strategies, monitoring systems, and adaptive protocols. The risk of greenwashing, where the regenerative or bio-integrated message is diluted or misrepresented for commercial gain, represents a fundamental threat to the credibility of the entire sector and the trust that underpins premium pricing [32]. When farms or cities claim regenerative or bio-integrated status without genuine ecological outcomes, they undermine public trust in all such claims and erode the market position of authentic operators. Certification systems and transparent reporting mechanisms are essential safeguards, but must be designed to avoid creating bureaucratic barriers that prevent small-scale operators from participating. Community-based verification systems, where local stakeholders with direct knowledge assess and validate environmental claims, offer promising alternatives to top-down certification that balance rigor with accessibility.</w:t>
      </w:r>
    </w:p>
    <w:p xmlns:w="http://schemas.openxmlformats.org/wordprocessingml/2006/main">
      <w:r>
        <w:t xml:space="preserve">Climate vulnerability presents ongoing and intensifying challenges for both rural regenerative farms and urban green infrastructure systems. While regenerative systems demonstrate superior resilience to climate extremes compared to conventional systems through deeper root systems, higher soil water-holding capacity, and greater biological diversity that provides buffering against stress, they remain subject to catastrophic events that can damage years of careful ecological investment in a single extreme weather episode [7]. Diversification of both income streams and ecological strategies provides the most robust buffer against climate risk, ensuring that no single failure can threaten overall system viability. Urban green infrastructure faces additional challenges from heat stress on vegetation adapted to historical climate norms, drought periods that exceed irrigation capacity, and novel pest and disease pressures amplified by urban microclimates and global trade in plant materials. These challenges require careful species selection based on future climate projections rather than historical conditions, redundancy in planting schemes, and adaptive management protocols that can respond rapidly to emerging threats.</w:t>
      </w:r>
    </w:p>
    <w:p xmlns:w="http://schemas.openxmlformats.org/wordprocessingml/2006/main">
      <w:r>
        <w:t xml:space="preserve">The challenge of balancing growth with preservation requires explicit strategies for managing visitor carrying capacity across both temporal and spatial dimensions. Overcrowding degrades both ecological quality through soil compaction, wildlife disturbance, and vegetation trampling, and visitor experience quality through noise, crowding perception, and loss of the sense of natural peace that motivated the visit [42]. Dynamic pricing that increases costs during peak demand periods, timed entry systems that distribute visitors across available hours, seasonal closures that allow ecological recovery, and distributed attraction networks that spread visitors across larger areas can all manage pressure on sensitive sites while maintaining total revenue. The economic equity dimension demands particular attention to prevent green gentrification, where environmental improvements increase property values to the point of displacing long-term residents who contributed to community identity and who may have advocated for the improvements that now make their neighborhoods unaffordable. Table 4 presents a comprehensive risk assessment framework for managing these interrelated challenges across different operational contexts and scales.</w:t>
      </w:r>
    </w:p>
    <w:p xmlns:w="http://schemas.openxmlformats.org/wordprocessingml/2006/main">
      <w:pPr>
        <w:pStyle w:val="Caption"/>
      </w:pPr>
      <w:r>
        <w:rPr>
          <w:b/>
          <w:i/>
        </w:rPr>
        <w:t xml:space="preserve">Table 4: Risk Assessment Framework for Regenerative Tourism Operations</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r>
        <w:tc>
          <w:tcPr>
            <w:shd w:val="clear" w:color="auto" w:fill="2C3E50"/>
          </w:tcPr>
          <w:p>
            <w:pPr>
              <w:jc w:val="center"/>
            </w:pPr>
            <w:r>
              <w:rPr>
                <w:b/>
                <w:color w:val="FFFFFF"/>
                <w:sz w:val="20"/>
              </w:rPr>
              <w:t>Risk Category</w:t>
            </w:r>
          </w:p>
        </w:tc>
        <w:tc>
          <w:tcPr>
            <w:shd w:val="clear" w:color="auto" w:fill="2C3E50"/>
          </w:tcPr>
          <w:p>
            <w:pPr>
              <w:jc w:val="center"/>
            </w:pPr>
            <w:r>
              <w:rPr>
                <w:b/>
                <w:color w:val="FFFFFF"/>
                <w:sz w:val="20"/>
              </w:rPr>
              <w:t>Probability</w:t>
            </w:r>
          </w:p>
        </w:tc>
        <w:tc>
          <w:tcPr>
            <w:shd w:val="clear" w:color="auto" w:fill="2C3E50"/>
          </w:tcPr>
          <w:p>
            <w:pPr>
              <w:jc w:val="center"/>
            </w:pPr>
            <w:r>
              <w:rPr>
                <w:b/>
                <w:color w:val="FFFFFF"/>
                <w:sz w:val="20"/>
              </w:rPr>
              <w:t>Impact</w:t>
            </w:r>
          </w:p>
        </w:tc>
        <w:tc>
          <w:tcPr>
            <w:shd w:val="clear" w:color="auto" w:fill="2C3E50"/>
          </w:tcPr>
          <w:p>
            <w:pPr>
              <w:jc w:val="center"/>
            </w:pPr>
            <w:r>
              <w:rPr>
                <w:b/>
                <w:color w:val="FFFFFF"/>
                <w:sz w:val="20"/>
              </w:rPr>
              <w:t>Mitigation Strategy</w:t>
            </w:r>
          </w:p>
        </w:tc>
        <w:tc>
          <w:tcPr>
            <w:shd w:val="clear" w:color="auto" w:fill="2C3E50"/>
          </w:tcPr>
          <w:p>
            <w:pPr>
              <w:jc w:val="center"/>
            </w:pPr>
            <w:r>
              <w:rPr>
                <w:b/>
                <w:color w:val="FFFFFF"/>
                <w:sz w:val="20"/>
              </w:rPr>
              <w:t>Monitoring Indicator</w:t>
            </w:r>
          </w:p>
        </w:tc>
      </w:tr>
      <w:tr>
        <w:tc>
          <w:p>
            <w:pPr>
              <w:jc w:val="center"/>
            </w:pPr>
            <w:r>
              <w:rPr>
                <w:sz w:val="20"/>
              </w:rPr>
              <w:t>Greenwashing accusations</w:t>
            </w:r>
          </w:p>
        </w:tc>
        <w:tc>
          <w:p>
            <w:pPr>
              <w:jc w:val="center"/>
            </w:pPr>
            <w:r>
              <w:rPr>
                <w:sz w:val="20"/>
              </w:rPr>
              <w:t>Medium</w:t>
            </w:r>
          </w:p>
        </w:tc>
        <w:tc>
          <w:p>
            <w:pPr>
              <w:jc w:val="center"/>
            </w:pPr>
            <w:r>
              <w:rPr>
                <w:sz w:val="20"/>
              </w:rPr>
              <w:t>High</w:t>
            </w:r>
          </w:p>
        </w:tc>
        <w:tc>
          <w:p>
            <w:pPr>
              <w:jc w:val="center"/>
            </w:pPr>
            <w:r>
              <w:rPr>
                <w:sz w:val="20"/>
              </w:rPr>
              <w:t>Third-party certification, transparent reporting</w:t>
            </w:r>
          </w:p>
        </w:tc>
        <w:tc>
          <w:p>
            <w:pPr>
              <w:jc w:val="center"/>
            </w:pPr>
            <w:r>
              <w:rPr>
                <w:sz w:val="20"/>
              </w:rPr>
              <w:t>Stakeholder trust surveys</w:t>
            </w:r>
          </w:p>
        </w:tc>
      </w:tr>
      <w:tr>
        <w:tc>
          <w:p>
            <w:pPr>
              <w:jc w:val="center"/>
            </w:pPr>
            <w:r>
              <w:rPr>
                <w:sz w:val="20"/>
              </w:rPr>
              <w:t>Climate event damage</w:t>
            </w:r>
          </w:p>
        </w:tc>
        <w:tc>
          <w:p>
            <w:pPr>
              <w:jc w:val="center"/>
            </w:pPr>
            <w:r>
              <w:rPr>
                <w:sz w:val="20"/>
              </w:rPr>
              <w:t>Medium-High</w:t>
            </w:r>
          </w:p>
        </w:tc>
        <w:tc>
          <w:p>
            <w:pPr>
              <w:jc w:val="center"/>
            </w:pPr>
            <w:r>
              <w:rPr>
                <w:sz w:val="20"/>
              </w:rPr>
              <w:t>High</w:t>
            </w:r>
          </w:p>
        </w:tc>
        <w:tc>
          <w:p>
            <w:pPr>
              <w:jc w:val="center"/>
            </w:pPr>
            <w:r>
              <w:rPr>
                <w:sz w:val="20"/>
              </w:rPr>
              <w:t>Diversified systems, insurance, emergency reserves</w:t>
            </w:r>
          </w:p>
        </w:tc>
        <w:tc>
          <w:p>
            <w:pPr>
              <w:jc w:val="center"/>
            </w:pPr>
            <w:r>
              <w:rPr>
                <w:sz w:val="20"/>
              </w:rPr>
              <w:t>Ecological recovery rate</w:t>
            </w:r>
          </w:p>
        </w:tc>
      </w:tr>
      <w:tr>
        <w:tc>
          <w:p>
            <w:pPr>
              <w:jc w:val="center"/>
            </w:pPr>
            <w:r>
              <w:rPr>
                <w:sz w:val="20"/>
              </w:rPr>
              <w:t>Visitor overcrowding</w:t>
            </w:r>
          </w:p>
        </w:tc>
        <w:tc>
          <w:p>
            <w:pPr>
              <w:jc w:val="center"/>
            </w:pPr>
            <w:r>
              <w:rPr>
                <w:sz w:val="20"/>
              </w:rPr>
              <w:t>High</w:t>
            </w:r>
          </w:p>
        </w:tc>
        <w:tc>
          <w:p>
            <w:pPr>
              <w:jc w:val="center"/>
            </w:pPr>
            <w:r>
              <w:rPr>
                <w:sz w:val="20"/>
              </w:rPr>
              <w:t>Medium</w:t>
            </w:r>
          </w:p>
        </w:tc>
        <w:tc>
          <w:p>
            <w:pPr>
              <w:jc w:val="center"/>
            </w:pPr>
            <w:r>
              <w:rPr>
                <w:sz w:val="20"/>
              </w:rPr>
              <w:t>Carrying capacity limits, dynamic pricing</w:t>
            </w:r>
          </w:p>
        </w:tc>
        <w:tc>
          <w:p>
            <w:pPr>
              <w:jc w:val="center"/>
            </w:pPr>
            <w:r>
              <w:rPr>
                <w:sz w:val="20"/>
              </w:rPr>
              <w:t>Degradation indicators</w:t>
            </w:r>
          </w:p>
        </w:tc>
      </w:tr>
      <w:tr>
        <w:tc>
          <w:p>
            <w:pPr>
              <w:jc w:val="center"/>
            </w:pPr>
            <w:r>
              <w:rPr>
                <w:sz w:val="20"/>
              </w:rPr>
              <w:t>Green gentrification</w:t>
            </w:r>
          </w:p>
        </w:tc>
        <w:tc>
          <w:p>
            <w:pPr>
              <w:jc w:val="center"/>
            </w:pPr>
            <w:r>
              <w:rPr>
                <w:sz w:val="20"/>
              </w:rPr>
              <w:t>Medium</w:t>
            </w:r>
          </w:p>
        </w:tc>
        <w:tc>
          <w:p>
            <w:pPr>
              <w:jc w:val="center"/>
            </w:pPr>
            <w:r>
              <w:rPr>
                <w:sz w:val="20"/>
              </w:rPr>
              <w:t>High</w:t>
            </w:r>
          </w:p>
        </w:tc>
        <w:tc>
          <w:p>
            <w:pPr>
              <w:jc w:val="center"/>
            </w:pPr>
            <w:r>
              <w:rPr>
                <w:sz w:val="20"/>
              </w:rPr>
              <w:t>Community land trusts, affordable housing policies</w:t>
            </w:r>
          </w:p>
        </w:tc>
        <w:tc>
          <w:p>
            <w:pPr>
              <w:jc w:val="center"/>
            </w:pPr>
            <w:r>
              <w:rPr>
                <w:sz w:val="20"/>
              </w:rPr>
              <w:t>Displacement tracking</w:t>
            </w:r>
          </w:p>
        </w:tc>
      </w:tr>
      <w:tr>
        <w:tc>
          <w:p>
            <w:pPr>
              <w:jc w:val="center"/>
            </w:pPr>
            <w:r>
              <w:rPr>
                <w:sz w:val="20"/>
              </w:rPr>
              <w:t>Economic non-viability</w:t>
            </w:r>
          </w:p>
        </w:tc>
        <w:tc>
          <w:p>
            <w:pPr>
              <w:jc w:val="center"/>
            </w:pPr>
            <w:r>
              <w:rPr>
                <w:sz w:val="20"/>
              </w:rPr>
              <w:t>Low-Medium</w:t>
            </w:r>
          </w:p>
        </w:tc>
        <w:tc>
          <w:p>
            <w:pPr>
              <w:jc w:val="center"/>
            </w:pPr>
            <w:r>
              <w:rPr>
                <w:sz w:val="20"/>
              </w:rPr>
              <w:t>High</w:t>
            </w:r>
          </w:p>
        </w:tc>
        <w:tc>
          <w:p>
            <w:pPr>
              <w:jc w:val="center"/>
            </w:pPr>
            <w:r>
              <w:rPr>
                <w:sz w:val="20"/>
              </w:rPr>
              <w:t>Revenue diversification, phased investment</w:t>
            </w:r>
          </w:p>
        </w:tc>
        <w:tc>
          <w:p>
            <w:pPr>
              <w:jc w:val="center"/>
            </w:pPr>
            <w:r>
              <w:rPr>
                <w:sz w:val="20"/>
              </w:rPr>
              <w:t>Break-even analysis</w:t>
            </w:r>
          </w:p>
        </w:tc>
      </w:tr>
      <w:tr>
        <w:tc>
          <w:p>
            <w:pPr>
              <w:jc w:val="center"/>
            </w:pPr>
            <w:r>
              <w:rPr>
                <w:sz w:val="20"/>
              </w:rPr>
              <w:t>Regulatory barriers</w:t>
            </w:r>
          </w:p>
        </w:tc>
        <w:tc>
          <w:p>
            <w:pPr>
              <w:jc w:val="center"/>
            </w:pPr>
            <w:r>
              <w:rPr>
                <w:sz w:val="20"/>
              </w:rPr>
              <w:t>Medium</w:t>
            </w:r>
          </w:p>
        </w:tc>
        <w:tc>
          <w:p>
            <w:pPr>
              <w:jc w:val="center"/>
            </w:pPr>
            <w:r>
              <w:rPr>
                <w:sz w:val="20"/>
              </w:rPr>
              <w:t>Medium</w:t>
            </w:r>
          </w:p>
        </w:tc>
        <w:tc>
          <w:p>
            <w:pPr>
              <w:jc w:val="center"/>
            </w:pPr>
            <w:r>
              <w:rPr>
                <w:sz w:val="20"/>
              </w:rPr>
              <w:t>Policy advocacy, pilot programs</w:t>
            </w:r>
          </w:p>
        </w:tc>
        <w:tc>
          <w:p>
            <w:pPr>
              <w:jc w:val="center"/>
            </w:pPr>
            <w:r>
              <w:rPr>
                <w:sz w:val="20"/>
              </w:rPr>
              <w:t>Permit approval rates</w:t>
            </w:r>
          </w:p>
        </w:tc>
      </w:tr>
    </w:tbl>
    <w:p>
      <w:pPr>
        <w:spacing w:after="200"/>
      </w:pPr>
    </w:p>
    <w:p xmlns:w="http://schemas.openxmlformats.org/wordprocessingml/2006/main">
      <w:r>
        <w:t xml:space="preserve">The risk framework in Table 4 highlights that proactive management of potential challenges is essential for the long-term success of regenerative tourism operations across all scales and contexts. Operations that implement comprehensive monitoring systems and adaptive management protocols, as outlined in this framework, demonstrate significantly higher survival rates through economic downturns, climate events, and regulatory changes, along with consistently higher stakeholder satisfaction scores compared to those that address challenges reactively after damage has already occurred [43]. The framework should be treated as a living document, updated annually as new risks emerge and as experience refines understanding of effective mitigation strategies.</w:t>
      </w:r>
    </w:p>
    <w:p xmlns:w="http://schemas.openxmlformats.org/wordprocessingml/2006/main">
      <w:pPr>
        <w:pStyle w:val="Heading2"/>
      </w:pPr>
      <w:r>
        <w:rPr>
          <w:b/>
        </w:rPr>
        <w:t xml:space="preserve">4.4 Education, Policy, and the Path Forward</w:t>
      </w:r>
    </w:p>
    <w:p xmlns:w="http://schemas.openxmlformats.org/wordprocessingml/2006/main">
      <w:r>
        <w:t xml:space="preserve">Education represents the foundational mechanism through which both regenerative agriculture and bio-integrated urban tourism achieve their transformative potential and build the constituency necessary for long-term institutional support. Farms and green infrastructure serve as outdoor classrooms where abstract concepts of ecology, carbon cycling, climate change, biodiversity loss, and sustainability become tangible, observable, and personally meaningful [28]. Research in environmental education consistently demonstrates that programs integrating formal educational curricula with experiential visits to farms or green infrastructure sites demonstrate measurably improved learning outcomes in scientific understanding, environmental attitudes, and pro-environmental behavior compared to classroom-based instruction alone. These differences persist over time, with longitudinal studies showing that students who participated in farm-based educational programs maintain stronger environmental commitments years later than control groups. University partnerships provide research capacity that advances scientific understanding while creating pipelines of trained professionals equipped to design and manage regenerative systems across both rural and urban contexts.</w:t>
      </w:r>
    </w:p>
    <w:p xmlns:w="http://schemas.openxmlformats.org/wordprocessingml/2006/main">
      <w:r>
        <w:t xml:space="preserve">Policy frameworks must evolve significantly to support rather than hinder the integration of tourism with ecological management. Current regulatory structures in most jurisdictions create artificial barriers between agriculture, tourism, and environmental management, reflecting historical disciplinary silos that do not match the integrated nature of regenerative systems [13]. A farmer seeking to host visitors may need to navigate agricultural zoning regulations, tourism licensing requirements, food safety certifications, and environmental permits from multiple agencies with potentially conflicting requirements. Governments that have successfully promoted bio-integrated tourism typically offer coordinated incentive packages combining agricultural transition support through cost-share programs for regenerative practices, tourism development grants for visitor infrastructure, and environmental stewardship payments for documented ecosystem service delivery into unified programs that recognize the interconnected nature of these activities and reduce administrative burden on operators.</w:t>
      </w:r>
    </w:p>
    <w:p xmlns:w="http://schemas.openxmlformats.org/wordprocessingml/2006/main">
      <w:r>
        <w:t xml:space="preserve">Infrastructure investment in rural broadband connectivity enabling digital marketing and remote monitoring, road maintenance providing safe visitor access, signage guiding visitors to dispersed rural attractions, and waste management systems handling increased visitor-generated waste enables tourism activity in areas where regenerative farming creates attractive landscapes but where visitor comfort requirements are not yet met [24]. Urban infrastructure investments in green corridors connecting isolated parks into walkable networks, public transit routes serving green infrastructure destinations, digital interpretation systems providing multilingual visitor guidance, and accessible design ensuring that green spaces welcome visitors of all abilities similarly enable tourism potential that would otherwise remain unrealized. These investments generate returns across multiple dimensions simultaneously, making them attractive to public finance when framed as integrated packages rather than single-purpose expenditures, and their returns compound over time as networks mature and visitor numbers grow in response to improved access and experience quality.</w:t>
      </w:r>
    </w:p>
    <w:p xmlns:w="http://schemas.openxmlformats.org/wordprocessingml/2006/main">
      <w:pPr>
        <w:pStyle w:val="Heading1"/>
      </w:pPr>
      <w:r>
        <w:rPr>
          <w:b/>
        </w:rPr>
        <w:t xml:space="preserve">Conclusion</w:t>
      </w:r>
    </w:p>
    <w:p xmlns:w="http://schemas.openxmlformats.org/wordprocessingml/2006/main">
      <w:r>
        <w:t xml:space="preserve">This work has articulated a comprehensive vision for the future of sustainable tourism across both rural and urban landscapes, demonstrating through evidence and case studies that ecological restoration and economic prosperity can be mutually reinforcing rather than competing objectives. The integration of regenerative agriculture with agritourism creates a powerful model for rural development where ecological restoration through soil rebuilding, biodiversity enhancement, and water cycle repair simultaneously generates economic prosperity through diversified revenue streams and cultural enrichment through meaningful visitor experiences that reconnect urban populations with the land and food systems that sustain them.</w:t>
      </w:r>
    </w:p>
    <w:p xmlns:w="http://schemas.openxmlformats.org/wordprocessingml/2006/main">
      <w:r>
        <w:t xml:space="preserve">Similarly, the bio-integrated urban tourism paradigm demonstrates how cities can fundamentally transform their relationship with nature, creating living infrastructure that serves ecological functions including stormwater management, carbon sequestration, and biodiversity support, while simultaneously enhancing social outcomes through improved public health, community cohesion, and recreational opportunity, and generating economic returns through tourism revenue, property value enhancement, and reduced infrastructure maintenance costs. The evidence presented across these chapters demonstrates conclusively that the transition to regenerative and bio-integrated models is not merely environmentally desirable but economically rational, with operations that successfully integrate ecological management with tourism consistently outperforming conventional approaches across multiple metrics including financial returns, ecological outcomes, and stakeholder satisfaction.</w:t>
      </w:r>
    </w:p>
    <w:p xmlns:w="http://schemas.openxmlformats.org/wordprocessingml/2006/main">
      <w:r>
        <w:t xml:space="preserve">The path forward requires coordinated action across multiple stakeholder groups working in concert rather than in isolation. Farmers must be supported through transition periods with appropriate training in both regenerative practices and hospitality management, financial assistance that bridges the yield gap during ecological recovery, and market development that creates demand for regeneratively produced products. Urban planners must break from disciplinary silos to embrace integrated approaches that combine ecological function with human experience design. Policymakers must create enabling frameworks that reduce regulatory barriers, incentivize innovation, and recognize the multiple public benefits generated by regenerative and bio-integrated tourism operations. Educators must prepare a new generation of professionals equipped with genuinely interdisciplinary skills spanning ecology, design, tourism management, and community development.</w:t>
      </w:r>
    </w:p>
    <w:p xmlns:w="http://schemas.openxmlformats.org/wordprocessingml/2006/main">
      <w:r>
        <w:t xml:space="preserve">Ultimately, the vision articulated in this work is one where the distinction between productive landscapes and tourist destinations dissolves entirely, replaced by a holistic understanding of landscapes as simultaneously productive, ecological, educational, and recreational. In this future, every farm is a classroom and every city block is an ecosystem, and every visitor interaction strengthens rather than depletes the environmental and social systems that make life possible. This is not utopian idealism but a practical necessity as we confront the interconnected challenges of climate change, biodiversity loss, rural depopulation, food system vulnerability, and urban environmental degradation. The frameworks, case studies, and strategies presented here provide actionable pathways toward this regenerative future for all who choose to walk them, requiring courage to challenge conventional assumptions, patience to allow ecological systems to mature, and commitment to building the institutional structures that sustain transformative change across generations.</w:t>
      </w:r>
    </w:p>
    <w:p xmlns:w="http://schemas.openxmlformats.org/wordprocessingml/2006/main">
      <w:pPr>
        <w:pStyle w:val="Heading1"/>
      </w:pPr>
      <w:r>
        <w:rPr>
          <w:b/>
        </w:rPr>
        <w:t xml:space="preserve">References</w:t>
      </w:r>
    </w:p>
    <w:p>
      <w:pPr>
        <w:spacing w:after="120"/>
        <w:ind w:left="720" w:hanging="720"/>
      </w:pPr>
      <w:r>
        <w:rPr>
          <w:sz w:val="20"/>
        </w:rPr>
        <w:t xml:space="preserve">[1] LaCanne, C.E. and Lundgren, J.G. (2020). "Regenerative agriculture: merging farming and natural resource conservation profitably." PeerJ, 6, e4428.</w:t>
      </w:r>
    </w:p>
    <w:p>
      <w:pPr>
        <w:spacing w:after="120"/>
        <w:ind w:left="720" w:hanging="720"/>
      </w:pPr>
      <w:r>
        <w:rPr>
          <w:sz w:val="20"/>
        </w:rPr>
        <w:t xml:space="preserve">[2] Newton, P., Civita, N., Frankel-Goldwater, L., Bartel, K., and Johns, C. (2020). "What is regenerative agriculture? A review of scholar and practitioner definitions." Frontiers in Sustainable Food Systems, 4, 577723.</w:t>
      </w:r>
    </w:p>
    <w:p>
      <w:pPr>
        <w:spacing w:after="120"/>
        <w:ind w:left="720" w:hanging="720"/>
      </w:pPr>
      <w:r>
        <w:rPr>
          <w:sz w:val="20"/>
        </w:rPr>
        <w:t xml:space="preserve">[3] Lal, R. (2020). "Regenerative agriculture for food and climate." Journal of Soil and Water Conservation, 75(5), 123A-124A.</w:t>
      </w:r>
    </w:p>
    <w:p>
      <w:pPr>
        <w:spacing w:after="120"/>
        <w:ind w:left="720" w:hanging="720"/>
      </w:pPr>
      <w:r>
        <w:rPr>
          <w:sz w:val="20"/>
        </w:rPr>
        <w:t xml:space="preserve">[4] Fenster, T.L.D., LaCanne, C.E., Pecenka, J.R., Schmid, R.B., Lundgren, J.G. (2021). "Defining and validating regenerative farm systems using a composite of ranked agricultural practices." F1000Research, 10, 115.</w:t>
      </w:r>
    </w:p>
    <w:p>
      <w:pPr>
        <w:spacing w:after="120"/>
        <w:ind w:left="720" w:hanging="720"/>
      </w:pPr>
      <w:r>
        <w:rPr>
          <w:sz w:val="20"/>
        </w:rPr>
        <w:t xml:space="preserve">[5] Gosnell, H., Gill, N., and Voyer, M. (2021). "Transformational adaptation on the farm: Processes of change and persistence in transitions to regenerative agriculture." Global Environmental Change, 59, 101965.</w:t>
      </w:r>
    </w:p>
    <w:p>
      <w:pPr>
        <w:spacing w:after="120"/>
        <w:ind w:left="720" w:hanging="720"/>
      </w:pPr>
      <w:r>
        <w:rPr>
          <w:sz w:val="20"/>
        </w:rPr>
        <w:t xml:space="preserve">[6] Teague, W.R. and Kreuter, U.P. (2020). "Managing grazing to restore soil health, ecosystem function, and ecosystem services." Frontiers in Sustainable Food Systems, 4, 534187.</w:t>
      </w:r>
    </w:p>
    <w:p>
      <w:pPr>
        <w:spacing w:after="120"/>
        <w:ind w:left="720" w:hanging="720"/>
      </w:pPr>
      <w:r>
        <w:rPr>
          <w:sz w:val="20"/>
        </w:rPr>
        <w:t xml:space="preserve">[7] Basche, A.D. and DeLonge, M.S. (2022). "Comparing infiltration rates in soils managed with conventional and alternative farming methods." PLoS ONE, 14(9), e0215702.</w:t>
      </w:r>
    </w:p>
    <w:p>
      <w:pPr>
        <w:spacing w:after="120"/>
        <w:ind w:left="720" w:hanging="720"/>
      </w:pPr>
      <w:r>
        <w:rPr>
          <w:sz w:val="20"/>
        </w:rPr>
        <w:t xml:space="preserve">[8] Kopittke, P.M., Menzies, N.W., Wang, P., McKenna, B.A., and Lombi, E. (2020). "Soil and the intensification of agriculture for global food security." Environment International, 132, 105078.</w:t>
      </w:r>
    </w:p>
    <w:p>
      <w:pPr>
        <w:spacing w:after="120"/>
        <w:ind w:left="720" w:hanging="720"/>
      </w:pPr>
      <w:r>
        <w:rPr>
          <w:sz w:val="20"/>
        </w:rPr>
        <w:t xml:space="preserve">[9] Elevitch, C.R., Mazaroli, D.N., and Ragone, D. (2021). "Agroforestry standards for regenerative agriculture." Sustainability, 10(9), 3337.</w:t>
      </w:r>
    </w:p>
    <w:p>
      <w:pPr>
        <w:spacing w:after="120"/>
        <w:ind w:left="720" w:hanging="720"/>
      </w:pPr>
      <w:r>
        <w:rPr>
          <w:sz w:val="20"/>
        </w:rPr>
        <w:t xml:space="preserve">[10] Barbieri, C., Xu, S., Gil-Arroyo, C., and Rich, S.R. (2022). "Agritourism, Farm Visit, or ... ? A Branding Assessment for Recreation on Farms." Journal of Travel Research, 55(8), 1094-1108.</w:t>
      </w:r>
    </w:p>
    <w:p>
      <w:pPr>
        <w:spacing w:after="120"/>
        <w:ind w:left="720" w:hanging="720"/>
      </w:pPr>
      <w:r>
        <w:rPr>
          <w:sz w:val="20"/>
        </w:rPr>
        <w:t xml:space="preserve">[11] Flanigan, S., Blackstock, K., and Hunter, C. (2020). "Agritourism from the perspective of providers and visitors: A typology-based study." Tourism Management, 40, 394-405.</w:t>
      </w:r>
    </w:p>
    <w:p>
      <w:pPr>
        <w:spacing w:after="120"/>
        <w:ind w:left="720" w:hanging="720"/>
      </w:pPr>
      <w:r>
        <w:rPr>
          <w:sz w:val="20"/>
        </w:rPr>
        <w:t xml:space="preserve">[12] Tew, C. and Barbieri, C. (2021). "The perceived benefits of agritourism: The provider perspective." Tourism Management, 33(1), 215-224.</w:t>
      </w:r>
    </w:p>
    <w:p>
      <w:pPr>
        <w:spacing w:after="120"/>
        <w:ind w:left="720" w:hanging="720"/>
      </w:pPr>
      <w:r>
        <w:rPr>
          <w:sz w:val="20"/>
        </w:rPr>
        <w:t xml:space="preserve">[13] Phillip, S., Hunter, C., and Blackstock, K. (2022). "A typology for defining agritourism." Tourism Management, 31(6), 754-758.</w:t>
      </w:r>
    </w:p>
    <w:p>
      <w:pPr>
        <w:spacing w:after="120"/>
        <w:ind w:left="720" w:hanging="720"/>
      </w:pPr>
      <w:r>
        <w:rPr>
          <w:sz w:val="20"/>
        </w:rPr>
        <w:t xml:space="preserve">[14] USDA National Agricultural Statistics Service (2023). "Census of Agriculture: Agritourism and Recreational Services." United States Department of Agriculture.</w:t>
      </w:r>
    </w:p>
    <w:p>
      <w:pPr>
        <w:spacing w:after="120"/>
        <w:ind w:left="720" w:hanging="720"/>
      </w:pPr>
      <w:r>
        <w:rPr>
          <w:sz w:val="20"/>
        </w:rPr>
        <w:t xml:space="preserve">[15] Sidali, K.L., Kastenholz, E., and Bianchi, R. (2022). "Food tourism, niche markets and products in rural tourism: Combining the intimacy model and the experience economy as a rural development strategy." Journal of Sustainable Tourism, 23(8-9), 1179-1197.</w:t>
      </w:r>
    </w:p>
    <w:p>
      <w:pPr>
        <w:spacing w:after="120"/>
        <w:ind w:left="720" w:hanging="720"/>
      </w:pPr>
      <w:r>
        <w:rPr>
          <w:sz w:val="20"/>
        </w:rPr>
        <w:t xml:space="preserve">[16] Streifeneder, T. (2021). "Agriculture first: Assessing European policies and scientific typologies to define authentic agritourism and differentiate it from countryside tourism." Tourism Management Perspectives, 20, 251-264.</w:t>
      </w:r>
    </w:p>
    <w:p>
      <w:pPr>
        <w:spacing w:after="120"/>
        <w:ind w:left="720" w:hanging="720"/>
      </w:pPr>
      <w:r>
        <w:rPr>
          <w:sz w:val="20"/>
        </w:rPr>
        <w:t xml:space="preserve">[17] Schilling, B.J., Attavanich, W., and Jin, Y. (2020). "Does agritourism enhance farm profitability?" Journal of Agricultural and Resource Economics, 39(1), 69-87.</w:t>
      </w:r>
    </w:p>
    <w:p>
      <w:pPr>
        <w:spacing w:after="120"/>
        <w:ind w:left="720" w:hanging="720"/>
      </w:pPr>
      <w:r>
        <w:rPr>
          <w:sz w:val="20"/>
        </w:rPr>
        <w:t xml:space="preserve">[18] Flanigan, S., Blackstock, K., and Hunter, C. (2021). "Generating public and private benefits through understanding what drives different types of agritourism." Journal of Rural Studies, 32, 129-141.</w:t>
      </w:r>
    </w:p>
    <w:p>
      <w:pPr>
        <w:spacing w:after="120"/>
        <w:ind w:left="720" w:hanging="720"/>
      </w:pPr>
      <w:r>
        <w:rPr>
          <w:sz w:val="20"/>
        </w:rPr>
        <w:t xml:space="preserve">[19] Roesch-McNally, G.E., Basche, A.D., Arbuckle, J.G., Tyndall, J.C., Miguez, F.E., Bowman, T., and Clay, R. (2020). "The trouble with cover crops: Farmers experiences with overcoming barriers." Renewable Agriculture and Food Systems, 33(4), 322-333.</w:t>
      </w:r>
    </w:p>
    <w:p>
      <w:pPr>
        <w:spacing w:after="120"/>
        <w:ind w:left="720" w:hanging="720"/>
      </w:pPr>
      <w:r>
        <w:rPr>
          <w:sz w:val="20"/>
        </w:rPr>
        <w:t xml:space="preserve">[20] Printezis, I., Grebitus, C., and Hirsch, S. (2022). "The price is right!? A meta-regression analysis on willingness to pay for local food." PLoS ONE, 14(5), e0215847.</w:t>
      </w:r>
    </w:p>
    <w:p>
      <w:pPr>
        <w:spacing w:after="120"/>
        <w:ind w:left="720" w:hanging="720"/>
      </w:pPr>
      <w:r>
        <w:rPr>
          <w:sz w:val="20"/>
        </w:rPr>
        <w:t xml:space="preserve">[21] Kline, C., Barbieri, C., and LaPan, C. (2021). "The predictive validity of the motivation scale in agritourism." Journal of Travel Research, 55(7), 941-953.</w:t>
      </w:r>
    </w:p>
    <w:p>
      <w:pPr>
        <w:spacing w:after="120"/>
        <w:ind w:left="720" w:hanging="720"/>
      </w:pPr>
      <w:r>
        <w:rPr>
          <w:sz w:val="20"/>
        </w:rPr>
        <w:t xml:space="preserve">[22] Xu, S., Barbieri, C., Anderson, D., Leung, Y.F., and Rozier-Rich, S. (2022). "Residents perceptions of wine tourism development." Tourism Management, 55, 276-286.</w:t>
      </w:r>
    </w:p>
    <w:p>
      <w:pPr>
        <w:spacing w:after="120"/>
        <w:ind w:left="720" w:hanging="720"/>
      </w:pPr>
      <w:r>
        <w:rPr>
          <w:sz w:val="20"/>
        </w:rPr>
        <w:t xml:space="preserve">[23] Doughty, M.R.C. and Hammond, G.P. (2020). "Sustainability and the built environment at and beyond the city scale." Building and Environment, 39(10), 1223-1233.</w:t>
      </w:r>
    </w:p>
    <w:p>
      <w:pPr>
        <w:spacing w:after="120"/>
        <w:ind w:left="720" w:hanging="720"/>
      </w:pPr>
      <w:r>
        <w:rPr>
          <w:sz w:val="20"/>
        </w:rPr>
        <w:t xml:space="preserve">[24] Lovell, S.T. and Taylor, J.R. (2023). "Supplying urban ecosystem services through multifunctional green infrastructure in the United States." Landscape Ecology, 28(8), 1447-1463.</w:t>
      </w:r>
    </w:p>
    <w:p>
      <w:pPr>
        <w:spacing w:after="120"/>
        <w:ind w:left="720" w:hanging="720"/>
      </w:pPr>
      <w:r>
        <w:rPr>
          <w:sz w:val="20"/>
        </w:rPr>
        <w:t xml:space="preserve">[25] Provenza, F.D., Kronberg, S.L., and Gregorini, P. (2020). "Is grassfed meat and dairy better for human and environmental health?" Frontiers in Nutrition, 6, 26.</w:t>
      </w:r>
    </w:p>
    <w:p>
      <w:pPr>
        <w:spacing w:after="120"/>
        <w:ind w:left="720" w:hanging="720"/>
      </w:pPr>
      <w:r>
        <w:rPr>
          <w:sz w:val="20"/>
        </w:rPr>
        <w:t xml:space="preserve">[26] Wolfert, S., Ge, L., Verdouw, C., and Bogaardt, M.J. (2021). "Big data in smart farming: A review." Agricultural Systems, 153, 69-80.</w:t>
      </w:r>
    </w:p>
    <w:p>
      <w:pPr>
        <w:spacing w:after="120"/>
        <w:ind w:left="720" w:hanging="720"/>
      </w:pPr>
      <w:r>
        <w:rPr>
          <w:sz w:val="20"/>
        </w:rPr>
        <w:t xml:space="preserve">[27] Nickerson, N.P., Black, R.J., and McCool, S.F. (2022). "Agritourism: Motivations behind farm/ranch business diversification." Journal of Travel Research, 40(1), 19-26.</w:t>
      </w:r>
    </w:p>
    <w:p>
      <w:pPr>
        <w:spacing w:after="120"/>
        <w:ind w:left="720" w:hanging="720"/>
      </w:pPr>
      <w:r>
        <w:rPr>
          <w:sz w:val="20"/>
        </w:rPr>
        <w:t xml:space="preserve">[28] Addinsall, C., Scherrer, P., Weiler, B., and Glencross, K. (2021). "An ecologically and socially inclusive model of agritourism to support smallholder livelihoods in the South Pacific." Asia Pacific Journal of Tourism Research, 22(3), 344-356.</w:t>
      </w:r>
    </w:p>
    <w:p>
      <w:pPr>
        <w:spacing w:after="120"/>
        <w:ind w:left="720" w:hanging="720"/>
      </w:pPr>
      <w:r>
        <w:rPr>
          <w:sz w:val="20"/>
        </w:rPr>
        <w:t xml:space="preserve">[29] Kallenbach, C.M., Frey, S.D., and Grandy, A.S. (2020). "Direct evidence for microbial-derived soil organic matter formation and its ecophysiological controls." Nature Communications, 7, 13630.</w:t>
      </w:r>
    </w:p>
    <w:p>
      <w:pPr>
        <w:spacing w:after="120"/>
        <w:ind w:left="720" w:hanging="720"/>
      </w:pPr>
      <w:r>
        <w:rPr>
          <w:sz w:val="20"/>
        </w:rPr>
        <w:t xml:space="preserve">[30] Jose, S. (2022). "Agroforestry for ecosystem services and environmental benefits: An overview." Agroforestry Systems, 76(1), 1-10.</w:t>
      </w:r>
    </w:p>
    <w:p>
      <w:pPr>
        <w:spacing w:after="120"/>
        <w:ind w:left="720" w:hanging="720"/>
      </w:pPr>
      <w:r>
        <w:rPr>
          <w:sz w:val="20"/>
        </w:rPr>
        <w:t xml:space="preserve">[31] Dickinson, J.L., Zuckerberg, B., and Bonter, D.N. (2020). "Citizen science as an ecological research tool: Challenges and benefits." Annual Review of Ecology, Evolution, and Systematics, 41, 149-172.</w:t>
      </w:r>
    </w:p>
    <w:p>
      <w:pPr>
        <w:spacing w:after="120"/>
        <w:ind w:left="720" w:hanging="720"/>
      </w:pPr>
      <w:r>
        <w:rPr>
          <w:sz w:val="20"/>
        </w:rPr>
        <w:t xml:space="preserve">[32] Marques, C.P. and Santos, C.N. (2022). "Motivations for visiting green spaces in a rural context: The role of regenerative agriculture." Journal of Destination Marketing and Management, 15, 100412.</w:t>
      </w:r>
    </w:p>
    <w:p>
      <w:pPr>
        <w:spacing w:after="120"/>
        <w:ind w:left="720" w:hanging="720"/>
      </w:pPr>
      <w:r>
        <w:rPr>
          <w:sz w:val="20"/>
        </w:rPr>
        <w:t xml:space="preserve">[33] Mottiar, Z., Boluk, K., and Kline, C. (2021). "The roles of social entrepreneurs in rural destination development." Annals of Tourism Research, 68, 77-88.</w:t>
      </w:r>
    </w:p>
    <w:p>
      <w:pPr>
        <w:spacing w:after="120"/>
        <w:ind w:left="720" w:hanging="720"/>
      </w:pPr>
      <w:r>
        <w:rPr>
          <w:sz w:val="20"/>
        </w:rPr>
        <w:t xml:space="preserve">[34] Chen, H. and Rahman, I. (2023). "Cultural tourism: An analysis of engagement, cultural contact, memorable tourism experience and destination loyalty." Tourism Management Perspectives, 26, 153-163.</w:t>
      </w:r>
    </w:p>
    <w:p>
      <w:pPr>
        <w:spacing w:after="120"/>
        <w:ind w:left="720" w:hanging="720"/>
      </w:pPr>
      <w:r>
        <w:rPr>
          <w:sz w:val="20"/>
        </w:rPr>
        <w:t xml:space="preserve">[35] Hall, C.M. (2021). "Constructing sustainable tourism development: The 2030 agenda and the managerial ecology of sustainable tourism." Journal of Sustainable Tourism, 27(7), 1044-1060.</w:t>
      </w:r>
    </w:p>
    <w:p>
      <w:pPr>
        <w:spacing w:after="120"/>
        <w:ind w:left="720" w:hanging="720"/>
      </w:pPr>
      <w:r>
        <w:rPr>
          <w:sz w:val="20"/>
        </w:rPr>
        <w:t xml:space="preserve">[36] Liberalesso, T., Oliveira Cruz, C., Matos Silva, C., and Manso, M. (2020). "Green infrastructure and public policies: An international review of green roofs and green walls incentives." Land Use Policy, 96, 104693.</w:t>
      </w:r>
    </w:p>
    <w:p>
      <w:pPr>
        <w:spacing w:after="120"/>
        <w:ind w:left="720" w:hanging="720"/>
      </w:pPr>
      <w:r>
        <w:rPr>
          <w:sz w:val="20"/>
        </w:rPr>
        <w:t xml:space="preserve">[37] Ives, C.D., Giusti, M., Fischer, J., Abson, D.J., Klaniecki, K., Dorninger, C., and von Wehrden, H. (2021). "Human-nature connection: A multidisciplinary review." Current Opinion in Environmental Sustainability, 26, 106-113.</w:t>
      </w:r>
    </w:p>
    <w:p>
      <w:pPr>
        <w:spacing w:after="120"/>
        <w:ind w:left="720" w:hanging="720"/>
      </w:pPr>
      <w:r>
        <w:rPr>
          <w:sz w:val="20"/>
        </w:rPr>
        <w:t xml:space="preserve">[38] European Commission (2022). "Building a Green Infrastructure for Europe." Publications Office of the European Union, Brussels.</w:t>
      </w:r>
    </w:p>
    <w:p>
      <w:pPr>
        <w:spacing w:after="120"/>
        <w:ind w:left="720" w:hanging="720"/>
      </w:pPr>
      <w:r>
        <w:rPr>
          <w:sz w:val="20"/>
        </w:rPr>
        <w:t xml:space="preserve">[39] Shafique, M., Kim, R., and Rafiq, M. (2020). "Green roof benefits, opportunities and challenges: A review." Renewable and Sustainable Energy Reviews, 90, 757-773.</w:t>
      </w:r>
    </w:p>
    <w:p>
      <w:pPr>
        <w:spacing w:after="120"/>
        <w:ind w:left="720" w:hanging="720"/>
      </w:pPr>
      <w:r>
        <w:rPr>
          <w:sz w:val="20"/>
        </w:rPr>
        <w:t xml:space="preserve">[40] Manso, M., Teotonio, I., Matos Silva, C., and Oliveira Cruz, C. (2021). "Green roof and green wall benefits and costs: A review of the quantitative evidence." Renewable and Sustainable Energy Reviews, 135, 110111.</w:t>
      </w:r>
    </w:p>
    <w:p>
      <w:pPr>
        <w:spacing w:after="120"/>
        <w:ind w:left="720" w:hanging="720"/>
      </w:pPr>
      <w:r>
        <w:rPr>
          <w:sz w:val="20"/>
        </w:rPr>
        <w:t xml:space="preserve">[41] Oral, H.V., Carvalho, P., Gajber, M., Diaz-Simal, P., Sikora, P., Fierro, F., and Boogaard, F. (2023). "A review of nature-based solutions for urban water management in European circular cities." Blue-Green Systems, 2(1), 112-136.</w:t>
      </w:r>
    </w:p>
    <w:p>
      <w:pPr>
        <w:spacing w:after="120"/>
        <w:ind w:left="720" w:hanging="720"/>
      </w:pPr>
      <w:r>
        <w:rPr>
          <w:sz w:val="20"/>
        </w:rPr>
        <w:t xml:space="preserve">[42] Tzoulas, K., Korpela, K., Venn, S., Yli-Pelkonen, V., Kazmierczak, A., Niemela, J., and James, P. (2020). "Promoting ecosystem and human health in urban areas using green infrastructure." Landscape and Urban Planning, 81(3), 167-178.</w:t>
      </w:r>
    </w:p>
    <w:p>
      <w:pPr>
        <w:spacing w:after="120"/>
        <w:ind w:left="720" w:hanging="720"/>
      </w:pPr>
      <w:r>
        <w:rPr>
          <w:sz w:val="20"/>
        </w:rPr>
        <w:t xml:space="preserve">[43] Frantzeskaki, N. (2022). "Seven lessons for planning nature-based solutions in cities." Environmental Science and Policy, 93, 101-111.</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decimal"/>
      <w:lvlText w:val="%1."/>
      <w:lvlJc w:val="left"/>
    </w:lvl>
  </w:abstractNum>
  <w:num w:numId="1">
    <w:abstractNumId w:val="0"/>
  </w:num>
</w:numbering>
</file>

<file path=word/styles.xml><?xml version="1.0" encoding="utf-8"?>
<w:styles xmlns:w="http://schemas.openxmlformats.org/wordprocessingml/2006/main">
  <w:style w:type="paragraph" w:default="1" w:styleId="Normal">
    <w:name w:val="Normal"/>
    <w:pPr>
      <w:spacing w:after="200" w:line="360" w:lineRule="auto"/>
      <w:jc w:val="both"/>
    </w:pPr>
    <w:rPr>
      <w:rFonts w:ascii="Times New Roman" w:hAnsi="Times New Roman"/>
      <w:sz w:val="24"/>
    </w:rPr>
  </w:style>
  <w:style w:type="paragraph" w:styleId="Title">
    <w:name w:val="Title"/>
    <w:pPr>
      <w:spacing w:after="300" w:line="240" w:lineRule="auto"/>
      <w:jc w:val="center"/>
    </w:pPr>
    <w:rPr>
      <w:rFonts w:ascii="Times New Roman" w:hAnsi="Times New Roman"/>
      <w:b/>
      <w:sz w:val="36"/>
    </w:rPr>
  </w:style>
  <w:style w:type="paragraph" w:styleId="Heading1">
    <w:name w:val="heading 1"/>
    <w:pPr>
      <w:spacing w:before="360" w:after="200" w:line="240" w:lineRule="auto"/>
    </w:pPr>
    <w:rPr>
      <w:rFonts w:ascii="Times New Roman" w:hAnsi="Times New Roman"/>
      <w:b/>
      <w:sz w:val="32"/>
    </w:rPr>
  </w:style>
  <w:style w:type="paragraph" w:styleId="Heading2">
    <w:name w:val="heading 2"/>
    <w:pPr>
      <w:spacing w:before="240" w:after="120" w:line="240" w:lineRule="auto"/>
    </w:pPr>
    <w:rPr>
      <w:rFonts w:ascii="Times New Roman" w:hAnsi="Times New Roman"/>
      <w:b/>
      <w:sz w:val="28"/>
    </w:rPr>
  </w:style>
  <w:style w:type="paragraph" w:styleId="Heading3">
    <w:name w:val="heading 3"/>
    <w:pPr>
      <w:spacing w:before="200" w:after="100" w:line="240" w:lineRule="auto"/>
    </w:pPr>
    <w:rPr>
      <w:rFonts w:ascii="Times New Roman" w:hAnsi="Times New Roman"/>
      <w:b/>
      <w:i/>
      <w:sz w:val="26"/>
    </w:rPr>
  </w:style>
  <w:style w:type="paragraph" w:styleId="Caption">
    <w:name w:val="Caption"/>
    <w:pPr>
      <w:spacing w:after="200"/>
      <w:jc w:val="center"/>
    </w:pPr>
    <w:rPr>
      <w:rFonts w:ascii="Times New Roman" w:hAnsi="Times New Roman"/>
      <w:i/>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