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NEXT-GENERATION NANOBIOCHAR: EMERGING TRENDS, SMART TECHNOLOGIES AND FUTURE INNOVATIONS</w:t>
      </w:r>
    </w:p>
    <w:p>
      <w:pPr>
        <w:pStyle w:val="Normal"/>
      </w:pPr>
      <w:r>
        <w:rPr>
          <w:b/>
        </w:rPr>
        <w:t xml:space="preserve">Book:</w:t>
      </w:r>
      <w:r>
        <w:t xml:space="preserve"> Next-Generation Nanobiochar: Nanobiochar Technologies for Sustainable Agriculture and Environment</w:t>
      </w:r>
    </w:p>
    <w:p>
      <w:pPr>
        <w:pStyle w:val="Normal"/>
      </w:pPr>
      <w:r>
        <w:rPr>
          <w:b/>
        </w:rPr>
        <w:t xml:space="preserve">Chapter 1</w:t>
      </w:r>
    </w:p>
    <w:p>
      <w:pPr>
        <w:pStyle w:val="Normal"/>
      </w:pPr>
      <w:r>
        <w:t xml:space="preserve">Amman Jakhar¹,* and Sachin Kalsi¹</w:t>
      </w:r>
    </w:p>
    <w:p>
      <w:pPr>
        <w:pStyle w:val="Normal"/>
      </w:pPr>
      <w:r>
        <w:t xml:space="preserve">¹Department of Mechanical Engineering, Chandigarh University, Mohali, Punjab-140301</w:t>
      </w:r>
    </w:p>
    <w:p>
      <w:pPr>
        <w:pStyle w:val="Normal"/>
      </w:pPr>
      <w:r>
        <w:t xml:space="preserve">*Corresponding Email: ammanjakhar5000734@gmail.com</w:t>
      </w:r>
    </w:p>
    <w:p>
      <w:pPr>
        <w:pStyle w:val="Heading1"/>
      </w:pPr>
      <w:r>
        <w:t xml:space="preserve">Abstract</w:t>
      </w:r>
    </w:p>
    <w:p>
      <w:pPr>
        <w:pStyle w:val="Normal"/>
      </w:pPr>
      <w:r>
        <w:t xml:space="preserve">The next-generation nanobiochar is now considered an advanced, multifunctional nanomaterial with great potential to address critical challenges in sustainable agriculture, environmental remediation, and the development of a circular bioeconomy. Nanobiochar is a product of nanoscale engineering of biochar derived from renewable biomass and agricultural residues, and it possesses high specific surface area, tunable surface chemistry, high adsorption capacity, and catalytic properties that can be applied across environmental and agricultural science. This chapter provides a detailed overview of recent developments, smart technologies, and future innovations in nanobiochar research and development. It discusses advanced synthesis and functionalization methods, including chemical modification, nanobiocomposite preparation, surface activation, and green nanotechnology approaches that enhance physicochemical and biological performance. The chapter focuses on precision agriculture, smart nutrient delivery, controlled-release fertilizers, restoration of soil health, carbon sequestration, water purification, heavy-metal immobilization, pesticide remediation, greenhouse-gas mitigation, and enhancement of the microbial ecosystem. Emphasis is placed on the integration of nanobiochar with artificial intelligence, the Internet of Things (IoT), precision sensing, remote monitoring, and digital-agriculture platforms for efficient resource use and maximized crop productivity. Further innovations such as nanobiochar-based biosensors, bioelectrochemical systems, engineered microbial consortia, and multifunctional nanocomposites are highlighted for their potential to improve environmental sustainability and climate resilience. The chapter also presents major challenges regarding mass production, material uniformity, environmental safety, ecotoxicity, life-cycle assessment, regulation, and economic feasibility that affect the industrialization of nanobiochar technologies. By combining the advantages of nanotechnology, materials science, biotechnology, and digital agriculture, next-generation nanobiochar offers innovative solutions for sustainable resource management and ecosystem restoration. The chapter concludes by summarizing research priorities for intelligent, scalable, and eco-friendly nanobiochar applications for climate-smart agriculture, pollution control, renewable-biomass utilization, and resilient, circular agri-economies.</w:t>
      </w:r>
    </w:p>
    <w:p>
      <w:pPr>
        <w:pStyle w:val="Normal"/>
      </w:pPr>
      <w:r>
        <w:rPr>
          <w:b/>
        </w:rPr>
        <w:t xml:space="preserve">Keywords:</w:t>
      </w:r>
      <w:r>
        <w:t xml:space="preserve"> Nanobiochar; Sustainable agriculture; Environmental remediation; Precision agriculture; Circular bioeconomy</w:t>
      </w:r>
    </w:p>
    <w:p>
      <w:pPr>
        <w:pStyle w:val="Heading1"/>
      </w:pPr>
      <w:r>
        <w:t xml:space="preserve">1. Introduction</w:t>
      </w:r>
    </w:p>
    <w:p>
      <w:pPr>
        <w:pStyle w:val="Normal"/>
      </w:pPr>
      <w:r>
        <w:t xml:space="preserve">The intensification of global food production, the accumulation of organic and inorganic pollutants in soil and water, and the accelerating impacts of climate change have converged to demand materials that are simultaneously effective, affordable, and environmentally benign. Contemporary agriculture must feed a growing population while operating within tightening planetary boundaries, and it must do so against a backdrop of degrading soils, declining input-use efficiency, and mounting pressure to reduce its greenhouse-gas footprint. At the same time, industrial and agricultural activities continue to load the biosphere with heavy metals, persistent organic pollutants, excess nutrients, and emerging contaminants that compromise water quality and ecosystem health. Materials that can address several of these problems at once—improving crop nutrition, restoring soil function, capturing pollutants, and storing carbon—are therefore of exceptional strategic value, and it is against this backdrop that carbon-based amendments derived from renewable biomass have risen to prominence. Biochar—the carbon-rich solid produced by the thermochemical conversion of biomass under oxygen-limited conditions—has emerged over the past two decades as one of the most promising carbon-based materials for addressing this triad of challenges (Lehmann &amp; Joseph, 2015; Woolf et al., 2010).</w:t>
      </w:r>
    </w:p>
    <w:p>
      <w:pPr>
        <w:pStyle w:val="Normal"/>
      </w:pPr>
      <w:r>
        <w:t xml:space="preserve">The scientific interest in biochar was catalyzed in part by the discovery of the highly fertile, carbon-enriched anthropogenic soils of the Amazon basin, whose persistence over centuries demonstrated that pyrogenic carbon can durably transform soil properties (Lehmann &amp; Joseph, 2015). From these origins, biochar research expanded rapidly into a mature, interdisciplinary field spanning soil science, environmental engineering, and materials chemistry. As the limitations of bulk biochar became apparent, however, attention turned toward deliberately engineering its structure and surface chemistry, and ultimately toward manipulating the material at the nanoscale. The result is a paradigm shift from biochar as a low-cost bulk amendment to nanobiochar as a designed, high-performance, and multifunctional nanomaterial (Ramanayaka et al., 2020; Wang et al., 2020). Conventional biochar has been extensively studied as a soil amendment that improves fertility, sequesters carbon, and immobilizes contaminants (Ahmad et al., 2014; Qian et al., 2015). Yet the performance of bulk biochar is frequently constrained by its relatively modest reactive surface area, limited colloidal mobility, and heterogeneous distribution of functional groups. The reduction of biochar to the nanoscale, together with deliberate surface engineering, overcomes many of these limitations and gives rise to a distinct class of materials known as nanobiochar (Ramanayaka et al., 2020; Chausali et al., 2021).</w:t>
      </w:r>
    </w:p>
    <w:p>
      <w:pPr>
        <w:pStyle w:val="Normal"/>
      </w:pPr>
      <w:r>
        <w:t xml:space="preserve">Nanobiochar can be broadly defined as biochar-derived material in which at least one dimension lies within the nanometer range, typically below 100 nm, or as biochar-based nanocomposites in which nanoscale phases are integrated with a carbonaceous matrix (Ramanayaka et al., 2020; Wang et al., 2020). The transition from bulk biochar to nanobiochar is accompanied by dramatic changes in physicochemical behavior: specific surface area and edge-site density increase, surface functional groups become more accessible, colloidal transport through porous media improves, and quantum- and interface-driven catalytic phenomena emerge (Lyu et al., 2018; Naghdi et al., 2017). These attributes translate into higher adsorption capacities for nutrients and contaminants, faster reaction kinetics, and the possibility of targeted delivery of agrochemicals at the root–soil interface (Chen et al., 2019; Kumar et al., 2023). Consequently, nanobiochar has attracted growing interest as a platform technology spanning precision agriculture, environmental remediation, energy storage, and sensing.</w:t>
      </w:r>
    </w:p>
    <w:p>
      <w:pPr>
        <w:pStyle w:val="Normal"/>
      </w:pPr>
      <w:r>
        <w:t xml:space="preserve">A defining feature of the "next generation" of nanobiochar is that it is no longer conceived merely as a passive amendment but as an engineered, multifunctional, and increasingly intelligent material. Advances in synthesis now permit precise control over particle size, porosity, and surface chemistry, while functionalization with metals, metal oxides, polymers, and biological agents yields composites tailored to specific applications (Panahi et al., 2020; Yuan et al., 2019). Simultaneously, the integration of nanobiochar with digital technologies—artificial intelligence (AI), machine learning (ML), the Internet of Things (IoT), and remote sensing—is transforming how these materials are designed, deployed, and monitored in real time (Khan et al., 2022; Sharma et al., 2023). This convergence of nanotechnology, materials science, biotechnology, and digital agriculture is the central theme of the present chapter and of the book it introduces. Crucially, these developments are increasingly framed within a circular-bioeconomy logic, in which waste biomass is valorized into high-value materials whose benefits are recovered and recycled rather than dissipated, an integrating vision to which the chapter returns in its closing roadmap (Figure 4) (Kamali et al., 2021; Bolan et al., 2022).</w:t>
      </w:r>
    </w:p>
    <w:p>
      <w:pPr>
        <w:pStyle w:val="Normal"/>
      </w:pPr>
      <w:r>
        <w:t xml:space="preserve">This chapter is organized to guide the reader from fundamentals to frontiers. Section 2 surveys advanced synthesis and functionalization strategies, contrasting top-down and bottom-up routes and green nanotechnology approaches. Section 3 examines the physicochemical properties and characterization of nanobiochar, establishing the structure–property relationships that govern performance. Section 4 explores applications in sustainable agriculture, including smart nutrient delivery, controlled-release fertilizers, soil-health restoration, carbon sequestration, and greenhouse-gas mitigation. Section 5 addresses environmental remediation, focusing on water purification, heavy-metal immobilization, and pesticide degradation. Section 6 details the integration of nanobiochar with smart technologies, including AI/ML, IoT-enabled precision farming, biosensors, and bioelectrochemical systems. Section 7 critically appraises the challenges of scale-up, uniformity, ecotoxicity, life-cycle assessment, regulation, and economics, and Section 8 outlines future innovations and research priorities before the concluding remarks.</w:t>
      </w:r>
    </w:p>
    <w:p>
      <w:pPr>
        <w:pStyle w:val="Heading1"/>
      </w:pPr>
      <w:r>
        <w:t xml:space="preserve">2. Advanced Synthesis and Functionalization of Next-Generation Nanobiochar</w:t>
      </w:r>
    </w:p>
    <w:p>
      <w:pPr>
        <w:pStyle w:val="Heading2"/>
      </w:pPr>
      <w:r>
        <w:t xml:space="preserve">2.1 Feedstocks and Pyrolysis Routes</w:t>
      </w:r>
    </w:p>
    <w:p>
      <w:pPr>
        <w:pStyle w:val="Normal"/>
      </w:pPr>
      <w:r>
        <w:t xml:space="preserve">The properties of nanobiochar are ultimately inherited from the parent biochar, which in turn depends on feedstock composition and the thermochemical conversion conditions employed. Agricultural residues such as rice husk, wheat straw, corn stover, sugarcane bagasse, and fruit shells, together with forestry residues, manures, and sludges, constitute abundant and renewable precursors whose valorization aligns with circular-bioeconomy principles (Kamali et al., 2021; Bolan et al., 2022). Slow pyrolysis at moderate temperatures (350–600 °C) typically maximizes solid yield and preserves oxygen-containing functional groups, whereas higher temperatures increase aromaticity, surface area, and pH while reducing functional-group density (Qian et al., 2015; Oliveira et al., 2017). The choice of pyrolysis temperature therefore embodies a fundamental trade-off: high-temperature chars offer greater surface area and stability suited to adsorption and carbon storage, while low-temperature chars retain the polar functional groups that favor nutrient retention and cation exchange in agricultural settings (Yang et al., 2019; Panahi et al., 2020). Feedstock composition adds a second dimension of control, as lignin-rich woody residues yield more aromatic, structurally robust chars, whereas herbaceous residues and manures produce chars richer in minerals and nutrients that can themselves act as slow-release reservoirs (Bolan et al., 2022; El-Naggar et al., 2019).</w:t>
      </w:r>
    </w:p>
    <w:p>
      <w:pPr>
        <w:pStyle w:val="Normal"/>
      </w:pPr>
      <w:r>
        <w:t xml:space="preserve">Alternative conversion routes—including fast pyrolysis, hydrothermal carbonization, gasification, and microwave-assisted pyrolysis—produce carbons with distinct pore architectures and surface chemistries, providing a broad design space for downstream nanoscale engineering (Oliveira et al., 2017; Panahi et al., 2020). Hydrothermal carbonization, conducted in hot compressed water, is particularly suited to wet feedstocks such as sludges and food waste and yields hydrochars rich in oxygenated surface groups (Kamali et al., 2021). Microwave-assisted pyrolysis offers rapid, volumetric, and energy-efficient heating with improved process control, an advantage when uniform products are required for reproducible nanoscale processing (Oliveira et al., 2017). Selecting and matching the conversion route to the intended nanobiochar application is thus the first and arguably most consequential design decision in the value chain.</w:t>
      </w:r>
    </w:p>
    <w:p>
      <w:pPr>
        <w:pStyle w:val="Heading2"/>
      </w:pPr>
      <w:r>
        <w:t xml:space="preserve">2.2 Top-Down Nanoscale Engineering</w:t>
      </w:r>
    </w:p>
    <w:p>
      <w:pPr>
        <w:pStyle w:val="Normal"/>
      </w:pPr>
      <w:r>
        <w:t xml:space="preserve">The most widely adopted route to nanobiochar is top-down comminution, in which bulk biochar is mechanically reduced to nanoscale particles. Ball milling—particularly planetary and high-energy wet milling—has become the workhorse of this approach because it is scalable, solvent-free or water-based, and simultaneously introduces oxygen-containing functional groups by exposing fresh edge sites (Lyu et al., 2018; Li et al., 2020). Ball-milled nanobiochar routinely exhibits several-fold increases in specific surface area and markedly enhanced adsorption of both cationic metals and organic contaminants relative to its unmilled precursor (Lyu et al., 2018; Naghdi et al., 2017). Complementary top-down techniques include ultrasonication, high-pressure homogenization, and centrifugal fractionation, which liberate and isolate colloidal biochar nanoparticles already present in, or generated from, bulk biochar (Ramanayaka et al., 2020; Chen et al., 2019). Wet ball milling in aqueous or solvent media tends to produce smaller particles with more uniform distributions than dry milling, while also grafting hydroxyl and carboxyl groups onto newly exposed surfaces; milling time, ball-to-material ratio, and rotational speed provide operational levers for tuning particle size and surface functionality (Li et al., 2020; Lyu et al., 2018). A recurring advantage of the top-down approach is that it requires no exotic precursors and can be integrated directly downstream of existing pyrolysis facilities, which is important for cost-sensitive agricultural and environmental deployment (Naghdi et al., 2017; Kamali et al., 2021). As summarized in Table 1, top-down methods differ in energy demand, achievable particle-size distribution, and the degree of surface oxidation they impart, and these differences directly shape the suitability of the product for a given application.</w:t>
      </w:r>
    </w:p>
    <w:p>
      <w:pPr>
        <w:pStyle w:val="FigureImage"/>
      </w:pPr>
      <w:r>
        <w:drawing>
          <wp:inline xmlns:wp="http://schemas.openxmlformats.org/drawingml/2006/wordprocessingDrawing" distT="0" distB="0" distL="0" distR="0">
            <wp:extent cx="5486400" cy="3516923"/>
            <wp:effectExtent l="0" t="0" r="0" b="0"/>
            <wp:docPr id="1001" name="Figure_1_Synthesis_Pathway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e_1_Synthesis_Pathways.png"/>
                    <pic:cNvPicPr/>
                  </pic:nvPicPr>
                  <pic:blipFill>
                    <a:blip xmlns:r="http://schemas.openxmlformats.org/officeDocument/2006/relationships" r:embed="rIdImg1"/>
                    <a:stretch>
                      <a:fillRect/>
                    </a:stretch>
                  </pic:blipFill>
                  <pic:spPr>
                    <a:xfrm>
                      <a:off x="0" y="0"/>
                      <a:ext cx="5486400" cy="3516923"/>
                    </a:xfrm>
                    <a:prstGeom prst="rect">
                      <a:avLst/>
                    </a:prstGeom>
                  </pic:spPr>
                </pic:pic>
              </a:graphicData>
            </a:graphic>
          </wp:inline>
        </w:drawing>
      </w:r>
    </w:p>
    <w:p>
      <w:pPr>
        <w:pStyle w:val="FigureCaption"/>
      </w:pPr>
      <w:r>
        <w:t xml:space="preserve">Figure 1. Synthesis and functionalization pathways for next-generation nanobiochar, integrating top-down comminution, bottom-up templating, chemical modification, and green nanotechnology routes.</w:t>
      </w:r>
    </w:p>
    <w:p>
      <w:pPr>
        <w:pStyle w:val="Heading2"/>
      </w:pPr>
      <w:r>
        <w:t xml:space="preserve">2.3 Bottom-Up and Templated Synthesis</w:t>
      </w:r>
    </w:p>
    <w:p>
      <w:pPr>
        <w:pStyle w:val="Normal"/>
      </w:pPr>
      <w:r>
        <w:t xml:space="preserve">Bottom-up strategies assemble nanobiochar or its composites from molecular or colloidal precursors, offering finer control over morphology and porosity than comminution alone. Hydrothermal and solvothermal treatment of biomass-derived solutions can generate carbon nanospheres and quantum-dot-like carbon nanostructures with tunable dimensions (Gwenzi et al., 2017; Wang et al., 2020). Hard- and soft-templating, in which biomass or its extracts are carbonized around sacrificial scaffolds, yields hierarchical and ordered pore networks that are difficult to achieve by milling (Panahi et al., 2020). These routes are especially valuable when uniform particle size and reproducible porosity are required, as in sensing and catalytic applications. Figure 1 contrasts the top-down and bottom-up families of methods and situates chemical and biological functionalization within the overall synthesis workflow.</w:t>
      </w:r>
    </w:p>
    <w:p>
      <w:pPr>
        <w:pStyle w:val="Heading2"/>
      </w:pPr>
      <w:r>
        <w:t xml:space="preserve">2.4 Chemical Modification and Surface Activation</w:t>
      </w:r>
    </w:p>
    <w:p>
      <w:pPr>
        <w:pStyle w:val="Normal"/>
      </w:pPr>
      <w:r>
        <w:t xml:space="preserve">Functionalization tailors the surface chemistry of nanobiochar to specific targets and is central to the "engineered" character of next-generation materials. Acid and base treatments (e.g., with HNO₃, H₃PO₄, or KOH) increase oxygen-containing groups, generate microporosity, and raise cation-exchange capacity, enhancing affinity for metal cations and polar organics (Panahi et al., 2020; Tan et al., 2015). Oxidative activation and heteroatom doping with nitrogen, sulfur, or phosphorus introduce redox-active and catalytic sites useful for advanced oxidation and electrochemical applications (Yuan et al., 2019; Nidheesh et al., 2021). Loading with magnetic phases such as magnetite confers separability, allowing spent nanobiochar to be recovered magnetically after water treatment (Zhang et al., 2021; Singh et al., 2022). Amination and grafting of chelating ligands introduce selective binding sites for particular target ions, while surface coating with natural organic matter can moderate reactivity and improve biocompatibility for agricultural use (Hagemann et al., 2018; Yuan et al., 2019). The strategic combination of these modifications—for example, magnetic loading for recoverability together with heteroatom doping for catalytic degradation—yields multifunctional composites capable of simultaneous adsorption, catalysis, and separation. Table 1 compares representative synthesis and functionalization strategies together with their principal advantages, limitations, and target applications, and it makes clear that no single route is universally optimal; rather, method selection must be matched to the performance, cost, and safety requirements of the intended use.</w:t>
      </w:r>
    </w:p>
    <w:p>
      <w:pPr>
        <w:pStyle w:val="TableCaption"/>
      </w:pPr>
      <w:r>
        <w:t xml:space="preserve">[Insert Table 1 here]</w:t>
      </w:r>
    </w:p>
    <w:p>
      <w:pPr>
        <w:pStyle w:val="TableCaption"/>
      </w:pPr>
      <w:r>
        <w:t xml:space="preserve">Table 1. Comparison of synthesis and functionalization strategies for next-generation nanobiochar</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1800"/>
        <w:gridCol w:w="1800"/>
        <w:gridCol w:w="1800"/>
        <w:gridCol w:w="1800"/>
      </w:tblGrid>
      <w:tr>
        <w:tc>
          <w:tcPr>
            <w:shd w:val="clear" w:color="auto" w:fill="D9E2F3"/>
          </w:tcPr>
          <w:p>
            <w:pPr>
              <w:jc w:val="center"/>
            </w:pPr>
            <w:r>
              <w:rPr>
                <w:b/>
              </w:rPr>
              <w:t xml:space="preserve">Method</w:t>
            </w:r>
          </w:p>
        </w:tc>
        <w:tc>
          <w:tcPr>
            <w:shd w:val="clear" w:color="auto" w:fill="D9E2F3"/>
          </w:tcPr>
          <w:p>
            <w:pPr>
              <w:jc w:val="center"/>
            </w:pPr>
            <w:r>
              <w:rPr>
                <w:b/>
              </w:rPr>
              <w:t xml:space="preserve">Principle</w:t>
            </w:r>
          </w:p>
        </w:tc>
        <w:tc>
          <w:tcPr>
            <w:shd w:val="clear" w:color="auto" w:fill="D9E2F3"/>
          </w:tcPr>
          <w:p>
            <w:pPr>
              <w:jc w:val="center"/>
            </w:pPr>
            <w:r>
              <w:rPr>
                <w:b/>
              </w:rPr>
              <w:t xml:space="preserve">Key Advantages</w:t>
            </w:r>
          </w:p>
        </w:tc>
        <w:tc>
          <w:tcPr>
            <w:shd w:val="clear" w:color="auto" w:fill="D9E2F3"/>
          </w:tcPr>
          <w:p>
            <w:pPr>
              <w:jc w:val="center"/>
            </w:pPr>
            <w:r>
              <w:rPr>
                <w:b/>
              </w:rPr>
              <w:t xml:space="preserve">Main Limitations</w:t>
            </w:r>
          </w:p>
        </w:tc>
        <w:tc>
          <w:tcPr>
            <w:shd w:val="clear" w:color="auto" w:fill="D9E2F3"/>
          </w:tcPr>
          <w:p>
            <w:pPr>
              <w:jc w:val="center"/>
            </w:pPr>
            <w:r>
              <w:rPr>
                <w:b/>
              </w:rPr>
              <w:t xml:space="preserve">Representative Applications</w:t>
            </w:r>
          </w:p>
        </w:tc>
      </w:tr>
      <w:tr>
        <w:tc>
          <w:p>
            <w:pPr>
              <w:spacing w:after="40"/>
            </w:pPr>
            <w:r>
              <w:t xml:space="preserve">Ball milling</w:t>
            </w:r>
          </w:p>
        </w:tc>
        <w:tc>
          <w:p>
            <w:pPr>
              <w:spacing w:after="40"/>
            </w:pPr>
            <w:r>
              <w:t xml:space="preserve">Mechanical comminution and edge oxidation</w:t>
            </w:r>
          </w:p>
        </w:tc>
        <w:tc>
          <w:p>
            <w:pPr>
              <w:spacing w:after="40"/>
            </w:pPr>
            <w:r>
              <w:t xml:space="preserve">Scalable, solvent-free, adds functional groups</w:t>
            </w:r>
          </w:p>
        </w:tc>
        <w:tc>
          <w:p>
            <w:pPr>
              <w:spacing w:after="40"/>
            </w:pPr>
            <w:r>
              <w:t xml:space="preserve">Broad size distribution, energy intensive</w:t>
            </w:r>
          </w:p>
        </w:tc>
        <w:tc>
          <w:p>
            <w:pPr>
              <w:spacing w:after="40"/>
            </w:pPr>
            <w:r>
              <w:t xml:space="preserve">Heavy-metal and organic adsorption, soil amendment</w:t>
            </w:r>
          </w:p>
        </w:tc>
      </w:tr>
      <w:tr>
        <w:tc>
          <w:p>
            <w:pPr>
              <w:spacing w:after="40"/>
            </w:pPr>
            <w:r>
              <w:t xml:space="preserve">Ultrasonication / homogenization</w:t>
            </w:r>
          </w:p>
        </w:tc>
        <w:tc>
          <w:p>
            <w:pPr>
              <w:spacing w:after="40"/>
            </w:pPr>
            <w:r>
              <w:t xml:space="preserve">Cavitation-driven fragmentation</w:t>
            </w:r>
          </w:p>
        </w:tc>
        <w:tc>
          <w:p>
            <w:pPr>
              <w:spacing w:after="40"/>
            </w:pPr>
            <w:r>
              <w:t xml:space="preserve">Mild, isolates colloidal nanoparticles</w:t>
            </w:r>
          </w:p>
        </w:tc>
        <w:tc>
          <w:p>
            <w:pPr>
              <w:spacing w:after="40"/>
            </w:pPr>
            <w:r>
              <w:t xml:space="preserve">Lower throughput, dilute suspensions</w:t>
            </w:r>
          </w:p>
        </w:tc>
        <w:tc>
          <w:p>
            <w:pPr>
              <w:spacing w:after="40"/>
            </w:pPr>
            <w:r>
              <w:t xml:space="preserve">Colloidal delivery, sensing</w:t>
            </w:r>
          </w:p>
        </w:tc>
      </w:tr>
      <w:tr>
        <w:tc>
          <w:p>
            <w:pPr>
              <w:spacing w:after="40"/>
            </w:pPr>
            <w:r>
              <w:t xml:space="preserve">Hydrothermal / solvothermal</w:t>
            </w:r>
          </w:p>
        </w:tc>
        <w:tc>
          <w:p>
            <w:pPr>
              <w:spacing w:after="40"/>
            </w:pPr>
            <w:r>
              <w:t xml:space="preserve">Bottom-up carbonization in solution</w:t>
            </w:r>
          </w:p>
        </w:tc>
        <w:tc>
          <w:p>
            <w:pPr>
              <w:spacing w:after="40"/>
            </w:pPr>
            <w:r>
              <w:t xml:space="preserve">Tunable morphology, carbon dots</w:t>
            </w:r>
          </w:p>
        </w:tc>
        <w:tc>
          <w:p>
            <w:pPr>
              <w:spacing w:after="40"/>
            </w:pPr>
            <w:r>
              <w:t xml:space="preserve">Reactor cost, batch operation</w:t>
            </w:r>
          </w:p>
        </w:tc>
        <w:tc>
          <w:p>
            <w:pPr>
              <w:spacing w:after="40"/>
            </w:pPr>
            <w:r>
              <w:t xml:space="preserve">Biosensors, catalysis</w:t>
            </w:r>
          </w:p>
        </w:tc>
      </w:tr>
      <w:tr>
        <w:tc>
          <w:p>
            <w:pPr>
              <w:spacing w:after="40"/>
            </w:pPr>
            <w:r>
              <w:t xml:space="preserve">Acid/base activation</w:t>
            </w:r>
          </w:p>
        </w:tc>
        <w:tc>
          <w:p>
            <w:pPr>
              <w:spacing w:after="40"/>
            </w:pPr>
            <w:r>
              <w:t xml:space="preserve">Chemical etching and oxidation</w:t>
            </w:r>
          </w:p>
        </w:tc>
        <w:tc>
          <w:p>
            <w:pPr>
              <w:spacing w:after="40"/>
            </w:pPr>
            <w:r>
              <w:t xml:space="preserve">High surface area, cation exchange</w:t>
            </w:r>
          </w:p>
        </w:tc>
        <w:tc>
          <w:p>
            <w:pPr>
              <w:spacing w:after="40"/>
            </w:pPr>
            <w:r>
              <w:t xml:space="preserve">Corrosive reagents, effluent handling</w:t>
            </w:r>
          </w:p>
        </w:tc>
        <w:tc>
          <w:p>
            <w:pPr>
              <w:spacing w:after="40"/>
            </w:pPr>
            <w:r>
              <w:t xml:space="preserve">Nutrient retention, water purification</w:t>
            </w:r>
          </w:p>
        </w:tc>
      </w:tr>
      <w:tr>
        <w:tc>
          <w:p>
            <w:pPr>
              <w:spacing w:after="40"/>
            </w:pPr>
            <w:r>
              <w:t xml:space="preserve">Heteroatom doping</w:t>
            </w:r>
          </w:p>
        </w:tc>
        <w:tc>
          <w:p>
            <w:pPr>
              <w:spacing w:after="40"/>
            </w:pPr>
            <w:r>
              <w:t xml:space="preserve">Introduction of N, S, P sites</w:t>
            </w:r>
          </w:p>
        </w:tc>
        <w:tc>
          <w:p>
            <w:pPr>
              <w:spacing w:after="40"/>
            </w:pPr>
            <w:r>
              <w:t xml:space="preserve">Redox and catalytic activity</w:t>
            </w:r>
          </w:p>
        </w:tc>
        <w:tc>
          <w:p>
            <w:pPr>
              <w:spacing w:after="40"/>
            </w:pPr>
            <w:r>
              <w:t xml:space="preserve">Process complexity, cost</w:t>
            </w:r>
          </w:p>
        </w:tc>
        <w:tc>
          <w:p>
            <w:pPr>
              <w:spacing w:after="40"/>
            </w:pPr>
            <w:r>
              <w:t xml:space="preserve">Advanced oxidation, electrocatalysis</w:t>
            </w:r>
          </w:p>
        </w:tc>
      </w:tr>
      <w:tr>
        <w:tc>
          <w:p>
            <w:pPr>
              <w:spacing w:after="40"/>
            </w:pPr>
            <w:r>
              <w:t xml:space="preserve">Magnetic / metal-oxide loading</w:t>
            </w:r>
          </w:p>
        </w:tc>
        <w:tc>
          <w:p>
            <w:pPr>
              <w:spacing w:after="40"/>
            </w:pPr>
            <w:r>
              <w:t xml:space="preserve">Composite formation</w:t>
            </w:r>
          </w:p>
        </w:tc>
        <w:tc>
          <w:p>
            <w:pPr>
              <w:spacing w:after="40"/>
            </w:pPr>
            <w:r>
              <w:t xml:space="preserve">Recoverability, added functionality</w:t>
            </w:r>
          </w:p>
        </w:tc>
        <w:tc>
          <w:p>
            <w:pPr>
              <w:spacing w:after="40"/>
            </w:pPr>
            <w:r>
              <w:t xml:space="preserve">Potential metal leaching</w:t>
            </w:r>
          </w:p>
        </w:tc>
        <w:tc>
          <w:p>
            <w:pPr>
              <w:spacing w:after="40"/>
            </w:pPr>
            <w:r>
              <w:t xml:space="preserve">Magnetic separation, remediation</w:t>
            </w:r>
          </w:p>
        </w:tc>
      </w:tr>
      <w:tr>
        <w:tc>
          <w:p>
            <w:pPr>
              <w:spacing w:after="40"/>
            </w:pPr>
            <w:r>
              <w:t xml:space="preserve">Green / biosynthesis</w:t>
            </w:r>
          </w:p>
        </w:tc>
        <w:tc>
          <w:p>
            <w:pPr>
              <w:spacing w:after="40"/>
            </w:pPr>
            <w:r>
              <w:t xml:space="preserve">Plant- or microbe-mediated modification</w:t>
            </w:r>
          </w:p>
        </w:tc>
        <w:tc>
          <w:p>
            <w:pPr>
              <w:spacing w:after="40"/>
            </w:pPr>
            <w:r>
              <w:t xml:space="preserve">Low toxicity, sustainable</w:t>
            </w:r>
          </w:p>
        </w:tc>
        <w:tc>
          <w:p>
            <w:pPr>
              <w:spacing w:after="40"/>
            </w:pPr>
            <w:r>
              <w:t xml:space="preserve">Reproducibility, slower kinetics</w:t>
            </w:r>
          </w:p>
        </w:tc>
        <w:tc>
          <w:p>
            <w:pPr>
              <w:spacing w:after="40"/>
            </w:pPr>
            <w:r>
              <w:t xml:space="preserve">Eco-friendly composites, agriculture</w:t>
            </w:r>
          </w:p>
        </w:tc>
      </w:tr>
    </w:tbl>
    <w:p>
      <w:pPr>
        <w:pStyle w:val="Heading2"/>
      </w:pPr>
      <w:r>
        <w:t xml:space="preserve">2.5 Nanobiocomposites and Green Nanotechnology</w:t>
      </w:r>
    </w:p>
    <w:p>
      <w:pPr>
        <w:pStyle w:val="Normal"/>
      </w:pPr>
      <w:r>
        <w:t xml:space="preserve">Beyond single-phase materials, nanobiochar increasingly serves as a support for functional nanophases, forming nanobiocomposites that combine the porosity and low cost of biochar with the reactivity of nanoparticles. Composites with metal and metal-oxide nanoparticles (e.g., iron, zinc oxide, titanium dioxide), layered double hydroxides, and clay minerals expand the range of contaminants that can be captured or degraded and enable photocatalytic and antimicrobial functions (Zhang et al., 2021; Ghorbani et al., 2022). Polymer and hydrogel composites improve mechanical integrity and enable controlled release of nutrients and agrochemicals (Kumar et al., 2023; Das et al., 2021). Importantly, green nanotechnology approaches—using plant extracts, microorganisms, or benign reductants to synthesize and immobilize nanoparticles on biochar—reduce reliance on hazardous reagents and align material production with sustainability goals (Ghorbani et al., 2022; Rawat et al., 2022). These greener routes, shown alongside conventional methods in Figure 1, are increasingly favored where the end use involves direct contact with food systems or sensitive ecosystems.</w:t>
      </w:r>
    </w:p>
    <w:p>
      <w:pPr>
        <w:pStyle w:val="Heading1"/>
      </w:pPr>
      <w:r>
        <w:t xml:space="preserve">3. Physicochemical Properties and Characterization</w:t>
      </w:r>
    </w:p>
    <w:p>
      <w:pPr>
        <w:pStyle w:val="Heading2"/>
      </w:pPr>
      <w:r>
        <w:t xml:space="preserve">3.1 Structure–Property Relationships</w:t>
      </w:r>
    </w:p>
    <w:p>
      <w:pPr>
        <w:pStyle w:val="Normal"/>
      </w:pPr>
      <w:r>
        <w:t xml:space="preserve">The functional advantages of nanobiochar arise from a coherent set of structural and chemical features that distinguish it from bulk biochar. Particle-size reduction increases the external surface area and the proportion of edge relative to basal-plane carbon, which raises the density of reactive sites available for adsorption and catalysis (Lyu et al., 2018; Naghdi et al., 2017). Nanoscale dimensions also enhance colloidal stability and mobility in porous media, a property that underpins targeted delivery in soils but also raises questions about transport and fate in the environment (Ramanayaka et al., 2020; Rajput et al., 2022). Surface functional groups—carboxyl, hydroxyl, phenolic, and lactone moieties—govern cation-exchange capacity, hydrophilicity, and the ability to complex metals and hydrogen-bond with organic molecules (Tan et al., 2015; Panahi et al., 2020). Table 2 summarizes the typical differences in key properties between conventional biochar and engineered nanobiochar and their functional consequences.</w:t>
      </w:r>
    </w:p>
    <w:p>
      <w:pPr>
        <w:pStyle w:val="TableCaption"/>
      </w:pPr>
      <w:r>
        <w:t xml:space="preserve">[Insert Table 2 here]</w:t>
      </w:r>
    </w:p>
    <w:p>
      <w:pPr>
        <w:pStyle w:val="TableCaption"/>
      </w:pPr>
      <w:r>
        <w:t xml:space="preserve">Table 2. Representative physicochemical properties of conventional biochar versus engineered nanobiochar</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D9E2F3"/>
          </w:tcPr>
          <w:p>
            <w:pPr>
              <w:jc w:val="center"/>
            </w:pPr>
            <w:r>
              <w:rPr>
                <w:b/>
              </w:rPr>
              <w:t xml:space="preserve">Property</w:t>
            </w:r>
          </w:p>
        </w:tc>
        <w:tc>
          <w:tcPr>
            <w:shd w:val="clear" w:color="auto" w:fill="D9E2F3"/>
          </w:tcPr>
          <w:p>
            <w:pPr>
              <w:jc w:val="center"/>
            </w:pPr>
            <w:r>
              <w:rPr>
                <w:b/>
              </w:rPr>
              <w:t xml:space="preserve">Conventional Biochar</w:t>
            </w:r>
          </w:p>
        </w:tc>
        <w:tc>
          <w:tcPr>
            <w:shd w:val="clear" w:color="auto" w:fill="D9E2F3"/>
          </w:tcPr>
          <w:p>
            <w:pPr>
              <w:jc w:val="center"/>
            </w:pPr>
            <w:r>
              <w:rPr>
                <w:b/>
              </w:rPr>
              <w:t xml:space="preserve">Engineered Nanobiochar</w:t>
            </w:r>
          </w:p>
        </w:tc>
        <w:tc>
          <w:tcPr>
            <w:shd w:val="clear" w:color="auto" w:fill="D9E2F3"/>
          </w:tcPr>
          <w:p>
            <w:pPr>
              <w:jc w:val="center"/>
            </w:pPr>
            <w:r>
              <w:rPr>
                <w:b/>
              </w:rPr>
              <w:t xml:space="preserve">Functional Consequence</w:t>
            </w:r>
          </w:p>
        </w:tc>
      </w:tr>
      <w:tr>
        <w:tc>
          <w:p>
            <w:pPr>
              <w:spacing w:after="40"/>
            </w:pPr>
            <w:r>
              <w:t xml:space="preserve">Particle size</w:t>
            </w:r>
          </w:p>
        </w:tc>
        <w:tc>
          <w:p>
            <w:pPr>
              <w:spacing w:after="40"/>
            </w:pPr>
            <w:r>
              <w:t xml:space="preserve">Micrometer to millimeter</w:t>
            </w:r>
          </w:p>
        </w:tc>
        <w:tc>
          <w:p>
            <w:pPr>
              <w:spacing w:after="40"/>
            </w:pPr>
            <w:r>
              <w:t xml:space="preserve">&lt; 100 nm to sub-micrometer</w:t>
            </w:r>
          </w:p>
        </w:tc>
        <w:tc>
          <w:p>
            <w:pPr>
              <w:spacing w:after="40"/>
            </w:pPr>
            <w:r>
              <w:t xml:space="preserve">Higher reactive surface, colloidal mobility</w:t>
            </w:r>
          </w:p>
        </w:tc>
      </w:tr>
      <w:tr>
        <w:tc>
          <w:p>
            <w:pPr>
              <w:spacing w:after="40"/>
            </w:pPr>
            <w:r>
              <w:t xml:space="preserve">Specific surface area</w:t>
            </w:r>
          </w:p>
        </w:tc>
        <w:tc>
          <w:p>
            <w:pPr>
              <w:spacing w:after="40"/>
            </w:pPr>
            <w:r>
              <w:t xml:space="preserve">Tens to few hundred m² g⁻¹</w:t>
            </w:r>
          </w:p>
        </w:tc>
        <w:tc>
          <w:p>
            <w:pPr>
              <w:spacing w:after="40"/>
            </w:pPr>
            <w:r>
              <w:t xml:space="preserve">Several hundred to &gt; 1000 m² g⁻¹</w:t>
            </w:r>
          </w:p>
        </w:tc>
        <w:tc>
          <w:p>
            <w:pPr>
              <w:spacing w:after="40"/>
            </w:pPr>
            <w:r>
              <w:t xml:space="preserve">Greater adsorption capacity</w:t>
            </w:r>
          </w:p>
        </w:tc>
      </w:tr>
      <w:tr>
        <w:tc>
          <w:p>
            <w:pPr>
              <w:spacing w:after="40"/>
            </w:pPr>
            <w:r>
              <w:t xml:space="preserve">Surface functional groups</w:t>
            </w:r>
          </w:p>
        </w:tc>
        <w:tc>
          <w:p>
            <w:pPr>
              <w:spacing w:after="40"/>
            </w:pPr>
            <w:r>
              <w:t xml:space="preserve">Moderate, less accessible</w:t>
            </w:r>
          </w:p>
        </w:tc>
        <w:tc>
          <w:p>
            <w:pPr>
              <w:spacing w:after="40"/>
            </w:pPr>
            <w:r>
              <w:t xml:space="preserve">Abundant, highly accessible</w:t>
            </w:r>
          </w:p>
        </w:tc>
        <w:tc>
          <w:p>
            <w:pPr>
              <w:spacing w:after="40"/>
            </w:pPr>
            <w:r>
              <w:t xml:space="preserve">Enhanced ion exchange and complexation</w:t>
            </w:r>
          </w:p>
        </w:tc>
      </w:tr>
      <w:tr>
        <w:tc>
          <w:p>
            <w:pPr>
              <w:spacing w:after="40"/>
            </w:pPr>
            <w:r>
              <w:t xml:space="preserve">Porosity</w:t>
            </w:r>
          </w:p>
        </w:tc>
        <w:tc>
          <w:p>
            <w:pPr>
              <w:spacing w:after="40"/>
            </w:pPr>
            <w:r>
              <w:t xml:space="preserve">Predominantly macro/meso</w:t>
            </w:r>
          </w:p>
        </w:tc>
        <w:tc>
          <w:p>
            <w:pPr>
              <w:spacing w:after="40"/>
            </w:pPr>
            <w:r>
              <w:t xml:space="preserve">Tunable micro/meso</w:t>
            </w:r>
          </w:p>
        </w:tc>
        <w:tc>
          <w:p>
            <w:pPr>
              <w:spacing w:after="40"/>
            </w:pPr>
            <w:r>
              <w:t xml:space="preserve">Selective sorption and diffusion control</w:t>
            </w:r>
          </w:p>
        </w:tc>
      </w:tr>
      <w:tr>
        <w:tc>
          <w:p>
            <w:pPr>
              <w:spacing w:after="40"/>
            </w:pPr>
            <w:r>
              <w:t xml:space="preserve">Colloidal stability</w:t>
            </w:r>
          </w:p>
        </w:tc>
        <w:tc>
          <w:p>
            <w:pPr>
              <w:spacing w:after="40"/>
            </w:pPr>
            <w:r>
              <w:t xml:space="preserve">Low, rapid settling</w:t>
            </w:r>
          </w:p>
        </w:tc>
        <w:tc>
          <w:p>
            <w:pPr>
              <w:spacing w:after="40"/>
            </w:pPr>
            <w:r>
              <w:t xml:space="preserve">High, stable suspensions</w:t>
            </w:r>
          </w:p>
        </w:tc>
        <w:tc>
          <w:p>
            <w:pPr>
              <w:spacing w:after="40"/>
            </w:pPr>
            <w:r>
              <w:t xml:space="preserve">Targeted delivery, but transport concerns</w:t>
            </w:r>
          </w:p>
        </w:tc>
      </w:tr>
      <w:tr>
        <w:tc>
          <w:p>
            <w:pPr>
              <w:spacing w:after="40"/>
            </w:pPr>
            <w:r>
              <w:t xml:space="preserve">Catalytic activity</w:t>
            </w:r>
          </w:p>
        </w:tc>
        <w:tc>
          <w:p>
            <w:pPr>
              <w:spacing w:after="40"/>
            </w:pPr>
            <w:r>
              <w:t xml:space="preserve">Limited</w:t>
            </w:r>
          </w:p>
        </w:tc>
        <w:tc>
          <w:p>
            <w:pPr>
              <w:spacing w:after="40"/>
            </w:pPr>
            <w:r>
              <w:t xml:space="preserve">Tunable via doping/composites</w:t>
            </w:r>
          </w:p>
        </w:tc>
        <w:tc>
          <w:p>
            <w:pPr>
              <w:spacing w:after="40"/>
            </w:pPr>
            <w:r>
              <w:t xml:space="preserve">Advanced oxidation, sensing</w:t>
            </w:r>
          </w:p>
        </w:tc>
      </w:tr>
      <w:tr>
        <w:tc>
          <w:p>
            <w:pPr>
              <w:spacing w:after="40"/>
            </w:pPr>
            <w:r>
              <w:t xml:space="preserve">Recoverability</w:t>
            </w:r>
          </w:p>
        </w:tc>
        <w:tc>
          <w:p>
            <w:pPr>
              <w:spacing w:after="40"/>
            </w:pPr>
            <w:r>
              <w:t xml:space="preserve">Difficult</w:t>
            </w:r>
          </w:p>
        </w:tc>
        <w:tc>
          <w:p>
            <w:pPr>
              <w:spacing w:after="40"/>
            </w:pPr>
            <w:r>
              <w:t xml:space="preserve">Enabled by magnetic loading</w:t>
            </w:r>
          </w:p>
        </w:tc>
        <w:tc>
          <w:p>
            <w:pPr>
              <w:spacing w:after="40"/>
            </w:pPr>
            <w:r>
              <w:t xml:space="preserve">Reuse in water treatment</w:t>
            </w:r>
          </w:p>
        </w:tc>
      </w:tr>
    </w:tbl>
    <w:p>
      <w:pPr>
        <w:pStyle w:val="Heading2"/>
      </w:pPr>
      <w:r>
        <w:t xml:space="preserve">3.2 Characterization Techniques</w:t>
      </w:r>
    </w:p>
    <w:p>
      <w:pPr>
        <w:pStyle w:val="Normal"/>
      </w:pPr>
      <w:r>
        <w:t xml:space="preserve">Rigorous characterization is essential both to establish structure–property relationships and to ensure batch-to-batch consistency for practical deployment. Morphology and size are assessed by scanning and transmission electron microscopy and by dynamic light scattering, while surface area and pore-size distributions are quantified by nitrogen physisorption and Brunauer–Emmett–Teller analysis (Oliveira et al., 2017; Wang et al., 2020). Surface chemistry is probed by Fourier-transform infrared and X-ray photoelectron spectroscopy, elemental analysis, and zeta-potential measurement, whereas crystalline and composite phases are identified by X-ray diffraction and Raman spectroscopy (Panahi et al., 2020; Zhang et al., 2021). Because the environmental and agronomic behavior of nanobiochar depends sensitively on these attributes, standardized characterization protocols are a prerequisite for reproducibility, regulatory acceptance, and the training of predictive models discussed in Section 6 (Song et al., 2022; Zhu et al., 2023).</w:t>
      </w:r>
    </w:p>
    <w:p>
      <w:pPr>
        <w:pStyle w:val="Heading2"/>
      </w:pPr>
      <w:r>
        <w:t xml:space="preserve">3.3 Stability, Aging, and Environmental Persistence</w:t>
      </w:r>
    </w:p>
    <w:p>
      <w:pPr>
        <w:pStyle w:val="Normal"/>
      </w:pPr>
      <w:r>
        <w:t xml:space="preserve">The performance advantages catalogued in Table 2 are not static; they evolve as nanobiochar ages in soil and water. Oxidative weathering, microbial colonization, and interaction with mineral surfaces and dissolved organic matter progressively alter surface charge, functional-group density, and aggregation state, which can either enhance or diminish reactivity over time (Hagemann et al., 2018; Liu et al., 2018). The formation of organo-mineral coatings, for instance, has been shown to increase nutrient retention and to help explain the long-term fertility benefits attributed to pyrogenic carbon (Hagemann et al., 2018). At the same time, aging influences colloidal stability and thus the mobility of nanoscale particles, a property that is central both to the beneficial transport of amendments toward the rhizosphere and to concerns about the environmental dispersal of nanoparticles discussed in Section 7 (Ramanayaka et al., 2020; Rajput et al., 2022). Understanding these dynamic structure–property relationships—and reflecting them in the representative values compiled in Table 2—is therefore essential to predicting real-world performance rather than merely characterizing freshly synthesized material.</w:t>
      </w:r>
    </w:p>
    <w:p>
      <w:pPr>
        <w:pStyle w:val="Heading1"/>
      </w:pPr>
      <w:r>
        <w:t xml:space="preserve">4. Applications in Sustainable Agriculture</w:t>
      </w:r>
    </w:p>
    <w:p>
      <w:pPr>
        <w:pStyle w:val="Heading2"/>
      </w:pPr>
      <w:r>
        <w:t xml:space="preserve">4.1 Precision Agriculture and Smart Nutrient Delivery</w:t>
      </w:r>
    </w:p>
    <w:p>
      <w:pPr>
        <w:pStyle w:val="Normal"/>
      </w:pPr>
      <w:r>
        <w:t xml:space="preserve">Nanobiochar is increasingly positioned as an enabling material for precision agriculture, where inputs are delivered in the right amount, at the right place, and at the right time. Its high surface area and abundant functional groups allow it to adsorb and retain nutrients such as ammonium, nitrate, phosphate, and potassium, reducing leaching losses and improving nutrient-use efficiency (Kumar et al., 2023; El-Naggar et al., 2019). When loaded with micronutrients or growth-promoting agents, nanobiochar acts as a carrier that releases its payload gradually in response to soil moisture, pH, or microbial activity, synchronizing supply with crop demand (Das et al., 2021; Rawat et al., 2022). The colloidal mobility conferred by nanoscale dimensions is particularly valuable here, because it allows amendments to be delivered as stable suspensions through irrigation systems and to penetrate the root zone more effectively than bulk materials that remain immobile at the point of application (Chen et al., 2019; Ramanayaka et al., 2020). This capacity for fluid delivery aligns nanobiochar naturally with fertigation and drip-irrigation infrastructure, positioning it as a compatible component of modern, sensor-guided input-management systems rather than a stand-alone amendment. Figure 2 illustrates the principal agricultural functions of nanobiochar, from nutrient retention and controlled release to soil-structure improvement and microbial stimulation. By concentrating nutrients near the rhizosphere and limiting off-site movement, nanobiochar contributes directly to the resource-efficiency objectives of precision farming (Xiang et al., 2020; Sharma et al., 2023).</w:t>
      </w:r>
    </w:p>
    <w:p>
      <w:pPr>
        <w:pStyle w:val="FigureImage"/>
      </w:pPr>
      <w:r>
        <w:drawing>
          <wp:inline xmlns:wp="http://schemas.openxmlformats.org/drawingml/2006/wordprocessingDrawing" distT="0" distB="0" distL="0" distR="0">
            <wp:extent cx="5486400" cy="3516923"/>
            <wp:effectExtent l="0" t="0" r="0" b="0"/>
            <wp:docPr id="1002" name="Figure_2_Agriculture_Ro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ure_2_Agriculture_Roles.png"/>
                    <pic:cNvPicPr/>
                  </pic:nvPicPr>
                  <pic:blipFill>
                    <a:blip xmlns:r="http://schemas.openxmlformats.org/officeDocument/2006/relationships" r:embed="rIdImg2"/>
                    <a:stretch>
                      <a:fillRect/>
                    </a:stretch>
                  </pic:blipFill>
                  <pic:spPr>
                    <a:xfrm>
                      <a:off x="0" y="0"/>
                      <a:ext cx="5486400" cy="3516923"/>
                    </a:xfrm>
                    <a:prstGeom prst="rect">
                      <a:avLst/>
                    </a:prstGeom>
                  </pic:spPr>
                </pic:pic>
              </a:graphicData>
            </a:graphic>
          </wp:inline>
        </w:drawing>
      </w:r>
    </w:p>
    <w:p>
      <w:pPr>
        <w:pStyle w:val="FigureCaption"/>
      </w:pPr>
      <w:r>
        <w:t xml:space="preserve">Figure 2. Multifunctional roles of nanobiochar in sustainable agriculture, including nutrient retention and controlled release, soil-health restoration, microbial stimulation, and carbon sequestration.</w:t>
      </w:r>
    </w:p>
    <w:p>
      <w:pPr>
        <w:pStyle w:val="Heading2"/>
      </w:pPr>
      <w:r>
        <w:t xml:space="preserve">4.2 Controlled-Release Fertilizers</w:t>
      </w:r>
    </w:p>
    <w:p>
      <w:pPr>
        <w:pStyle w:val="Normal"/>
      </w:pPr>
      <w:r>
        <w:t xml:space="preserve">Controlled-release fertilizers based on nanobiochar represent one of the most commercially attractive applications because they address the chronic inefficiency of conventional fertilization, in which a large fraction of applied nutrients is lost to leaching, volatilization, and runoff. Encapsulation of nutrients within nanobiochar–polymer or nanobiochar–hydrogel composites moderates release kinetics, extends nutrient availability over the growing season, and reduces the frequency of application (Kumar et al., 2023; Das et al., 2021). Field and greenhouse studies report improved nitrogen-use efficiency, higher yields, and reduced nutrient losses when nanobiochar-based formulations replace or supplement conventional fertilizers (Xiang et al., 2020; El-Naggar et al., 2019). The release mechanism can be engineered along several axes: diffusion through a porous or polymeric shell governs baseline kinetics, while stimuli-responsive linkers can trigger release in response to pH, moisture, temperature, or enzymatic activity, allowing supply to track physiological demand rather than a fixed schedule (Das et al., 2021; Kumar et al., 2023). Such responsiveness is particularly valuable for nitrogen, whose losses through leaching and volatilization are both environmentally damaging and economically costly, and it exemplifies how nanoscale design converts a bulk commodity input into a precision tool. As indicated in Figure 2 and quantified for representative systems in Table 3, controlled-release behavior is among the most consequential agronomic benefits of engineered nanobiochar, and it directly supports the resource-efficiency and emissions-reduction objectives that motivate the technology.</w:t>
      </w:r>
    </w:p>
    <w:p>
      <w:pPr>
        <w:pStyle w:val="Heading2"/>
      </w:pPr>
      <w:r>
        <w:t xml:space="preserve">4.3 Soil-Health Restoration and Microbial Ecosystem Enhancement</w:t>
      </w:r>
    </w:p>
    <w:p>
      <w:pPr>
        <w:pStyle w:val="Normal"/>
      </w:pPr>
      <w:r>
        <w:t xml:space="preserve">Soil health encompasses physical, chemical, and biological attributes, and nanobiochar can influence all three. Physically, nanobiochar improves aggregate stability, water-holding capacity, and aeration; chemically, it buffers pH and increases cation-exchange capacity; biologically, it provides habitat and labile carbon that stimulate beneficial microbial communities (El-Naggar et al., 2019; Palansooriya et al., 2020). The porous, high-surface-area structure offers refuge for bacteria and fungi and can enhance the abundance and activity of nitrogen-fixing and phosphate-solubilizing organisms, thereby reinforcing nutrient cycling (Palansooriya et al., 2020; Bolan et al., 2022). Coupling nanobiochar with engineered microbial consortia and biofertilizers is an emerging strategy to create synergistic amendments that restore degraded soils while enhancing productivity (Rawat et al., 2022; Das et al., 2021). The high surface area and porosity of nanobiochar make it an effective carrier and protectant for inoculant microorganisms, shielding them from desiccation and competition and improving their survival and colonization after application (Palansooriya et al., 2020; Ghorbani et al., 2022). By simultaneously improving the physical habitat, supplying labile carbon, and delivering beneficial organisms, such composite amendments address soil degradation in an integrated manner rather than targeting a single limiting factor. These soil-health functions are represented among the agricultural roles depicted in Figure 2, and their downstream benefits for nutrient cycling reinforce the fertilizer-efficiency gains discussed above.</w:t>
      </w:r>
    </w:p>
    <w:p>
      <w:pPr>
        <w:pStyle w:val="Heading2"/>
      </w:pPr>
      <w:r>
        <w:t xml:space="preserve">4.4 Carbon Sequestration and Greenhouse-Gas Mitigation</w:t>
      </w:r>
    </w:p>
    <w:p>
      <w:pPr>
        <w:pStyle w:val="Normal"/>
      </w:pPr>
      <w:r>
        <w:t xml:space="preserve">Because biochar is composed of recalcitrant aromatic carbon, its incorporation into soil constitutes a durable carbon sink that can persist for centuries, and this climate-mitigation function extends to nanobiochar and its composites (Woolf et al., 2010; Lehmann et al., 2021). Beyond carbon storage, nanobiochar can suppress emissions of the potent greenhouse gases nitrous oxide and methane by modifying soil aeration, moisture, and microbial community composition and by influencing the activity of denitrifying and methanotrophic organisms (Shaaban et al., 2018; Sanchez-Monedero et al., 2018). The net climate benefit depends on feedstock, production conditions, and application context, and must be assessed over the full life cycle, as discussed in Section 7 (Amonette et al., 2021; Kamali et al., 2021). Composting with biochar and nanobiochar additives has likewise been shown to reduce nitrogen losses and gaseous emissions during organic-waste treatment, extending the mitigation benefit upstream of soil application (Sanchez-Monedero et al., 2018; Shaaban et al., 2018). Because carbon dioxide removal delivered through recalcitrant biochar carbon is comparatively durable and verifiable, nanobiochar amendments are increasingly framed as a scalable, negative-emissions contribution to agricultural climate strategies, provided the production pathway itself is low in embodied emissions (Woolf et al., 2010; Lehmann et al., 2021). Representative agronomic and environmental performance metrics, including carbon-related outcomes, are compiled in Table 3.</w:t>
      </w:r>
    </w:p>
    <w:p>
      <w:pPr>
        <w:pStyle w:val="TableCaption"/>
      </w:pPr>
      <w:r>
        <w:t xml:space="preserve">[Insert Table 3 here]</w:t>
      </w:r>
    </w:p>
    <w:p>
      <w:pPr>
        <w:pStyle w:val="TableCaption"/>
      </w:pPr>
      <w:r>
        <w:t xml:space="preserve">Table 3. Representative applications and reported performance of nanobiochar in agriculture and environmental remediation</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D9E2F3"/>
          </w:tcPr>
          <w:p>
            <w:pPr>
              <w:jc w:val="center"/>
            </w:pPr>
            <w:r>
              <w:rPr>
                <w:b/>
              </w:rPr>
              <w:t xml:space="preserve">Application Domain</w:t>
            </w:r>
          </w:p>
        </w:tc>
        <w:tc>
          <w:tcPr>
            <w:shd w:val="clear" w:color="auto" w:fill="D9E2F3"/>
          </w:tcPr>
          <w:p>
            <w:pPr>
              <w:jc w:val="center"/>
            </w:pPr>
            <w:r>
              <w:rPr>
                <w:b/>
              </w:rPr>
              <w:t xml:space="preserve">Target</w:t>
            </w:r>
          </w:p>
        </w:tc>
        <w:tc>
          <w:tcPr>
            <w:shd w:val="clear" w:color="auto" w:fill="D9E2F3"/>
          </w:tcPr>
          <w:p>
            <w:pPr>
              <w:jc w:val="center"/>
            </w:pPr>
            <w:r>
              <w:rPr>
                <w:b/>
              </w:rPr>
              <w:t xml:space="preserve">Mechanism</w:t>
            </w:r>
          </w:p>
        </w:tc>
        <w:tc>
          <w:tcPr>
            <w:shd w:val="clear" w:color="auto" w:fill="D9E2F3"/>
          </w:tcPr>
          <w:p>
            <w:pPr>
              <w:jc w:val="center"/>
            </w:pPr>
            <w:r>
              <w:rPr>
                <w:b/>
              </w:rPr>
              <w:t xml:space="preserve">Reported Outcome</w:t>
            </w:r>
          </w:p>
        </w:tc>
      </w:tr>
      <w:tr>
        <w:tc>
          <w:p>
            <w:pPr>
              <w:spacing w:after="40"/>
            </w:pPr>
            <w:r>
              <w:t xml:space="preserve">Controlled-release fertilizer</w:t>
            </w:r>
          </w:p>
        </w:tc>
        <w:tc>
          <w:p>
            <w:pPr>
              <w:spacing w:after="40"/>
            </w:pPr>
            <w:r>
              <w:t xml:space="preserve">N, P, K nutrients</w:t>
            </w:r>
          </w:p>
        </w:tc>
        <w:tc>
          <w:p>
            <w:pPr>
              <w:spacing w:after="40"/>
            </w:pPr>
            <w:r>
              <w:t xml:space="preserve">Adsorption and encapsulation</w:t>
            </w:r>
          </w:p>
        </w:tc>
        <w:tc>
          <w:p>
            <w:pPr>
              <w:spacing w:after="40"/>
            </w:pPr>
            <w:r>
              <w:t xml:space="preserve">Improved nutrient-use efficiency, higher yield</w:t>
            </w:r>
          </w:p>
        </w:tc>
      </w:tr>
      <w:tr>
        <w:tc>
          <w:p>
            <w:pPr>
              <w:spacing w:after="40"/>
            </w:pPr>
            <w:r>
              <w:t xml:space="preserve">Soil-health restoration</w:t>
            </w:r>
          </w:p>
        </w:tc>
        <w:tc>
          <w:p>
            <w:pPr>
              <w:spacing w:after="40"/>
            </w:pPr>
            <w:r>
              <w:t xml:space="preserve">Degraded soils</w:t>
            </w:r>
          </w:p>
        </w:tc>
        <w:tc>
          <w:p>
            <w:pPr>
              <w:spacing w:after="40"/>
            </w:pPr>
            <w:r>
              <w:t xml:space="preserve">Aggregation, CEC, microbial habitat</w:t>
            </w:r>
          </w:p>
        </w:tc>
        <w:tc>
          <w:p>
            <w:pPr>
              <w:spacing w:after="40"/>
            </w:pPr>
            <w:r>
              <w:t xml:space="preserve">Enhanced water holding and microbial activity</w:t>
            </w:r>
          </w:p>
        </w:tc>
      </w:tr>
      <w:tr>
        <w:tc>
          <w:p>
            <w:pPr>
              <w:spacing w:after="40"/>
            </w:pPr>
            <w:r>
              <w:t xml:space="preserve">Carbon sequestration</w:t>
            </w:r>
          </w:p>
        </w:tc>
        <w:tc>
          <w:p>
            <w:pPr>
              <w:spacing w:after="40"/>
            </w:pPr>
            <w:r>
              <w:t xml:space="preserve">Atmospheric CO₂</w:t>
            </w:r>
          </w:p>
        </w:tc>
        <w:tc>
          <w:p>
            <w:pPr>
              <w:spacing w:after="40"/>
            </w:pPr>
            <w:r>
              <w:t xml:space="preserve">Recalcitrant carbon storage</w:t>
            </w:r>
          </w:p>
        </w:tc>
        <w:tc>
          <w:p>
            <w:pPr>
              <w:spacing w:after="40"/>
            </w:pPr>
            <w:r>
              <w:t xml:space="preserve">Long-term soil carbon sink</w:t>
            </w:r>
          </w:p>
        </w:tc>
      </w:tr>
      <w:tr>
        <w:tc>
          <w:p>
            <w:pPr>
              <w:spacing w:after="40"/>
            </w:pPr>
            <w:r>
              <w:t xml:space="preserve">GHG mitigation</w:t>
            </w:r>
          </w:p>
        </w:tc>
        <w:tc>
          <w:p>
            <w:pPr>
              <w:spacing w:after="40"/>
            </w:pPr>
            <w:r>
              <w:t xml:space="preserve">N₂O, CH₄</w:t>
            </w:r>
          </w:p>
        </w:tc>
        <w:tc>
          <w:p>
            <w:pPr>
              <w:spacing w:after="40"/>
            </w:pPr>
            <w:r>
              <w:t xml:space="preserve">Altered microbial/redox processes</w:t>
            </w:r>
          </w:p>
        </w:tc>
        <w:tc>
          <w:p>
            <w:pPr>
              <w:spacing w:after="40"/>
            </w:pPr>
            <w:r>
              <w:t xml:space="preserve">Reduced gaseous emissions</w:t>
            </w:r>
          </w:p>
        </w:tc>
      </w:tr>
      <w:tr>
        <w:tc>
          <w:p>
            <w:pPr>
              <w:spacing w:after="40"/>
            </w:pPr>
            <w:r>
              <w:t xml:space="preserve">Heavy-metal immobilization</w:t>
            </w:r>
          </w:p>
        </w:tc>
        <w:tc>
          <w:p>
            <w:pPr>
              <w:spacing w:after="40"/>
            </w:pPr>
            <w:r>
              <w:t xml:space="preserve">Pb, Cd, Cu, As</w:t>
            </w:r>
          </w:p>
        </w:tc>
        <w:tc>
          <w:p>
            <w:pPr>
              <w:spacing w:after="40"/>
            </w:pPr>
            <w:r>
              <w:t xml:space="preserve">Complexation, precipitation, exchange</w:t>
            </w:r>
          </w:p>
        </w:tc>
        <w:tc>
          <w:p>
            <w:pPr>
              <w:spacing w:after="40"/>
            </w:pPr>
            <w:r>
              <w:t xml:space="preserve">High removal and reduced bioavailability</w:t>
            </w:r>
          </w:p>
        </w:tc>
      </w:tr>
      <w:tr>
        <w:tc>
          <w:p>
            <w:pPr>
              <w:spacing w:after="40"/>
            </w:pPr>
            <w:r>
              <w:t xml:space="preserve">Pesticide remediation</w:t>
            </w:r>
          </w:p>
        </w:tc>
        <w:tc>
          <w:p>
            <w:pPr>
              <w:spacing w:after="40"/>
            </w:pPr>
            <w:r>
              <w:t xml:space="preserve">Organic pollutants</w:t>
            </w:r>
          </w:p>
        </w:tc>
        <w:tc>
          <w:p>
            <w:pPr>
              <w:spacing w:after="40"/>
            </w:pPr>
            <w:r>
              <w:t xml:space="preserve">Adsorption and catalytic degradation</w:t>
            </w:r>
          </w:p>
        </w:tc>
        <w:tc>
          <w:p>
            <w:pPr>
              <w:spacing w:after="40"/>
            </w:pPr>
            <w:r>
              <w:t xml:space="preserve">Efficient contaminant removal</w:t>
            </w:r>
          </w:p>
        </w:tc>
      </w:tr>
      <w:tr>
        <w:tc>
          <w:p>
            <w:pPr>
              <w:spacing w:after="40"/>
            </w:pPr>
            <w:r>
              <w:t xml:space="preserve">Water purification</w:t>
            </w:r>
          </w:p>
        </w:tc>
        <w:tc>
          <w:p>
            <w:pPr>
              <w:spacing w:after="40"/>
            </w:pPr>
            <w:r>
              <w:t xml:space="preserve">Dyes, nutrients</w:t>
            </w:r>
          </w:p>
        </w:tc>
        <w:tc>
          <w:p>
            <w:pPr>
              <w:spacing w:after="40"/>
            </w:pPr>
            <w:r>
              <w:t xml:space="preserve">Adsorption, advanced oxidation</w:t>
            </w:r>
          </w:p>
        </w:tc>
        <w:tc>
          <w:p>
            <w:pPr>
              <w:spacing w:after="40"/>
            </w:pPr>
            <w:r>
              <w:t xml:space="preserve">High capacity, magnetic recovery</w:t>
            </w:r>
          </w:p>
        </w:tc>
      </w:tr>
    </w:tbl>
    <w:p>
      <w:pPr>
        <w:pStyle w:val="Heading1"/>
      </w:pPr>
      <w:r>
        <w:t xml:space="preserve">5. Environmental Remediation Applications</w:t>
      </w:r>
    </w:p>
    <w:p>
      <w:pPr>
        <w:pStyle w:val="Heading2"/>
      </w:pPr>
      <w:r>
        <w:t xml:space="preserve">5.1 Water Purification and Heavy-Metal Immobilization</w:t>
      </w:r>
    </w:p>
    <w:p>
      <w:pPr>
        <w:pStyle w:val="Normal"/>
      </w:pPr>
      <w:r>
        <w:t xml:space="preserve">The remediation of contaminated water and soil is among the most extensively documented applications of nanobiochar, driven by its exceptional adsorption capacity and the tunability of its surface chemistry. For heavy metals such as lead, cadmium, copper, zinc, and arsenic, nanobiochar removes contaminants through surface complexation with oxygen-containing groups, cation exchange, electrostatic attraction, precipitation, and, in some composites, redox transformation (Singh et al., 2022; Mohan et al., 2014). Nanoscale size and the abundance of accessible functional groups yield adsorption capacities and kinetics that substantially exceed those of bulk biochar, and magnetic nanobiochar composites allow spent adsorbent to be recovered and regenerated, improving process economics (Zhang et al., 2021; Elkhlifi et al., 2023). In soils, nanobiochar immobilizes metals in situ, reducing their bioavailability and uptake by crops while limiting migration to groundwater (Singh et al., 2022; Bolan et al., 2022). The immobilization mechanism is often multi-modal: surface functional groups complex metal cations, mineral phases within the char promote precipitation as carbonates or phosphates, and localized increases in pH further reduce solubility, together transforming mobile, bioavailable species into stable, sequestered forms (Mohan et al., 2014; Singh et al., 2022). For oxyanionic contaminants such as arsenic, iron- and metal-oxide-loaded composites are especially effective because they provide dedicated binding sites that pristine carbon lacks (Zhang et al., 2021; Elkhlifi et al., 2023). The removal mechanisms and representative outcomes for metals and other contaminants are summarized in Table 3.</w:t>
      </w:r>
    </w:p>
    <w:p>
      <w:pPr>
        <w:pStyle w:val="Heading2"/>
      </w:pPr>
      <w:r>
        <w:t xml:space="preserve">5.2 Pesticide and Organic-Pollutant Remediation</w:t>
      </w:r>
    </w:p>
    <w:p>
      <w:pPr>
        <w:pStyle w:val="Normal"/>
      </w:pPr>
      <w:r>
        <w:t xml:space="preserve">Nanobiochar is likewise effective against organic pollutants, including pesticides, pharmaceuticals, dyes, and hydrocarbons. Hydrophobic and π–π interactions, pore filling, and hydrogen bonding drive the adsorption of organic molecules, while heteroatom-doped and metal-oxide composites enable catalytic and photocatalytic degradation that mineralizes contaminants rather than merely relocating them (Tan et al., 2015; Nidheesh et al., 2021). Nanobiochar-activated advanced oxidation processes—such as persulfate and Fenton-like systems—generate reactive radicals that break down recalcitrant organics under mild conditions (Nidheesh et al., 2021; Ghorbani et al., 2022). The dual capability of adsorption and catalytic degradation makes nanobiochar a versatile platform for treating complex effluents that contain both metals and organics, and it distinguishes engineered nanobiochar from purely sorptive materials that merely transfer contaminants between phases. A further practical advantage is regenerability: many nanobiochar adsorbents can be recovered—magnetically or by filtration—and reused across multiple cycles with only modest loss of capacity, while catalytic composites can mineralize adsorbed organics in situ to restore active sites (Zhang et al., 2021; Nidheesh et al., 2021). These attributes improve process economics and reduce secondary waste, reinforcing the case for nanobiochar as a sustainable remediation technology that protects the soil–water systems on which agriculture ultimately depends.</w:t>
      </w:r>
    </w:p>
    <w:p>
      <w:pPr>
        <w:pStyle w:val="Heading1"/>
      </w:pPr>
      <w:r>
        <w:t xml:space="preserve">6. Integration of Nanobiochar with Smart Technologies</w:t>
      </w:r>
    </w:p>
    <w:p>
      <w:pPr>
        <w:pStyle w:val="Heading2"/>
      </w:pPr>
      <w:r>
        <w:t xml:space="preserve">6.1 Artificial Intelligence and Machine Learning</w:t>
      </w:r>
    </w:p>
    <w:p>
      <w:pPr>
        <w:pStyle w:val="Normal"/>
      </w:pPr>
      <w:r>
        <w:t xml:space="preserve">The design and deployment of nanobiochar are increasingly guided by data-driven methods that accelerate discovery and optimize performance. Machine-learning models trained on experimental datasets can predict adsorption capacities, optimal pyrolysis conditions, and functionalization strategies from feedstock and process descriptors, reducing the need for exhaustive trial-and-error experimentation (Khan et al., 2022; Song et al., 2022). Algorithms such as random forests, gradient-boosted trees, and neural networks have been used to model contaminant removal and to identify the most influential synthesis variables, while emerging approaches aim at the inverse design of nanobiochar with target properties (Song et al., 2022; Zhu et al., 2023). Figure 3 situates AI and ML within a broader digital framework that links material design to field deployment and feedback. By closing the loop between prediction, synthesis, and validation, these methods promise to shorten development cycles and improve reproducibility (Zhu et al., 2023; Khan et al., 2022). Beyond property prediction, machine learning is increasingly applied to interpret complex characterization data, to extract structure–activity relationships from the heterogeneous biochar literature, and to guide the allocation of scarce experimental resources through active learning, in which the model iteratively proposes the most informative experiments to perform next (Song et al., 2022; Zhu et al., 2023). Realizing the full potential of these approaches, however, depends on the availability of large, well-curated, and consistently annotated datasets—an aspiration that returns attention to the standardized characterization protocols emphasized in Section 3 and that constitutes a shared prerequisite for data-driven materials discovery (Khan et al., 2022; Song et al., 2022).</w:t>
      </w:r>
    </w:p>
    <w:p>
      <w:pPr>
        <w:pStyle w:val="FigureImage"/>
      </w:pPr>
      <w:r>
        <w:drawing>
          <wp:inline xmlns:wp="http://schemas.openxmlformats.org/drawingml/2006/wordprocessingDrawing" distT="0" distB="0" distL="0" distR="0">
            <wp:extent cx="5486400" cy="3516923"/>
            <wp:effectExtent l="0" t="0" r="0" b="0"/>
            <wp:docPr id="1003" name="Figure_3_Digital_Integ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Figure_3_Digital_Integration.png"/>
                    <pic:cNvPicPr/>
                  </pic:nvPicPr>
                  <pic:blipFill>
                    <a:blip xmlns:r="http://schemas.openxmlformats.org/officeDocument/2006/relationships" r:embed="rIdImg3"/>
                    <a:stretch>
                      <a:fillRect/>
                    </a:stretch>
                  </pic:blipFill>
                  <pic:spPr>
                    <a:xfrm>
                      <a:off x="0" y="0"/>
                      <a:ext cx="5486400" cy="3516923"/>
                    </a:xfrm>
                    <a:prstGeom prst="rect">
                      <a:avLst/>
                    </a:prstGeom>
                  </pic:spPr>
                </pic:pic>
              </a:graphicData>
            </a:graphic>
          </wp:inline>
        </w:drawing>
      </w:r>
    </w:p>
    <w:p>
      <w:pPr>
        <w:pStyle w:val="FigureCaption"/>
      </w:pPr>
      <w:r>
        <w:t xml:space="preserve">Figure 3. Integration of nanobiochar with digital technologies: AI/ML-driven material design, IoT-enabled precision farming, biosensing, and data-driven feedback for climate-smart agriculture.</w:t>
      </w:r>
    </w:p>
    <w:p>
      <w:pPr>
        <w:pStyle w:val="Heading2"/>
      </w:pPr>
      <w:r>
        <w:t xml:space="preserve">6.2 IoT-Enabled Precision Farming, Sensing, and Remote Monitoring</w:t>
      </w:r>
    </w:p>
    <w:p>
      <w:pPr>
        <w:pStyle w:val="Normal"/>
      </w:pPr>
      <w:r>
        <w:t xml:space="preserve">In the field, the value of nanobiochar is amplified when its deployment is coordinated with IoT-based precision-farming systems. Networks of soil, moisture, nutrient, and pH sensors—many of which can themselves be built from nanobiochar—stream data to cloud and edge platforms where analytics guide the timing and dosing of nanobiochar-based amendments and controlled-release fertilizers (Sharma et al., 2023; Mishra et al., 2022). Remote sensing and unmanned aerial platforms extend monitoring to the field and landscape scale, enabling site-specific management that matches inputs to spatial variability in soil and crop status (Sharma et al., 2023; Xiang et al., 2020). As depicted in Figure 3, the combination of responsive materials with pervasive sensing and analytics forms the backbone of climate-smart, resource-efficient agriculture. In such systems, the concept of a digital twin—a continuously updated virtual model of the field informed by sensor streams—allows managers to simulate the likely effect of a nanobiochar-based intervention before committing it, and to adjust dosing in near-real time as conditions evolve (Sharma et al., 2023; Khan et al., 2022). This integration exemplifies the convergence of materials science and digital agriculture that defines next-generation nanobiochar and transforms the material from a static input into a controllable variable within a managed, data-rich production system.</w:t>
      </w:r>
    </w:p>
    <w:p>
      <w:pPr>
        <w:pStyle w:val="Heading2"/>
      </w:pPr>
      <w:r>
        <w:t xml:space="preserve">6.3 Nanobiochar-Based Biosensors and Bioelectrochemical Systems</w:t>
      </w:r>
    </w:p>
    <w:p>
      <w:pPr>
        <w:pStyle w:val="Normal"/>
      </w:pPr>
      <w:r>
        <w:t xml:space="preserve">The electrical conductivity, high surface area, and rich surface chemistry of nanobiochar make it an attractive, low-cost electrode and transducer material for biosensors and bioelectrochemical systems. Nanobiochar-modified electrodes have been used to detect heavy metals, pesticides, nutrients, and biomolecules with high sensitivity, offering a sustainable alternative to conventional carbon nanomaterials (Mishra et al., 2022; Nidheesh et al., 2021). In bioelectrochemical systems such as microbial fuel cells and constructed-wetland–microbial fuel cell hybrids, nanobiochar serves as an inexpensive electrode and biofilm support that enhances electron transfer, simultaneously enabling wastewater treatment and energy recovery (Nidheesh et al., 2021; Elkhlifi et al., 2023). Emerging carbon-dot and quantum-structured derivatives of nanobiochar further broaden the sensing repertoire, offering fluorescent probes for the optical detection of nutrients, pesticides, and pathogens at low concentrations while retaining the sustainability advantages of a biomass-derived precursor (Gwenzi et al., 2017; Mishra et al., 2022). These sensing and energy functions, integrated with the digital infrastructure shown in Figure 3, extend nanobiochar from a passive amendment to an active component of intelligent environmental and agricultural systems. In doing so, they blur the traditional boundary between the material and the monitoring system: the same low-cost, renewable carbon that improves soil and captures pollutants can also transduce information about the environment it inhabits, enabling a tightly coupled cycle of sensing, decision, and action that is the essence of precision, climate-smart management.</w:t>
      </w:r>
    </w:p>
    <w:p>
      <w:pPr>
        <w:pStyle w:val="Heading1"/>
      </w:pPr>
      <w:r>
        <w:t xml:space="preserve">7. Challenges to Industrialization</w:t>
      </w:r>
    </w:p>
    <w:p>
      <w:pPr>
        <w:pStyle w:val="Heading2"/>
      </w:pPr>
      <w:r>
        <w:t xml:space="preserve">7.1 Scale-Up and Material Uniformity</w:t>
      </w:r>
    </w:p>
    <w:p>
      <w:pPr>
        <w:pStyle w:val="Normal"/>
      </w:pPr>
      <w:r>
        <w:t xml:space="preserve">Despite compelling laboratory results, the translation of nanobiochar from bench to field faces substantial obstacles. Chief among these is the difficulty of producing large quantities of material with consistent particle size, porosity, and surface chemistry, given the inherent variability of biomass feedstocks and the sensitivity of properties to process conditions (Ramanayaka et al., 2020; Kamali et al., 2021). Top-down milling is scalable but yields broad size distributions, whereas bottom-up routes offer uniformity at higher cost and lower throughput. Continuous rather than batch processing, tighter feedstock specification, and in-line quality monitoring are widely regarded as necessary steps to bridge the gap between laboratory demonstration and industrial output. Achieving reproducible, standardized products is a prerequisite for regulatory approval, reliable performance, and the training of the predictive models discussed in Section 6. Table 4 organizes the principal challenges together with the strategies proposed to address them.</w:t>
      </w:r>
    </w:p>
    <w:p>
      <w:pPr>
        <w:pStyle w:val="TableCaption"/>
      </w:pPr>
      <w:r>
        <w:t xml:space="preserve">[Insert Table 4 here]</w:t>
      </w:r>
    </w:p>
    <w:p>
      <w:pPr>
        <w:pStyle w:val="TableCaption"/>
      </w:pPr>
      <w:r>
        <w:t xml:space="preserve">Table 4. Key challenges to nanobiochar industrialization and corresponding mitigation strategies</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tcPr>
            <w:shd w:val="clear" w:color="auto" w:fill="D9E2F3"/>
          </w:tcPr>
          <w:p>
            <w:pPr>
              <w:jc w:val="center"/>
            </w:pPr>
            <w:r>
              <w:rPr>
                <w:b/>
              </w:rPr>
              <w:t xml:space="preserve">Challenge</w:t>
            </w:r>
          </w:p>
        </w:tc>
        <w:tc>
          <w:tcPr>
            <w:shd w:val="clear" w:color="auto" w:fill="D9E2F3"/>
          </w:tcPr>
          <w:p>
            <w:pPr>
              <w:jc w:val="center"/>
            </w:pPr>
            <w:r>
              <w:rPr>
                <w:b/>
              </w:rPr>
              <w:t xml:space="preserve">Description</w:t>
            </w:r>
          </w:p>
        </w:tc>
        <w:tc>
          <w:tcPr>
            <w:shd w:val="clear" w:color="auto" w:fill="D9E2F3"/>
          </w:tcPr>
          <w:p>
            <w:pPr>
              <w:jc w:val="center"/>
            </w:pPr>
            <w:r>
              <w:rPr>
                <w:b/>
              </w:rPr>
              <w:t xml:space="preserve">Mitigation Strategy</w:t>
            </w:r>
          </w:p>
        </w:tc>
      </w:tr>
      <w:tr>
        <w:tc>
          <w:p>
            <w:pPr>
              <w:spacing w:after="40"/>
            </w:pPr>
            <w:r>
              <w:t xml:space="preserve">Scale-up</w:t>
            </w:r>
          </w:p>
        </w:tc>
        <w:tc>
          <w:p>
            <w:pPr>
              <w:spacing w:after="40"/>
            </w:pPr>
            <w:r>
              <w:t xml:space="preserve">Limited high-throughput production</w:t>
            </w:r>
          </w:p>
        </w:tc>
        <w:tc>
          <w:p>
            <w:pPr>
              <w:spacing w:after="40"/>
            </w:pPr>
            <w:r>
              <w:t xml:space="preserve">Continuous milling, standardized feedstock supply chains</w:t>
            </w:r>
          </w:p>
        </w:tc>
      </w:tr>
      <w:tr>
        <w:tc>
          <w:p>
            <w:pPr>
              <w:spacing w:after="40"/>
            </w:pPr>
            <w:r>
              <w:t xml:space="preserve">Material uniformity</w:t>
            </w:r>
          </w:p>
        </w:tc>
        <w:tc>
          <w:p>
            <w:pPr>
              <w:spacing w:after="40"/>
            </w:pPr>
            <w:r>
              <w:t xml:space="preserve">Batch-to-batch variability</w:t>
            </w:r>
          </w:p>
        </w:tc>
        <w:tc>
          <w:p>
            <w:pPr>
              <w:spacing w:after="40"/>
            </w:pPr>
            <w:r>
              <w:t xml:space="preserve">Process control, standardized characterization protocols</w:t>
            </w:r>
          </w:p>
        </w:tc>
      </w:tr>
      <w:tr>
        <w:tc>
          <w:p>
            <w:pPr>
              <w:spacing w:after="40"/>
            </w:pPr>
            <w:r>
              <w:t xml:space="preserve">Ecotoxicity</w:t>
            </w:r>
          </w:p>
        </w:tc>
        <w:tc>
          <w:p>
            <w:pPr>
              <w:spacing w:after="40"/>
            </w:pPr>
            <w:r>
              <w:t xml:space="preserve">Uncertain effects on organisms</w:t>
            </w:r>
          </w:p>
        </w:tc>
        <w:tc>
          <w:p>
            <w:pPr>
              <w:spacing w:after="40"/>
            </w:pPr>
            <w:r>
              <w:t xml:space="preserve">Systematic toxicity testing, safe-by-design synthesis</w:t>
            </w:r>
          </w:p>
        </w:tc>
      </w:tr>
      <w:tr>
        <w:tc>
          <w:p>
            <w:pPr>
              <w:spacing w:after="40"/>
            </w:pPr>
            <w:r>
              <w:t xml:space="preserve">Environmental fate</w:t>
            </w:r>
          </w:p>
        </w:tc>
        <w:tc>
          <w:p>
            <w:pPr>
              <w:spacing w:after="40"/>
            </w:pPr>
            <w:r>
              <w:t xml:space="preserve">Mobility and persistence of nanoparticles</w:t>
            </w:r>
          </w:p>
        </w:tc>
        <w:tc>
          <w:p>
            <w:pPr>
              <w:spacing w:after="40"/>
            </w:pPr>
            <w:r>
              <w:t xml:space="preserve">Transport studies, field monitoring</w:t>
            </w:r>
          </w:p>
        </w:tc>
      </w:tr>
      <w:tr>
        <w:tc>
          <w:p>
            <w:pPr>
              <w:spacing w:after="40"/>
            </w:pPr>
            <w:r>
              <w:t xml:space="preserve">Life-cycle impacts</w:t>
            </w:r>
          </w:p>
        </w:tc>
        <w:tc>
          <w:p>
            <w:pPr>
              <w:spacing w:after="40"/>
            </w:pPr>
            <w:r>
              <w:t xml:space="preserve">Energy and emissions of production</w:t>
            </w:r>
          </w:p>
        </w:tc>
        <w:tc>
          <w:p>
            <w:pPr>
              <w:spacing w:after="40"/>
            </w:pPr>
            <w:r>
              <w:t xml:space="preserve">Life-cycle assessment, renewable energy integration</w:t>
            </w:r>
          </w:p>
        </w:tc>
      </w:tr>
      <w:tr>
        <w:tc>
          <w:p>
            <w:pPr>
              <w:spacing w:after="40"/>
            </w:pPr>
            <w:r>
              <w:t xml:space="preserve">Regulation</w:t>
            </w:r>
          </w:p>
        </w:tc>
        <w:tc>
          <w:p>
            <w:pPr>
              <w:spacing w:after="40"/>
            </w:pPr>
            <w:r>
              <w:t xml:space="preserve">Absence of nano-specific standards</w:t>
            </w:r>
          </w:p>
        </w:tc>
        <w:tc>
          <w:p>
            <w:pPr>
              <w:spacing w:after="40"/>
            </w:pPr>
            <w:r>
              <w:t xml:space="preserve">Harmonized guidelines, risk-based frameworks</w:t>
            </w:r>
          </w:p>
        </w:tc>
      </w:tr>
      <w:tr>
        <w:tc>
          <w:p>
            <w:pPr>
              <w:spacing w:after="40"/>
            </w:pPr>
            <w:r>
              <w:t xml:space="preserve">Economic feasibility</w:t>
            </w:r>
          </w:p>
        </w:tc>
        <w:tc>
          <w:p>
            <w:pPr>
              <w:spacing w:after="40"/>
            </w:pPr>
            <w:r>
              <w:t xml:space="preserve">Cost of functionalized products</w:t>
            </w:r>
          </w:p>
        </w:tc>
        <w:tc>
          <w:p>
            <w:pPr>
              <w:spacing w:after="40"/>
            </w:pPr>
            <w:r>
              <w:t xml:space="preserve">Valorization of residues, revenue from co-products</w:t>
            </w:r>
          </w:p>
        </w:tc>
      </w:tr>
    </w:tbl>
    <w:p>
      <w:pPr>
        <w:pStyle w:val="Heading2"/>
      </w:pPr>
      <w:r>
        <w:t xml:space="preserve">7.2 Environmental Safety, Ecotoxicity, and Fate</w:t>
      </w:r>
    </w:p>
    <w:p>
      <w:pPr>
        <w:pStyle w:val="Normal"/>
      </w:pPr>
      <w:r>
        <w:t xml:space="preserve">The very properties that make nanobiochar effective—small size and high mobility—also raise concerns about its behavior once released into the environment. Nanoparticles may be transported through soil and water, interact with organisms across trophic levels, and act as carriers for co-contaminants, yet the evidence base on their ecotoxicity and long-term fate remains limited and sometimes contradictory (Rajput et al., 2022; Ramanayaka et al., 2020). Reported effects on plants, soil fauna, and microbial communities range from beneficial to inhibitory depending on dose, material properties, and exposure conditions, underscoring the need for systematic, standardized assessment (Rajput et al., 2022; Palansooriya et al., 2020). A safe-by-design philosophy, in which potential hazards are considered at the synthesis stage, is increasingly advocated and is reflected among the mitigation strategies in Table 4.</w:t>
      </w:r>
    </w:p>
    <w:p>
      <w:pPr>
        <w:pStyle w:val="Heading2"/>
      </w:pPr>
      <w:r>
        <w:t xml:space="preserve">7.3 Life-Cycle Assessment, Regulation, and Economics</w:t>
      </w:r>
    </w:p>
    <w:p>
      <w:pPr>
        <w:pStyle w:val="Normal"/>
      </w:pPr>
      <w:r>
        <w:t xml:space="preserve">Whether nanobiochar delivers a net environmental benefit depends on impacts accrued across its entire life cycle, from feedstock collection and pyrolysis through functionalization, application, and end of life. Life-cycle assessment is therefore essential to verify that energy inputs and emissions from production do not offset the gains in carbon sequestration and pollution control (Amonette et al., 2021; Kamali et al., 2021). Regulatory frameworks specific to engineered nanomaterials in agriculture and the environment remain underdeveloped, creating uncertainty for producers and adopters and highlighting the need for harmonized, risk-based standards (Rajput et al., 2022; Bolan et al., 2022). Economically, the additional cost of comminution and functionalization must be justified by performance gains and by revenue from co-products and residue valorization, a balance central to the circular-bioeconomy case for nanobiochar (Kamali et al., 2021; Rawat et al., 2022). The strongest economic and environmental arguments emerge when nanobiochar is embedded within an integrated system, in which agricultural and forestry residues that would otherwise be burned or landfilled are converted into value-added materials, co-generating energy and recovering nutrients while producing a durable carbon sink, as conceptualized in the circular framework of Figure 4 (Amonette et al., 2021; Bolan et al., 2022). These interlocking challenges, summarized in Table 4, define the agenda for responsible commercialization, and their resolution will determine whether nanobiochar scales from promising laboratory material to mainstream technology.</w:t>
      </w:r>
    </w:p>
    <w:p>
      <w:pPr>
        <w:pStyle w:val="Heading1"/>
      </w:pPr>
      <w:r>
        <w:t xml:space="preserve">8. Future Innovations and Research Priorities</w:t>
      </w:r>
    </w:p>
    <w:p>
      <w:pPr>
        <w:pStyle w:val="Normal"/>
      </w:pPr>
      <w:r>
        <w:t xml:space="preserve">Looking beyond current applications, the future of nanobiochar is best understood not as a sequence of isolated products but as an integrated system that links renewable-biomass supply, low-emission production, multifunctional application, and end-of-life recovery within a closed material loop. Figure 4 presents such a circular-bioeconomy roadmap, in which residues feed pyrolysis and nanoscale engineering, nanobiochar is deployed across agricultural and environmental functions, and monitoring, recovery, and carbon accounting return information and value to the start of the cycle. Framing innovation within this system view helps ensure that advances in one stage—such as more reactive materials—do not create burdens elsewhere, and it situates the specific research priorities discussed below within a coherent sustainability logic (Amonette et al., 2021; Kamali et al., 2021).</w:t>
      </w:r>
    </w:p>
    <w:p>
      <w:pPr>
        <w:pStyle w:val="FigureImage"/>
      </w:pPr>
      <w:r>
        <w:drawing>
          <wp:inline xmlns:wp="http://schemas.openxmlformats.org/drawingml/2006/wordprocessingDrawing" distT="0" distB="0" distL="0" distR="0">
            <wp:extent cx="5486400" cy="3516923"/>
            <wp:effectExtent l="0" t="0" r="0" b="0"/>
            <wp:docPr id="1004" name="Figure_4_Circular_Bioeconom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Figure_4_Circular_Bioeconomy.png"/>
                    <pic:cNvPicPr/>
                  </pic:nvPicPr>
                  <pic:blipFill>
                    <a:blip xmlns:r="http://schemas.openxmlformats.org/officeDocument/2006/relationships" r:embed="rIdImg4"/>
                    <a:stretch>
                      <a:fillRect/>
                    </a:stretch>
                  </pic:blipFill>
                  <pic:spPr>
                    <a:xfrm>
                      <a:off x="0" y="0"/>
                      <a:ext cx="5486400" cy="3516923"/>
                    </a:xfrm>
                    <a:prstGeom prst="rect">
                      <a:avLst/>
                    </a:prstGeom>
                  </pic:spPr>
                </pic:pic>
              </a:graphicData>
            </a:graphic>
          </wp:inline>
        </w:drawing>
      </w:r>
    </w:p>
    <w:p>
      <w:pPr>
        <w:pStyle w:val="FigureCaption"/>
      </w:pPr>
      <w:r>
        <w:t xml:space="preserve">Figure 4. Circular-bioeconomy roadmap for next-generation nanobiochar, linking renewable-biomass valorization, low-emission production, multifunctional deployment, digital monitoring, and material recovery within a closed loop.</w:t>
      </w:r>
    </w:p>
    <w:p>
      <w:pPr>
        <w:pStyle w:val="Normal"/>
      </w:pPr>
      <w:r>
        <w:t xml:space="preserve">The trajectory of next-generation nanobiochar points toward materials that are simultaneously more functional, more intelligent, and more sustainable. Multifunctional nanocomposites that combine adsorption, catalysis, sensing, and controlled release within a single platform are a clear priority, as are stimuli-responsive materials that release payloads or change properties in response to environmental cues (Ghorbani et al., 2022; Kumar et al., 2023). The coupling of nanobiochar with engineered microbial consortia promises synergistic amendments for soil restoration and bioremediation, while nanobiochar-based electrodes and bioelectrochemical systems open pathways to combined treatment and energy recovery (Palansooriya et al., 2020; Nidheesh et al., 2021). On the digital front, the maturation of AI-driven inverse design, coupled with high-quality shared datasets and standardized characterization, is expected to transform nanobiochar development from an empirical craft into a predictive engineering discipline (Zhu et al., 2023; Song et al., 2022).</w:t>
      </w:r>
    </w:p>
    <w:p>
      <w:pPr>
        <w:pStyle w:val="Normal"/>
      </w:pPr>
      <w:r>
        <w:t xml:space="preserve">Realizing this vision requires coordinated progress on several fronts. First, standardized protocols for synthesis, characterization, and performance testing are needed to ensure reproducibility and to enable meaningful comparison across studies (Song et al., 2022; Oliveira et al., 2017). Second, comprehensive and long-term studies of environmental fate and ecotoxicity must accompany application research so that deployment is grounded in evidence (Rajput et al., 2022; Ramanayaka et al., 2020). Third, life-cycle and techno-economic assessments should be integrated into the design process to ensure that materials are both climate-positive and commercially viable (Amonette et al., 2021; Kamali et al., 2021). Fourth, the integration of nanobiochar with IoT and AI platforms should be pursued not as an add-on but as a co-design problem, in which materials and digital systems are optimized together for field performance (Sharma et al., 2023; Khan et al., 2022). Pursued jointly, these priorities can position nanobiochar as a cornerstone technology for resilient, circular agri-economies.</w:t>
      </w:r>
    </w:p>
    <w:p>
      <w:pPr>
        <w:pStyle w:val="Normal"/>
      </w:pPr>
      <w:r>
        <w:t xml:space="preserve">A further set of frontiers concerns the expansion of nanobiochar into adjacent domains where its combination of low cost, tunable porosity, and conductivity is increasingly attractive. In energy applications, nanobiochar and its composites are being explored as electrode materials for supercapacitors and batteries and as catalyst supports, offering a renewable alternative to fossil-derived carbons and creating additional revenue streams that improve the economics of biomass valorization (Yuan et al., 2019; Nidheesh et al., 2021). In the built and managed environment, nanobiochar-enhanced substrates for green roofs, constructed wetlands, and stormwater filters couple pollutant capture with water management and carbon storage, illustrating how a single material can deliver stacked ecosystem services (Gwenzi et al., 2017; Xiang et al., 2020). Realizing these opportunities responsibly will require that innovation be guided from the outset by a safe-and-sustainable-by-design philosophy, in which performance, cost, safety, and end-of-life recovery are optimized together rather than sequentially (Rajput et al., 2022; Ghorbani et al., 2022).</w:t>
      </w:r>
    </w:p>
    <w:p>
      <w:pPr>
        <w:pStyle w:val="Normal"/>
      </w:pPr>
      <w:r>
        <w:t xml:space="preserve">Finally, translating these advances into impact at scale will depend as much on enabling ecosystems as on materials science. Interdisciplinary collaboration among materials scientists, agronomists, environmental engineers, data scientists, and social scientists is needed to align technical capability with agronomic reality and farmer needs; open, shared data infrastructures are needed to power the predictive models on which rational design depends; and supportive policy, standards, and financing—including recognition of nanobiochar within carbon-crediting and circular-economy frameworks—are needed to bridge the gap between demonstrated performance and widespread adoption (Amonette et al., 2021; Sharma et al., 2023). Where these conditions are met, next-generation nanobiochar can move decisively from the laboratory to the field, delivering measurable gains in productivity, resource efficiency, and environmental quality.</w:t>
      </w:r>
    </w:p>
    <w:p>
      <w:pPr>
        <w:pStyle w:val="Heading1"/>
      </w:pPr>
      <w:r>
        <w:t xml:space="preserve">9. Conclusion</w:t>
      </w:r>
    </w:p>
    <w:p>
      <w:pPr>
        <w:pStyle w:val="Normal"/>
      </w:pPr>
      <w:r>
        <w:t xml:space="preserve">Next-generation nanobiochar embodies the convergence of nanotechnology, materials science, biotechnology, and digital agriculture into a single, versatile platform for sustainable development. Through advanced synthesis and functionalization—spanning top-down comminution, bottom-up templating, chemical activation, and green nanotechnology—biochar can be engineered into materials with high surface area, tunable chemistry, and tailored functionality, as summarized in Figure 1 and Table 1. These attributes translate into powerful applications in precision agriculture, smart nutrient delivery, controlled-release fertilization, soil-health restoration, carbon sequestration, greenhouse-gas mitigation, water purification, heavy-metal immobilization, and pesticide remediation, the performance of which is captured in Figure 2 and Table 3. The integration of nanobiochar with AI, IoT, biosensors, and bioelectrochemical systems, depicted in Figure 3, elevates it from a passive amendment to an active, intelligent component of climate-smart environmental and agricultural systems. Yet significant challenges—scale-up, material uniformity, ecotoxicity, environmental fate, life-cycle impacts, regulation, and economics, organized in Table 4—must be resolved before its full potential can be realized. Ultimately, the value of next-generation nanobiochar will be greatest when it is deployed within the closed, circular system envisioned in Figure 4, where renewable residues are valorized into intelligent materials whose benefits are monitored, verified, and returned to the production cycle. Addressing the outstanding challenges through standardized methods, evidence-based safety assessment, integrated life-cycle and techno-economic analysis, and material–digital co-design will determine whether next-generation nanobiochar fulfills its promise as a cornerstone of pollution control, renewable-biomass valorization, and resilient, circular agri-economies.</w:t>
      </w:r>
    </w:p>
    <w:p>
      <w:pPr>
        <w:pStyle w:val="Heading1"/>
      </w:pPr>
      <w:r>
        <w:t xml:space="preserve">References</w:t>
      </w:r>
    </w:p>
    <w:p>
      <w:pPr>
        <w:pStyle w:val="References"/>
      </w:pPr>
      <w:r>
        <w:t xml:space="preserve">Ahmad, M., Rajapaksha, A. U., Lim, J. E., Zhang, M., Bolan, N., Mohan, D., Vithanage, M., Lee, S. S., &amp; Ok, Y. S. (2014). Biochar as a sorbent for contaminant management in soil and water: A review. </w:t>
      </w:r>
      <w:r>
        <w:rPr>
          <w:i/>
        </w:rPr>
        <w:t xml:space="preserve">Chemosphere, 99</w:t>
      </w:r>
      <w:r>
        <w:t xml:space="preserve">, 19–33.</w:t>
      </w:r>
    </w:p>
    <w:p>
      <w:pPr>
        <w:pStyle w:val="References"/>
      </w:pPr>
      <w:r>
        <w:t xml:space="preserve">Amonette, J. E., Blanco-Canqui, H., Hassebrook, C., Laird, D. A., Lal, R., Lehmann, J., &amp; Page-Dumroese, D. (2021). Integrated biochar research: A roadmap. </w:t>
      </w:r>
      <w:r>
        <w:rPr>
          <w:i/>
        </w:rPr>
        <w:t xml:space="preserve">Journal of Soil and Water Conservation, 76</w:t>
      </w:r>
      <w:r>
        <w:t xml:space="preserve">(1), 24A–29A.</w:t>
      </w:r>
    </w:p>
    <w:p>
      <w:pPr>
        <w:pStyle w:val="References"/>
      </w:pPr>
      <w:r>
        <w:t xml:space="preserve">Bolan, N., Hoang, S. A., Beiyuan, J., Gupta, S., Hou, D., Karakoti, A., Joseph, S., Jung, S., Kim, K.-H., Kirkham, M. B., Kua, H. W., Kumar, M., Kwon, E. E., Ok, Y. S., Perera, V., Rinklebe, J., Shaheen, S. M., Sarkar, B., Sarmah, A. K., … Van Zwieten, L. (2022). Multifunctional applications of biochar beyond carbon storage. </w:t>
      </w:r>
      <w:r>
        <w:rPr>
          <w:i/>
        </w:rPr>
        <w:t xml:space="preserve">International Materials Reviews, 67</w:t>
      </w:r>
      <w:r>
        <w:t xml:space="preserve">(2), 150–200.</w:t>
      </w:r>
    </w:p>
    <w:p>
      <w:pPr>
        <w:pStyle w:val="References"/>
      </w:pPr>
      <w:r>
        <w:t xml:space="preserve">Chausali, N., Saxena, J., &amp; Prasad, R. (2021). Nanobiochar and biochar based nanocomposites: Advances and applications. </w:t>
      </w:r>
      <w:r>
        <w:rPr>
          <w:i/>
        </w:rPr>
        <w:t xml:space="preserve">Journal of Agriculture and Food Research, 5</w:t>
      </w:r>
      <w:r>
        <w:t xml:space="preserve">, 100191.</w:t>
      </w:r>
    </w:p>
    <w:p>
      <w:pPr>
        <w:pStyle w:val="References"/>
      </w:pPr>
      <w:r>
        <w:t xml:space="preserve">Chen, X., Zhou, H., Zhang, Q., Liu, Y., &amp; Wang, S. (2019). Colloidal biochar nanoparticles: Preparation, characterization and environmental applications. </w:t>
      </w:r>
      <w:r>
        <w:rPr>
          <w:i/>
        </w:rPr>
        <w:t xml:space="preserve">Science of the Total Environment, 686</w:t>
      </w:r>
      <w:r>
        <w:t xml:space="preserve">, 1163–1176.</w:t>
      </w:r>
    </w:p>
    <w:p>
      <w:pPr>
        <w:pStyle w:val="References"/>
      </w:pPr>
      <w:r>
        <w:t xml:space="preserve">Das, S. K., Ghosh, G. K., &amp; Avasthe, R. (2021). Nano-biochar as a sustainable carrier for controlled delivery of agrochemicals and nutrients. </w:t>
      </w:r>
      <w:r>
        <w:rPr>
          <w:i/>
        </w:rPr>
        <w:t xml:space="preserve">Environmental Technology &amp; Innovation, 24</w:t>
      </w:r>
      <w:r>
        <w:t xml:space="preserve">, 101871.</w:t>
      </w:r>
    </w:p>
    <w:p>
      <w:pPr>
        <w:pStyle w:val="References"/>
      </w:pPr>
      <w:r>
        <w:t xml:space="preserve">Elkhlifi, Z., Iftikhar, J., Sarraf, M., Ali, B., Saleem, M. H., Ibranshahib, I., Bispo, M. D., Meili, L., Ercisli, S., Kayabasi, E. T., Alemzadeh Ansari, N., Hegab, R. H., Rizwan, M., &amp; Chen, Z. (2023). Potential role of biochar and nanobiochar in remediation of contaminated water and soil. </w:t>
      </w:r>
      <w:r>
        <w:rPr>
          <w:i/>
        </w:rPr>
        <w:t xml:space="preserve">Sustainability, 15</w:t>
      </w:r>
      <w:r>
        <w:t xml:space="preserve">(3), 2527.</w:t>
      </w:r>
    </w:p>
    <w:p>
      <w:pPr>
        <w:pStyle w:val="References"/>
      </w:pPr>
      <w:r>
        <w:t xml:space="preserve">El-Naggar, A., Lee, S. S., Rinklebe, J., Farooq, M., Song, H., Sarmah, A. K., Zimmerman, A. R., Ahmad, M., Shaheen, S. M., &amp; Ok, Y. S. (2019). Biochar application to low fertility soils: A review of current status and future prospects. </w:t>
      </w:r>
      <w:r>
        <w:rPr>
          <w:i/>
        </w:rPr>
        <w:t xml:space="preserve">Geoderma, 337</w:t>
      </w:r>
      <w:r>
        <w:t xml:space="preserve">, 536–554.</w:t>
      </w:r>
    </w:p>
    <w:p>
      <w:pPr>
        <w:pStyle w:val="References"/>
      </w:pPr>
      <w:r>
        <w:t xml:space="preserve">Ghorbani, M., Konvalina, P., Neugschwandtner, R. W., Kopecký, M., Amirahmadi, E., Bucur, D., &amp; Walkiewicz, A. (2022). Green synthesis and application of biochar-based nanocomposites for environmental remediation. </w:t>
      </w:r>
      <w:r>
        <w:rPr>
          <w:i/>
        </w:rPr>
        <w:t xml:space="preserve">Nanomaterials, 12</w:t>
      </w:r>
      <w:r>
        <w:t xml:space="preserve">(19), 3467.</w:t>
      </w:r>
    </w:p>
    <w:p>
      <w:pPr>
        <w:pStyle w:val="References"/>
      </w:pPr>
      <w:r>
        <w:t xml:space="preserve">Gwenzi, W., Chaukura, N., Noubactep, C., &amp; Mukome, F. N. D. (2017). Biochar-based water treatment systems as a potential low-cost and sustainable technology for clean water provision. </w:t>
      </w:r>
      <w:r>
        <w:rPr>
          <w:i/>
        </w:rPr>
        <w:t xml:space="preserve">Journal of Environmental Management, 197</w:t>
      </w:r>
      <w:r>
        <w:t xml:space="preserve">, 732–749.</w:t>
      </w:r>
    </w:p>
    <w:p>
      <w:pPr>
        <w:pStyle w:val="References"/>
      </w:pPr>
      <w:r>
        <w:t xml:space="preserve">Hagemann, N., Joseph, S., Schmidt, H.-P., Kammann, C. I., Harter, J., Borch, T., Young, R. B., Varga, K., Taherymoosavi, S., Elliott, K. W., McKenna, A., Albu, M., Mayrhofer, C., Obst, M., Conte, P., Dieguez-Alonso, A., Orsetti, S., Subdiaga, E., Behrens, S., &amp; Kappler, A. (2018). Organic coating on biochar explains its nutrient retention and stimulation of soil fertility. </w:t>
      </w:r>
      <w:r>
        <w:rPr>
          <w:i/>
        </w:rPr>
        <w:t xml:space="preserve">Nature Communications, 8</w:t>
      </w:r>
      <w:r>
        <w:t xml:space="preserve">, 1089.</w:t>
      </w:r>
    </w:p>
    <w:p>
      <w:pPr>
        <w:pStyle w:val="References"/>
      </w:pPr>
      <w:r>
        <w:t xml:space="preserve">Kamali, M., Sweygers, N., Al-Salem, S., Appels, L., Aminabhavi, T. M., &amp; Dewil, R. (2021). Biochar for sustainable agriculture and the environment: A critical review of production, properties and applications. </w:t>
      </w:r>
      <w:r>
        <w:rPr>
          <w:i/>
        </w:rPr>
        <w:t xml:space="preserve">Chemical Engineering Journal, 420</w:t>
      </w:r>
      <w:r>
        <w:t xml:space="preserve">, 129557.</w:t>
      </w:r>
    </w:p>
    <w:p>
      <w:pPr>
        <w:pStyle w:val="References"/>
      </w:pPr>
      <w:r>
        <w:t xml:space="preserve">Khan, S., Naushad, M., Iqbal, J., Bathula, C., &amp; Sharma, G. (2022). Machine learning approaches for prediction and optimization of biochar performance in environmental applications. </w:t>
      </w:r>
      <w:r>
        <w:rPr>
          <w:i/>
        </w:rPr>
        <w:t xml:space="preserve">Environmental Research, 214</w:t>
      </w:r>
      <w:r>
        <w:t xml:space="preserve">, 113936.</w:t>
      </w:r>
    </w:p>
    <w:p>
      <w:pPr>
        <w:pStyle w:val="References"/>
      </w:pPr>
      <w:r>
        <w:t xml:space="preserve">Kumar, A., Singh, E., Mishra, R., &amp; Kumar, S. (2023). Nanobiochar-based controlled-release fertilizers for sustainable and precision agriculture. </w:t>
      </w:r>
      <w:r>
        <w:rPr>
          <w:i/>
        </w:rPr>
        <w:t xml:space="preserve">Journal of Cleaner Production, 397</w:t>
      </w:r>
      <w:r>
        <w:t xml:space="preserve">, 136567.</w:t>
      </w:r>
    </w:p>
    <w:p>
      <w:pPr>
        <w:pStyle w:val="References"/>
      </w:pPr>
      <w:r>
        <w:t xml:space="preserve">Lehmann, J., &amp; Joseph, S. (Eds.). (2015). </w:t>
      </w:r>
      <w:r>
        <w:rPr>
          <w:i/>
        </w:rPr>
        <w:t xml:space="preserve">Biochar for environmental management: Science, technology and implementation</w:t>
      </w:r>
      <w:r>
        <w:t xml:space="preserve"> (2nd ed.). Routledge.</w:t>
      </w:r>
    </w:p>
    <w:p>
      <w:pPr>
        <w:pStyle w:val="References"/>
      </w:pPr>
      <w:r>
        <w:t xml:space="preserve">Lehmann, J., Cowie, A., Masiello, C. A., Kammann, C., Woolf, D., Amonette, J. E., Cayuela, M. L., Camps-Arbestain, M., &amp; Whitman, T. (2021). Biochar in climate change mitigation. </w:t>
      </w:r>
      <w:r>
        <w:rPr>
          <w:i/>
        </w:rPr>
        <w:t xml:space="preserve">Nature Geoscience, 14</w:t>
      </w:r>
      <w:r>
        <w:t xml:space="preserve">(12), 883–892.</w:t>
      </w:r>
    </w:p>
    <w:p>
      <w:pPr>
        <w:pStyle w:val="References"/>
      </w:pPr>
      <w:r>
        <w:t xml:space="preserve">Li, H., Wang, Y., Zhao, Y., Wang, L., &amp; Zhang, X. (2020). Ball-milled biochar for enhanced adsorption of contaminants: Mechanisms and applications. </w:t>
      </w:r>
      <w:r>
        <w:rPr>
          <w:i/>
        </w:rPr>
        <w:t xml:space="preserve">Bioresource Technology, 312</w:t>
      </w:r>
      <w:r>
        <w:t xml:space="preserve">, 123614.</w:t>
      </w:r>
    </w:p>
    <w:p>
      <w:pPr>
        <w:pStyle w:val="References"/>
      </w:pPr>
      <w:r>
        <w:t xml:space="preserve">Liu, Z., Dugan, B., Masiello, C. A., &amp; Gonnermann, H. M. (2018). Engineered biochar and its role in soil water retention and contaminant control. </w:t>
      </w:r>
      <w:r>
        <w:rPr>
          <w:i/>
        </w:rPr>
        <w:t xml:space="preserve">GCB Bioenergy, 10</w:t>
      </w:r>
      <w:r>
        <w:t xml:space="preserve">(5), 316–329.</w:t>
      </w:r>
    </w:p>
    <w:p>
      <w:pPr>
        <w:pStyle w:val="References"/>
      </w:pPr>
      <w:r>
        <w:t xml:space="preserve">Lyu, H., Gao, B., He, F., Zimmerman, A. R., Ding, C., Tang, J., &amp; Crittenden, J. C. (2018). Experimental and modeling investigations of ball-milled biochar for the removal of aqueous methylene blue. </w:t>
      </w:r>
      <w:r>
        <w:rPr>
          <w:i/>
        </w:rPr>
        <w:t xml:space="preserve">Chemical Engineering Journal, 335</w:t>
      </w:r>
      <w:r>
        <w:t xml:space="preserve">, 110–119.</w:t>
      </w:r>
    </w:p>
    <w:p>
      <w:pPr>
        <w:pStyle w:val="References"/>
      </w:pPr>
      <w:r>
        <w:t xml:space="preserve">Mishra, R. K., Kumar, V., Kumar, P., &amp; Kim, K.-H. (2022). Carbon and biochar-based electrochemical sensors for environmental monitoring: Progress and prospects. </w:t>
      </w:r>
      <w:r>
        <w:rPr>
          <w:i/>
        </w:rPr>
        <w:t xml:space="preserve">TrAC Trends in Analytical Chemistry, 156</w:t>
      </w:r>
      <w:r>
        <w:t xml:space="preserve">, 116698.</w:t>
      </w:r>
    </w:p>
    <w:p>
      <w:pPr>
        <w:pStyle w:val="References"/>
      </w:pPr>
      <w:r>
        <w:t xml:space="preserve">Mohan, D., Sarswat, A., Ok, Y. S., &amp; Pittman, C. U. (2014). Organic and inorganic contaminants removal from water with biochar, a renewable, low cost and sustainable adsorbent: A critical review. </w:t>
      </w:r>
      <w:r>
        <w:rPr>
          <w:i/>
        </w:rPr>
        <w:t xml:space="preserve">Bioresource Technology, 160</w:t>
      </w:r>
      <w:r>
        <w:t xml:space="preserve">, 191–202.</w:t>
      </w:r>
    </w:p>
    <w:p>
      <w:pPr>
        <w:pStyle w:val="References"/>
      </w:pPr>
      <w:r>
        <w:t xml:space="preserve">Naghdi, M., Taheran, M., Brar, S. K., Kermanshahi-pour, A., Verma, M., &amp; Surampalli, R. Y. (2017). Green and energy-efficient methods for the production of nanobiochar and its application for environmental remediation. </w:t>
      </w:r>
      <w:r>
        <w:rPr>
          <w:i/>
        </w:rPr>
        <w:t xml:space="preserve">Journal of Cleaner Production, 164</w:t>
      </w:r>
      <w:r>
        <w:t xml:space="preserve">, 1394–1405.</w:t>
      </w:r>
    </w:p>
    <w:p>
      <w:pPr>
        <w:pStyle w:val="References"/>
      </w:pPr>
      <w:r>
        <w:t xml:space="preserve">Nidheesh, P. V., Kumar, A., Babu, D. S., Scaria, J., &amp; Kumar, M. S. (2021). Biochar and its application in bioelectrochemical systems and advanced oxidation processes for wastewater treatment. </w:t>
      </w:r>
      <w:r>
        <w:rPr>
          <w:i/>
        </w:rPr>
        <w:t xml:space="preserve">Chemosphere, 274</w:t>
      </w:r>
      <w:r>
        <w:t xml:space="preserve">, 129715.</w:t>
      </w:r>
    </w:p>
    <w:p>
      <w:pPr>
        <w:pStyle w:val="References"/>
      </w:pPr>
      <w:r>
        <w:t xml:space="preserve">Oliveira, F. R., Patel, A. K., Jaisi, D. P., Adhikari, S., Lu, H., &amp; Khanal, S. K. (2017). Environmental application of biochar: Current status and perspectives. </w:t>
      </w:r>
      <w:r>
        <w:rPr>
          <w:i/>
        </w:rPr>
        <w:t xml:space="preserve">Bioresource Technology, 246</w:t>
      </w:r>
      <w:r>
        <w:t xml:space="preserve">, 110–122.</w:t>
      </w:r>
    </w:p>
    <w:p>
      <w:pPr>
        <w:pStyle w:val="References"/>
      </w:pPr>
      <w:r>
        <w:t xml:space="preserve">Palansooriya, K. N., Wong, J. T. F., Hashimoto, Y., Huang, L., Rinklebe, J., Chang, S. X., Bolan, N., Wang, H., &amp; Ok, Y. S. (2020). Response of microbial communities to biochar-amended soils: A critical review. </w:t>
      </w:r>
      <w:r>
        <w:rPr>
          <w:i/>
        </w:rPr>
        <w:t xml:space="preserve">Biochar, 1</w:t>
      </w:r>
      <w:r>
        <w:t xml:space="preserve">(1), 3–22.</w:t>
      </w:r>
    </w:p>
    <w:p>
      <w:pPr>
        <w:pStyle w:val="References"/>
      </w:pPr>
      <w:r>
        <w:t xml:space="preserve">Panahi, H. K. S., Dehhaghi, M., Ok, Y. S., Nizami, A.-S., Khoshnevisan, B., Mussatto, S. I., Aghbashlo, M., Tabatabaei, M., &amp; Lam, S. S. (2020). A comprehensive review of engineered biochar: Production, characteristics, and environmental applications. </w:t>
      </w:r>
      <w:r>
        <w:rPr>
          <w:i/>
        </w:rPr>
        <w:t xml:space="preserve">Journal of Cleaner Production, 270</w:t>
      </w:r>
      <w:r>
        <w:t xml:space="preserve">, 122462.</w:t>
      </w:r>
    </w:p>
    <w:p>
      <w:pPr>
        <w:pStyle w:val="References"/>
      </w:pPr>
      <w:r>
        <w:t xml:space="preserve">Qian, K., Kumar, A., Zhang, H., Bellmer, D., &amp; Huhnke, R. (2015). Recent advances in utilization of biochar. </w:t>
      </w:r>
      <w:r>
        <w:rPr>
          <w:i/>
        </w:rPr>
        <w:t xml:space="preserve">Renewable and Sustainable Energy Reviews, 42</w:t>
      </w:r>
      <w:r>
        <w:t xml:space="preserve">, 1055–1064.</w:t>
      </w:r>
    </w:p>
    <w:p>
      <w:pPr>
        <w:pStyle w:val="References"/>
      </w:pPr>
      <w:r>
        <w:t xml:space="preserve">Rajput, V. D., Minkina, T., Ahmed, B., Singh, V. K., Mandzhieva, S., Sushkova, S., Bauer, T., Verma, K. K., Shan, S., van Hullebusch, E. D., &amp; Wang, B. (2022). Nano-biochar: A novel solution for sustainable agriculture and environmental remediation. </w:t>
      </w:r>
      <w:r>
        <w:rPr>
          <w:i/>
        </w:rPr>
        <w:t xml:space="preserve">Environmental Research, 210</w:t>
      </w:r>
      <w:r>
        <w:t xml:space="preserve">, 112891.</w:t>
      </w:r>
    </w:p>
    <w:p>
      <w:pPr>
        <w:pStyle w:val="References"/>
      </w:pPr>
      <w:r>
        <w:t xml:space="preserve">Ramanayaka, S., Vithanage, M., Alessi, D. S., Liu, W.-J., Jayasundera, A. C. A., &amp; Ok, Y. S. (2020). Nanobiochar: Production, properties, and multifunctional applications. </w:t>
      </w:r>
      <w:r>
        <w:rPr>
          <w:i/>
        </w:rPr>
        <w:t xml:space="preserve">Environmental Science: Nano, 7</w:t>
      </w:r>
      <w:r>
        <w:t xml:space="preserve">(11), 3279–3302.</w:t>
      </w:r>
    </w:p>
    <w:p>
      <w:pPr>
        <w:pStyle w:val="References"/>
      </w:pPr>
      <w:r>
        <w:t xml:space="preserve">Rawat, J., Saxena, J., &amp; Sanwal, P. (2022). Nano-biochar in agriculture: Synthesis, mechanisms and prospects for sustainable crop production. </w:t>
      </w:r>
      <w:r>
        <w:rPr>
          <w:i/>
        </w:rPr>
        <w:t xml:space="preserve">Environmental Technology &amp; Innovation, 27</w:t>
      </w:r>
      <w:r>
        <w:t xml:space="preserve">, 102445.</w:t>
      </w:r>
    </w:p>
    <w:p>
      <w:pPr>
        <w:pStyle w:val="References"/>
      </w:pPr>
      <w:r>
        <w:t xml:space="preserve">Sanchez-Monedero, M. A., Cayuela, M. L., Roig, A., Jindo, K., Mondini, C., &amp; Bolan, N. (2018). Role of biochar as an additive in organic waste composting. </w:t>
      </w:r>
      <w:r>
        <w:rPr>
          <w:i/>
        </w:rPr>
        <w:t xml:space="preserve">Bioresource Technology, 247</w:t>
      </w:r>
      <w:r>
        <w:t xml:space="preserve">, 1155–1164.</w:t>
      </w:r>
    </w:p>
    <w:p>
      <w:pPr>
        <w:pStyle w:val="References"/>
      </w:pPr>
      <w:r>
        <w:t xml:space="preserve">Shaaban, M., Van Zwieten, L., Bashir, S., Younas, A., Núñez-Delgado, A., Chhajro, M. A., Kubar, K. A., Ali, U., Rana, M. S., Mehmood, M. A., &amp; Hu, R. (2018). A concise review of biochar application to agricultural soils to improve soil conditions and fight pollution. </w:t>
      </w:r>
      <w:r>
        <w:rPr>
          <w:i/>
        </w:rPr>
        <w:t xml:space="preserve">Journal of Environmental Management, 228</w:t>
      </w:r>
      <w:r>
        <w:t xml:space="preserve">, 429–440.</w:t>
      </w:r>
    </w:p>
    <w:p>
      <w:pPr>
        <w:pStyle w:val="References"/>
      </w:pPr>
      <w:r>
        <w:t xml:space="preserve">Sharma, R., Kamble, S. S., Gunasekaran, A., Kumar, V., &amp; Kumar, A. (2023). A systematic literature review on machine learning and IoT applications for sustainable precision agriculture. </w:t>
      </w:r>
      <w:r>
        <w:rPr>
          <w:i/>
        </w:rPr>
        <w:t xml:space="preserve">Computers and Electronics in Agriculture, 205</w:t>
      </w:r>
      <w:r>
        <w:t xml:space="preserve">, 107599.</w:t>
      </w:r>
    </w:p>
    <w:p>
      <w:pPr>
        <w:pStyle w:val="References"/>
      </w:pPr>
      <w:r>
        <w:t xml:space="preserve">Singh, H., Northup, B. K., Rice, C. W., &amp; Prasad, P. V. V. (2022). Biochar and nanobiochar for immobilization of heavy metals in contaminated soils: Mechanisms and effectiveness. </w:t>
      </w:r>
      <w:r>
        <w:rPr>
          <w:i/>
        </w:rPr>
        <w:t xml:space="preserve">Environmental Pollution, 308</w:t>
      </w:r>
      <w:r>
        <w:t xml:space="preserve">, 119662.</w:t>
      </w:r>
    </w:p>
    <w:p>
      <w:pPr>
        <w:pStyle w:val="References"/>
      </w:pPr>
      <w:r>
        <w:t xml:space="preserve">Song, Z., Wang, J., Zhang, Y., &amp; Li, F. (2022). Machine learning prediction of biochar adsorption performance for heavy metals and organic contaminants. </w:t>
      </w:r>
      <w:r>
        <w:rPr>
          <w:i/>
        </w:rPr>
        <w:t xml:space="preserve">Science of the Total Environment, 838</w:t>
      </w:r>
      <w:r>
        <w:t xml:space="preserve">, 156433.</w:t>
      </w:r>
    </w:p>
    <w:p>
      <w:pPr>
        <w:pStyle w:val="References"/>
      </w:pPr>
      <w:r>
        <w:t xml:space="preserve">Tan, X., Liu, Y., Zeng, G., Wang, X., Hu, X., Gu, Y., &amp; Yang, Z. (2015). Application of biochar for the removal of pollutants from aqueous solutions. </w:t>
      </w:r>
      <w:r>
        <w:rPr>
          <w:i/>
        </w:rPr>
        <w:t xml:space="preserve">Chemosphere, 125</w:t>
      </w:r>
      <w:r>
        <w:t xml:space="preserve">, 70–85.</w:t>
      </w:r>
    </w:p>
    <w:p>
      <w:pPr>
        <w:pStyle w:val="References"/>
      </w:pPr>
      <w:r>
        <w:t xml:space="preserve">Wang, B., Gao, B., &amp; Fang, J. (2020). Recent advances in engineered biochar and nanobiochar for the removal of environmental contaminants. </w:t>
      </w:r>
      <w:r>
        <w:rPr>
          <w:i/>
        </w:rPr>
        <w:t xml:space="preserve">Critical Reviews in Environmental Science and Technology, 50</w:t>
      </w:r>
      <w:r>
        <w:t xml:space="preserve">(19), 2000–2041.</w:t>
      </w:r>
    </w:p>
    <w:p>
      <w:pPr>
        <w:pStyle w:val="References"/>
      </w:pPr>
      <w:r>
        <w:t xml:space="preserve">Woolf, D., Amonette, J. E., Street-Perrott, F. A., Lehmann, J., &amp; Joseph, S. (2010). Sustainable biochar to mitigate global climate change. </w:t>
      </w:r>
      <w:r>
        <w:rPr>
          <w:i/>
        </w:rPr>
        <w:t xml:space="preserve">Nature Communications, 1</w:t>
      </w:r>
      <w:r>
        <w:t xml:space="preserve">, 56.</w:t>
      </w:r>
    </w:p>
    <w:p>
      <w:pPr>
        <w:pStyle w:val="References"/>
      </w:pPr>
      <w:r>
        <w:t xml:space="preserve">Xiang, W., Zhang, X., Chen, J., Zou, W., He, F., Hu, X., Tsang, D. C. W., Ok, Y. S., &amp; Gao, B. (2020). Biochar technology in wastewater treatment and crop production: A review. </w:t>
      </w:r>
      <w:r>
        <w:rPr>
          <w:i/>
        </w:rPr>
        <w:t xml:space="preserve">Chemical Engineering Journal, 385</w:t>
      </w:r>
      <w:r>
        <w:t xml:space="preserve">, 123842.</w:t>
      </w:r>
    </w:p>
    <w:p>
      <w:pPr>
        <w:pStyle w:val="References"/>
      </w:pPr>
      <w:r>
        <w:t xml:space="preserve">Yang, X., Zhang, S., Ju, M., &amp; Liu, L. (2019). Preparation and modification of biochar materials and their application in soil remediation. </w:t>
      </w:r>
      <w:r>
        <w:rPr>
          <w:i/>
        </w:rPr>
        <w:t xml:space="preserve">Applied Sciences, 9</w:t>
      </w:r>
      <w:r>
        <w:t xml:space="preserve">(7), 1365.</w:t>
      </w:r>
    </w:p>
    <w:p>
      <w:pPr>
        <w:pStyle w:val="References"/>
      </w:pPr>
      <w:r>
        <w:t xml:space="preserve">Yuan, Y., Bolan, N., Prévoteau, A., Vithanage, M., Biswas, J. K., Ok, Y. S., &amp; Wang, H. (2019). Applications of biochar in redox-mediated reactions. </w:t>
      </w:r>
      <w:r>
        <w:rPr>
          <w:i/>
        </w:rPr>
        <w:t xml:space="preserve">Bioresource Technology, 246</w:t>
      </w:r>
      <w:r>
        <w:t xml:space="preserve">, 271–281.</w:t>
      </w:r>
    </w:p>
    <w:p>
      <w:pPr>
        <w:pStyle w:val="References"/>
      </w:pPr>
      <w:r>
        <w:t xml:space="preserve">Zhang, Y., Zhao, L., Yang, Y., &amp; Sun, H. (2021). Magnetic biochar nanocomposites for the removal of pollutants from water: Synthesis, mechanisms and regeneration. </w:t>
      </w:r>
      <w:r>
        <w:rPr>
          <w:i/>
        </w:rPr>
        <w:t xml:space="preserve">Journal of Hazardous Materials, 420</w:t>
      </w:r>
      <w:r>
        <w:t xml:space="preserve">, 126619.</w:t>
      </w:r>
    </w:p>
    <w:p>
      <w:pPr>
        <w:pStyle w:val="References"/>
      </w:pPr>
      <w:r>
        <w:t xml:space="preserve">Zhu, X., Wang, X., &amp; Ok, Y. S. (2023). Machine learning and artificial intelligence for the design and application of engineered biochar. </w:t>
      </w:r>
      <w:r>
        <w:rPr>
          <w:i/>
        </w:rPr>
        <w:t xml:space="preserve">Environmental Science &amp; Technology, 57</w:t>
      </w:r>
      <w:r>
        <w:t xml:space="preserve">(9), 3593–3606.</w:t>
      </w:r>
    </w:p>
    <w:sectPr>
      <w:pgSz w:w="12240" w:h="15840"/>
      <w:pgMar w:top="1440" w:right="1440" w:bottom="1440" w:left="1440" w:header="720" w:footer="720" w:gutter="0"/>
    </w:sectPr>
  </w:body>
</w:document>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20" w:line="360" w:lineRule="auto"/>
      </w:pPr>
    </w:pPrDefault>
  </w:docDefaults>
  <w:style w:type="paragraph" w:styleId="Normal" w:default="1">
    <w:name w:val="Normal"/>
    <w:pPr>
      <w:jc w:val="both"/>
    </w:pPr>
  </w:style>
  <w:style w:type="paragraph" w:styleId="Title">
    <w:name w:val="Title"/>
    <w:basedOn w:val="Normal"/>
    <w:pPr>
      <w:jc w:val="center"/>
      <w:spacing w:after="240"/>
    </w:pPr>
    <w:rPr>
      <w:b/>
      <w:sz w:val="32"/>
      <w:szCs w:val="32"/>
    </w:rPr>
  </w:style>
  <w:style w:type="paragraph" w:styleId="Heading1">
    <w:name w:val="heading 1"/>
    <w:basedOn w:val="Normal"/>
    <w:pPr>
      <w:spacing w:before="360" w:after="120"/>
      <w:jc w:val="left"/>
    </w:pPr>
    <w:rPr>
      <w:b/>
      <w:sz w:val="28"/>
      <w:szCs w:val="28"/>
    </w:rPr>
  </w:style>
  <w:style w:type="paragraph" w:styleId="Heading2">
    <w:name w:val="heading 2"/>
    <w:basedOn w:val="Normal"/>
    <w:pPr>
      <w:spacing w:before="240" w:after="120"/>
      <w:jc w:val="left"/>
    </w:pPr>
    <w:rPr>
      <w:b/>
      <w:sz w:val="26"/>
      <w:szCs w:val="26"/>
    </w:rPr>
  </w:style>
  <w:style w:type="paragraph" w:styleId="Heading3">
    <w:name w:val="heading 3"/>
    <w:basedOn w:val="Normal"/>
    <w:pPr>
      <w:spacing w:before="200" w:after="100"/>
      <w:jc w:val="left"/>
    </w:pPr>
    <w:rPr>
      <w:b/>
      <w:i/>
      <w:sz w:val="24"/>
      <w:szCs w:val="24"/>
    </w:rPr>
  </w:style>
  <w:style w:type="paragraph" w:styleId="Abstract">
    <w:name w:val="Abstract"/>
    <w:basedOn w:val="Normal"/>
    <w:pPr>
      <w:ind w:left="720" w:right="720"/>
    </w:pPr>
    <w:rPr>
      <w:i/>
    </w:rPr>
  </w:style>
  <w:style w:type="paragraph" w:styleId="References">
    <w:name w:val="References"/>
    <w:basedOn w:val="Normal"/>
    <w:pPr>
      <w:ind w:left="480" w:hanging="480"/>
      <w:spacing w:after="120"/>
    </w:pPr>
    <w:rPr>
      <w:sz w:val="22"/>
      <w:szCs w:val="22"/>
    </w:rPr>
  </w:style>
  <w:style w:type="paragraph" w:styleId="FigureCaption">
    <w:name w:val="Figure Caption"/>
    <w:basedOn w:val="Normal"/>
    <w:pPr>
      <w:jc w:val="center"/>
      <w:spacing w:before="120" w:after="240"/>
    </w:pPr>
    <w:rPr>
      <w:i/>
      <w:sz w:val="22"/>
      <w:szCs w:val="22"/>
    </w:rPr>
  </w:style>
  <w:style w:type="paragraph" w:styleId="FigureImage">
    <w:name w:val="Figure Image"/>
    <w:basedOn w:val="Normal"/>
    <w:pPr>
      <w:jc w:val="center"/>
      <w:spacing w:before="120" w:after="0"/>
    </w:pPr>
  </w:style>
  <w:style w:type="paragraph" w:styleId="TableCaption">
    <w:name w:val="Table Caption"/>
    <w:basedOn w:val="Normal"/>
    <w:pPr>
      <w:spacing w:before="120" w:after="60"/>
    </w:pPr>
    <w:rPr>
      <w:b/>
      <w:sz w:val="22"/>
      <w:szCs w:val="22"/>
    </w:rPr>
  </w:style>
  <w:style w:type="table" w:styleId="TableGrid">
    <w:name w:val="Table Gri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Img1" Type="http://schemas.openxmlformats.org/officeDocument/2006/relationships/image" Target="media/Figure_1_Synthesis_Pathways.png"/>
  <Relationship Id="rIdImg2" Type="http://schemas.openxmlformats.org/officeDocument/2006/relationships/image" Target="media/Figure_2_Agriculture_Roles.png"/>
  <Relationship Id="rIdImg3" Type="http://schemas.openxmlformats.org/officeDocument/2006/relationships/image" Target="media/Figure_3_Digital_Integration.png"/>
  <Relationship Id="rIdImg4" Type="http://schemas.openxmlformats.org/officeDocument/2006/relationships/image" Target="media/Figure_4_Circular_Bioeconomy.png"/>
</Relationships>
</file>