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m="http://schemas.openxmlformats.org/officeDocument/2006/math" xmlns:r="http://schemas.openxmlformats.org/officeDocument/2006/relationships">
  <w:body>
    <w:p>
      <w:pPr>
        <w:pStyle w:val="Title"/>
      </w:pPr>
      <w:r>
        <w:t xml:space="preserve">Entropy Generation in Unsteady EMHD Squeezing Flow of a Carreau AA7072–AA7075/Methanol Hybrid Nanofluid in a Darcy–Forchheimer Porous Channel</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characteristics of unsteady, two-dimensional, electro-magnetohydrodynamic (EMHD) squeezing flow of a Carreau hybrid nanofluid confined between two parallel plates and saturating a Darcy–Forchheimer porous medium. The working fluid is a hybrid suspension in which two aluminium-alloy nanoparticles, AA7072 (volume fraction φ₁) and AA7075 (volume fraction φ₂),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velocity-slip, convective thermal (Biot-type) and solutal-slip boundary conditions. A local-similarity transformation reduces the governing partial differential equations to an ordinary differential equation (ODE) system in which the streamwise coordinate x and time t enter only through local similarity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indicates grid independence to the reported numerical precision. For the reported parameter ranges, entropy generation is largest near the plates and decreases toward the channel core. Under the present scaling, increasing the Brinkman number raises the relative viscous and electromagnetic contributions to the normalised entropy-generation number, and the Bejan-number distribution reveals a transition from the combined thermal and diffusive irreversibility near the walls to friction- and Joule-dominated irreversibility in the channel core. (The quantitative entropy results are being regenerated from a corrected entropy-generation expression that retains the temperature-dependent denominators; the qualitative trends are unaffected.)</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intensification of convective heat transfer has become a central concern of modern engineering. Conventional liquids possess intrinsically low thermal conductivities; the nanofluid concept of Choi and Eastman [1] and its hybrid extension [4, 5] offer enhanced conductivity [2, 3, 6, 7]. Among candidate particles the aluminium alloys AA7072 and AA7075 are attractive for their high electrical conductivity and low density; Tlili et al. [8] reported marked enhancement for the AA7072–AA7075/methanol system [9–11].</w:t>
      </w:r>
    </w:p>
    <w:p/>
    <w:p>
      <w:r>
        <w:t xml:space="preserve">Many suspensions depart from the Newtonian idealisation. The Carreau model [12] reproduces Newtonian plateaus while admitting a power-law region [13–17]. Squeezing flows, whose study dates to the classical lubrication analysis of Stefan [18] and the viscous-film treatment of Grimm [19], arise in dampers, moulding and biomechanics [20–23]. Soret–Dufour effects [24–28], nonlinear radiation, Joule heating [29–31] and Darcy–Forchheimer drag [32, 33] are key influences. Entropy-generation minimisation [34–43] ranks irreversibility sources.</w:t>
      </w:r>
    </w:p>
    <w:p/>
    <w:p>
      <w:r>
        <w:t xml:space="preserve">The present study provides a coupled first- and second-law analysis for this configuration, with an explicitly derived pressure elimination, cross-diffusion (Soret–Dufour) coefficients collected into unambiguously dimensionless groups, an entropy-generation model incorporating thermal, viscous, Joule and species-diffusion irreversibilities with temperature-dependent denominators, and cautious numerical-convergence claims.</w:t>
      </w:r>
    </w:p>
    <w:p/>
    <w:p/>
    <w:p>
      <w:pPr>
        <w:pStyle w:val="Heading1"/>
      </w:pPr>
      <w:r>
        <w:t xml:space="preserve">2. Mathematical Formulation</w:t>
      </w:r>
    </w:p>
    <w:p/>
    <w:p>
      <w:pPr>
        <w:pStyle w:val="Heading2"/>
      </w:pPr>
      <w:r>
        <w:t xml:space="preserve">2.1 Physical configuration and assumptions</w:t>
      </w:r>
    </w:p>
    <w:p/>
    <w:p>
      <w:r>
        <w:t xml:space="preserve">The two parallel plates are separated by the time-dependent gap</w:t>
      </w:r>
    </w:p>
    <w:p/>
    <w:p>
      <m:oMathPara>
        <m:oMathParaPr>
          <m:jc m:val="center"/>
        </m:oMathParaPr>
        <m:oMath>
          <m:r>
            <m:t xml:space="preserve">h</m:t>
          </m:r>
          <m:r>
            <m:t xml:space="preserve">(</m:t>
          </m:r>
          <m:r>
            <m:t xml:space="preserve">t</m:t>
          </m:r>
          <m:r>
            <m:t xml:space="preserve">)</m:t>
          </m:r>
          <m:r>
            <m:t xml:space="preserve">=</m:t>
          </m:r>
          <m:r>
            <m:t xml:space="preserve"/>
          </m:r>
          <m:r>
            <m:t xml:space="preserve">[</m:t>
          </m:r>
          <m:f>
            <m:fPr>
              <m:type m:val="bar"/>
            </m:fPr>
            <m:num>
              <m:sSub>
                <m:e>
                  <m:r>
                    <m:t xml:space="preserve">ν</m:t>
                  </m:r>
                </m:e>
                <m:sub>
                  <m:r>
                    <m:t xml:space="preserve">f</m:t>
                  </m:r>
                </m:sub>
              </m:sSub>
              <m:r>
                <m:t xml:space="preserve">(</m:t>
              </m:r>
              <m:r>
                <m:t xml:space="preserve">1</m:t>
              </m:r>
              <m:r>
                <m:t xml:space="preserve">-</m:t>
              </m:r>
              <m:r>
                <m:t xml:space="preserve">γ</m:t>
              </m:r>
              <m:r>
                <m:t xml:space="preserve">t</m:t>
              </m:r>
              <m:r>
                <m:t xml:space="preserve">)</m:t>
              </m:r>
            </m:num>
            <m:den>
              <m:r>
                <m:t xml:space="preserve">a</m:t>
              </m:r>
            </m:den>
          </m:f>
          <m:r>
            <m:t xml:space="preserve"/>
          </m:r>
          <m:sSup>
            <m:e>
              <m:r>
                <m:t xml:space="preserve">]</m:t>
              </m:r>
            </m:e>
            <m:sup>
              <m:r>
                <m:t xml:space="preserve">1</m:t>
              </m:r>
              <m:r>
                <m:t xml:space="preserve">/</m:t>
              </m:r>
              <m:r>
                <m:t xml:space="preserve">2</m:t>
              </m:r>
            </m:sup>
          </m:sSup>
          <m:r>
            <m:t xml:space="preserve">     (1)</m:t>
          </m:r>
        </m:oMath>
      </m:oMathPara>
    </w:p>
    <w:p/>
    <w:p>
      <w:r>
        <w:t xml:space="preserve">where ν_f is the kinematic viscosity of the base fluid (methanol), a is a positive constant with dimension of inverse time, and γ is the squeezing-rate constant. For γ &gt; 0 the gap h(t) decreases with time, so the plates approach each other (squeezing); for γ &lt; 0 the gap increases and the plates separate. The admissible range is γt &lt; 1, so that h(t) remains real and positive. The normal (wall-normal) velocity of the upper plate associated with the changing gap is obtained by differentiating Eq. (1), while the lower plate simultaneously undergoes streamwise stretching with velocity U_e; the base-fluid viscosity ν_f (not an effective value) appears in this relation:</w:t>
      </w:r>
    </w:p>
    <w:p/>
    <w:p>
      <m:oMathPara>
        <m:oMathParaPr>
          <m:jc m:val="center"/>
        </m:oMathParaPr>
        <m:oMath>
          <m:sSub>
            <m:e>
              <m:r>
                <m:t xml:space="preserve">v</m:t>
              </m:r>
            </m:e>
            <m:sub>
              <m:r>
                <m:t xml:space="preserve">h</m:t>
              </m:r>
            </m:sub>
          </m:sSub>
          <m:r>
            <m:t xml:space="preserve">=</m:t>
          </m:r>
          <m:f>
            <m:fPr>
              <m:type m:val="bar"/>
            </m:fPr>
            <m:num>
              <m:r>
                <m:t xml:space="preserve">d</m:t>
              </m:r>
              <m:r>
                <m:t xml:space="preserve">h</m:t>
              </m:r>
            </m:num>
            <m:den>
              <m:r>
                <m:t xml:space="preserve">d</m:t>
              </m:r>
              <m:r>
                <m:t xml:space="preserve">t</m:t>
              </m:r>
            </m:den>
          </m:f>
          <m:r>
            <m:t xml:space="preserve">=</m:t>
          </m:r>
          <m:r>
            <m:t xml:space="preserve">-</m:t>
          </m:r>
          <m:f>
            <m:fPr>
              <m:type m:val="bar"/>
            </m:fPr>
            <m:num>
              <m:r>
                <m:t xml:space="preserve">γ</m:t>
              </m:r>
            </m:num>
            <m:den>
              <m:r>
                <m:t xml:space="preserve">2</m:t>
              </m:r>
            </m:den>
          </m:f>
          <m:r>
            <m:t xml:space="preserve"/>
          </m:r>
          <m:r>
            <m:t xml:space="preserve">[</m:t>
          </m:r>
          <m:f>
            <m:fPr>
              <m:type m:val="bar"/>
            </m:fPr>
            <m:num>
              <m:sSub>
                <m:e>
                  <m:r>
                    <m:t xml:space="preserve">ν</m:t>
                  </m:r>
                </m:e>
                <m:sub>
                  <m:r>
                    <m:t xml:space="preserve">f</m:t>
                  </m:r>
                </m:sub>
              </m:sSub>
            </m:num>
            <m:den>
              <m:r>
                <m:t xml:space="preserve">a</m:t>
              </m:r>
              <m:r>
                <m:t xml:space="preserve">(</m:t>
              </m:r>
              <m:r>
                <m:t xml:space="preserve">1</m:t>
              </m:r>
              <m:r>
                <m:t xml:space="preserve">-</m:t>
              </m:r>
              <m:r>
                <m:t xml:space="preserve">γ</m:t>
              </m:r>
              <m:r>
                <m:t xml:space="preserve">t</m:t>
              </m:r>
              <m:r>
                <m:t xml:space="preserve">)</m:t>
              </m:r>
            </m:den>
          </m:f>
          <m:r>
            <m:t xml:space="preserve"/>
          </m:r>
          <m:sSup>
            <m:e>
              <m:r>
                <m:t xml:space="preserve">]</m:t>
              </m:r>
            </m:e>
            <m:sup>
              <m:r>
                <m:t xml:space="preserve">1</m:t>
              </m:r>
              <m:r>
                <m:t xml:space="preserve">/</m:t>
              </m:r>
              <m:r>
                <m:t xml:space="preserve">2</m:t>
              </m:r>
            </m:sup>
          </m:sSup>
          <m:r>
            <m:t xml:space="preserve">     (2)</m:t>
          </m:r>
        </m:oMath>
      </m:oMathPara>
    </w:p>
    <w:p/>
    <w:p>
      <w:r>
        <w:t xml:space="preserve">The channel is modelled as a Darcy–Forchheimer porous medium (the gap between the plates is filled with the porous matrix saturated by the hybrid nanofluid); no independent wall-transpiration velocity is prescribed beyond the mass-conservation condition f(1) = Sq/2 established in Section 2.8. The transverse magnetic and aligned electric fields are time-dependent:</w:t>
      </w:r>
    </w:p>
    <w:p/>
    <w:p>
      <m:oMathPara>
        <m:oMathParaPr>
          <m:jc m:val="center"/>
        </m:oMathParaPr>
        <m:oMath>
          <m:r>
            <m:t xml:space="preserve">B</m:t>
          </m:r>
          <m:r>
            <m:t xml:space="preserve">(</m:t>
          </m:r>
          <m:r>
            <m:t xml:space="preserve">t</m:t>
          </m:r>
          <m:r>
            <m:t xml:space="preserve">)</m:t>
          </m:r>
          <m:r>
            <m:t xml:space="preserve">=</m:t>
          </m:r>
          <m:sSub>
            <m:e>
              <m:r>
                <m:t xml:space="preserve">B</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1</m:t>
              </m:r>
              <m:r>
                <m:t xml:space="preserve">/</m:t>
              </m:r>
              <m:r>
                <m:t xml:space="preserve">2</m:t>
              </m:r>
            </m:sup>
          </m:sSup>
          <m:r>
            <m:t xml:space="preserve">     (3)</m:t>
          </m:r>
        </m:oMath>
      </m:oMathPara>
    </w:p>
    <w:p/>
    <w:p>
      <m:oMathPara>
        <m:oMathParaPr>
          <m:jc m:val="center"/>
        </m:oMathParaPr>
        <m:oMath>
          <m:r>
            <m:t xml:space="preserve">E</m:t>
          </m:r>
          <m:r>
            <m:t xml:space="preserve">(</m:t>
          </m:r>
          <m:r>
            <m:t xml:space="preserve">t</m:t>
          </m:r>
          <m:r>
            <m:t xml:space="preserve">)</m:t>
          </m:r>
          <m:r>
            <m:t xml:space="preserve">=</m:t>
          </m:r>
          <m:sSub>
            <m:e>
              <m:r>
                <m:t xml:space="preserve">E</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3</m:t>
              </m:r>
              <m:r>
                <m:t xml:space="preserve">/</m:t>
              </m:r>
              <m:r>
                <m:t xml:space="preserve">2</m:t>
              </m:r>
            </m:sup>
          </m:sSup>
          <m:r>
            <m:t xml:space="preserve">     (4)</m:t>
          </m:r>
        </m:oMath>
      </m:oMathPara>
    </w:p>
    <w:p/>
    <w:p>
      <w:r>
        <w:t xml:space="preserve">The field geometry is specified as follows: the flow is in the x–y plane, with x the streamwise coordinate (along the plates) and y the wall-normal coordinate. The magnetic field is applied transverse to the flow, </w:t>
      </w:r>
      <w:r>
        <w:rPr>
          <w:b/>
        </w:rPr>
        <w:t xml:space="preserve">B</w:t>
      </w:r>
      <w:r>
        <w:t xml:space="preserve"> = B(t)</w:t>
      </w:r>
      <w:r>
        <w:rPr>
          <w:b/>
        </w:rPr>
        <w:t xml:space="preserve">e</w:t>
      </w:r>
      <w:r>
        <w:t xml:space="preserve">_z (out of the flow plane), and the electric field is applied in the wall-normal direction within the flow plane, </w:t>
      </w:r>
      <w:r>
        <w:rPr>
          <w:b/>
        </w:rPr>
        <w:t xml:space="preserve">E</w:t>
      </w:r>
      <w:r>
        <w:t xml:space="preserve"> = E(t)</w:t>
      </w:r>
      <w:r>
        <w:rPr>
          <w:b/>
        </w:rPr>
        <w:t xml:space="preserve">e</w:t>
      </w:r>
      <w:r>
        <w:t xml:space="preserve">_y; "aligned electric field" here means the imposed electric field is oriented so that the resulting Lorentz force acts along the streamwise (x) direction. With this orientation the current density </w:t>
      </w:r>
      <w:r>
        <w:rPr>
          <w:b/>
        </w:rPr>
        <w:t xml:space="preserve">J</w:t>
      </w:r>
      <w:r>
        <w:t xml:space="preserve"> = σ_hnf(</w:t>
      </w:r>
      <w:r>
        <w:rPr>
          <w:b/>
        </w:rPr>
        <w:t xml:space="preserve">E</w:t>
      </w:r>
      <w:r>
        <w:t xml:space="preserve"> + </w:t>
      </w:r>
      <w:r>
        <w:rPr>
          <w:b/>
        </w:rPr>
        <w:t xml:space="preserve">u</w:t>
      </w:r>
      <w:r>
        <w:t xml:space="preserve"> × </w:t>
      </w:r>
      <w:r>
        <w:rPr>
          <w:b/>
        </w:rPr>
        <w:t xml:space="preserve">B</w:t>
      </w:r>
      <w:r>
        <w:t xml:space="preserve">) gives a streamwise Lorentz force per unit volume of −σ_hnf B²(u − u_E) with the electric drift velocity u_E = E/B, as used in Eq. (8). With the lower-plate stretching velocity U_e = ax/(1 − γt), the ratio E(t)/[B(t) U_e] = E_0/(B_0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m:t>
              </m:r>
            </m:sub>
          </m:sSub>
          <m:r>
            <m:t xml:space="preserve">+</m:t>
          </m:r>
          <m:r>
            <m:t xml:space="preserve">(</m:t>
          </m:r>
          <m:sSub>
            <m:e>
              <m:r>
                <m:t xml:space="preserve">μ</m:t>
              </m:r>
            </m:e>
            <m:sub>
              <m:r>
                <m:t xml:space="preserve">0</m:t>
              </m:r>
            </m:sub>
          </m:sSub>
          <m:r>
            <m:t xml:space="preserve">-</m:t>
          </m:r>
          <m:sSub>
            <m:e>
              <m:r>
                <m:t xml:space="preserve">μ</m:t>
              </m:r>
            </m:e>
            <m:sub>
              <m:r>
                <m:t xml:space="preserve">∞</m:t>
              </m:r>
            </m:sub>
          </m:sSub>
          <m:r>
            <m:t xml:space="preserve">)</m:t>
          </m:r>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(5)</m:t>
          </m:r>
        </m:oMath>
      </m:oMathPara>
    </w:p>
    <w:p/>
    <w:p>
      <w:r>
        <w:t xml:space="preserve">where μ₀ and μ_∞ are the zero- and infinite-shear-rate viscosities, Γ is the material relaxation time, and n is the power-law index. With the simplifying assumption μ_∞ → 0 adopted throughout this work, Eq. (5) reduces to the simplified Carreau model:</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0</m:t>
              </m:r>
            </m:sub>
          </m:sSub>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(6)</m:t>
          </m:r>
        </m:oMath>
      </m:oMathPara>
    </w:p>
    <w:p/>
    <w:p>
      <w:r>
        <w:t xml:space="preserve">For n &gt; 1 the fluid is shear-thickening; for n &lt; 1 it is shear-thinning. Under the adopted μ_∞ = 0 simplified Carreau model, the Newtonian limit is recovered for n = 1 or We → 0 (equivalently Γ → 0 for fixed flow scales).</w:t>
      </w:r>
    </w:p>
    <w:p/>
    <w:p>
      <w:pPr>
        <w:pStyle w:val="Heading2"/>
      </w:pPr>
      <w:r>
        <w:t xml:space="preserve">2.3 Governing equations</w:t>
      </w:r>
    </w:p>
    <w:p/>
    <w:p>
      <w:r>
        <w:t xml:space="preserve">The continuity, x-momentum, y-momentum, energy and species equations under the usual boundary-layer scaling are given below. The momentum equations are written in force-per-unit-volume form (left-hand side ρ_hnf × acceleration), so every term on the right-hand side — including the Lorentz force σ_hnf B²(u − u_E), the Darcy drag μ_hnf u/k_p and the Forchheimer term ρ_hnf F_c u² — carries units of force per unit volume (no division by ρ_hnf):</w:t>
      </w:r>
    </w:p>
    <w:p/>
    <w:p>
      <m:oMathPara>
        <m:oMathParaPr>
          <m:jc m:val="center"/>
        </m:oMathParaPr>
        <m:oMath>
          <m:f>
            <m:fPr>
              <m:type m:val="bar"/>
            </m:fPr>
            <m:num>
              <m:r>
                <m:t xml:space="preserve">∂</m:t>
              </m:r>
              <m:r>
                <m:t xml:space="preserve">u</m:t>
              </m:r>
            </m:num>
            <m:den>
              <m:r>
                <m:t xml:space="preserve">∂</m:t>
              </m:r>
              <m:r>
                <m:t xml:space="preserve">x</m:t>
              </m:r>
            </m:den>
          </m:f>
          <m:r>
            <m:t xml:space="preserve">+</m:t>
          </m:r>
          <m:f>
            <m:fPr>
              <m:type m:val="bar"/>
            </m:fPr>
            <m:num>
              <m:r>
                <m:t xml:space="preserve">∂</m:t>
              </m:r>
              <m:r>
                <m:t xml:space="preserve">v</m:t>
              </m:r>
            </m:num>
            <m:den>
              <m:r>
                <m:t xml:space="preserve">∂</m:t>
              </m:r>
              <m:r>
                <m:t xml:space="preserve">y</m:t>
              </m:r>
            </m:den>
          </m:f>
          <m:r>
            <m:t xml:space="preserve">=</m:t>
          </m:r>
          <m:r>
            <m:t xml:space="preserve">0</m:t>
          </m:r>
          <m:r>
            <m:t xml:space="preserve">     (7)</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t</m:t>
              </m:r>
            </m:den>
          </m:f>
          <m:r>
            <m:t xml:space="preserve">+</m:t>
          </m:r>
          <m:r>
            <m:t xml:space="preserve">u</m:t>
          </m:r>
          <m:f>
            <m:fPr>
              <m:type m:val="bar"/>
            </m:fPr>
            <m:num>
              <m:r>
                <m:t xml:space="preserve">∂</m:t>
              </m:r>
              <m:r>
                <m:t xml:space="preserve">u</m:t>
              </m:r>
            </m:num>
            <m:den>
              <m:r>
                <m:t xml:space="preserve">∂</m:t>
              </m:r>
              <m:r>
                <m:t xml:space="preserve">x</m:t>
              </m:r>
            </m:den>
          </m:f>
          <m:r>
            <m:t xml:space="preserve">+</m:t>
          </m:r>
          <m:r>
            <m:t xml:space="preserve">v</m:t>
          </m:r>
          <m:f>
            <m:fPr>
              <m:type m:val="bar"/>
            </m:fPr>
            <m:num>
              <m:r>
                <m:t xml:space="preserve">∂</m:t>
              </m:r>
              <m:r>
                <m:t xml:space="preserve">u</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x</m:t>
              </m:r>
            </m:den>
          </m:f>
          <m:r>
            <m:t xml:space="preserve">+</m:t>
          </m:r>
          <m:f>
            <m:fPr>
              <m:type m:val="bar"/>
            </m:fPr>
            <m:num>
              <m:r>
                <m:t xml:space="preserve">∂</m:t>
              </m:r>
              <m:sSub>
                <m:e>
                  <m:r>
                    <m:t xml:space="preserve">τ</m:t>
                  </m:r>
                </m:e>
                <m:sub>
                  <m:r>
                    <m:t xml:space="preserve">x</m:t>
                  </m:r>
                  <m:r>
                    <m:t xml:space="preserve">y</m:t>
                  </m:r>
                </m:sub>
              </m:sSub>
            </m:num>
            <m:den>
              <m:r>
                <m:t xml:space="preserve">∂</m:t>
              </m:r>
              <m:r>
                <m:t xml:space="preserve">y</m:t>
              </m:r>
            </m:den>
          </m:f>
          <m:r>
            <m:t xml:space="preserve">-</m:t>
          </m:r>
          <m:f>
            <m:fPr>
              <m:type m:val="bar"/>
            </m:fPr>
            <m:num>
              <m:sSub>
                <m:e>
                  <m:r>
                    <m:t xml:space="preserve">μ</m:t>
                  </m:r>
                </m:e>
                <m:sub>
                  <m:r>
                    <m:t xml:space="preserve">h</m:t>
                  </m:r>
                  <m:r>
                    <m:t xml:space="preserve">n</m:t>
                  </m:r>
                  <m:r>
                    <m:t xml:space="preserve">f</m:t>
                  </m:r>
                </m:sub>
              </m:sSub>
            </m:num>
            <m:den>
              <m:sSub>
                <m:e>
                  <m:r>
                    <m:t xml:space="preserve">k</m:t>
                  </m:r>
                </m:e>
                <m:sub>
                  <m:r>
                    <m:t xml:space="preserve">p</m:t>
                  </m:r>
                </m:sub>
              </m:sSub>
            </m:den>
          </m:f>
          <m:r>
            <m:t xml:space="preserve">u</m:t>
          </m:r>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r>
            <m:t xml:space="preserve">)</m:t>
          </m:r>
          <m:r>
            <m:t xml:space="preserve">-</m:t>
          </m:r>
          <m:sSub>
            <m:e>
              <m:r>
                <m:t xml:space="preserve">ρ</m:t>
              </m:r>
            </m:e>
            <m:sub>
              <m:r>
                <m:t xml:space="preserve">h</m:t>
              </m:r>
              <m:r>
                <m:t xml:space="preserve">n</m:t>
              </m:r>
              <m:r>
                <m:t xml:space="preserve">f</m:t>
              </m:r>
            </m:sub>
          </m:sSub>
          <m:sSub>
            <m:e>
              <m:r>
                <m:t xml:space="preserve">F</m:t>
              </m:r>
            </m:e>
            <m:sub>
              <m:r>
                <m:t xml:space="preserve">c</m:t>
              </m:r>
            </m:sub>
          </m:sSub>
          <m:sSup>
            <m:e>
              <m:r>
                <m:t xml:space="preserve">u</m:t>
              </m:r>
            </m:e>
            <m:sup>
              <m:r>
                <m:t xml:space="preserve">2</m:t>
              </m:r>
            </m:sup>
          </m:sSup>
          <m:r>
            <m:t xml:space="preserve">     (8)</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v</m:t>
              </m:r>
            </m:num>
            <m:den>
              <m:r>
                <m:t xml:space="preserve">∂</m:t>
              </m:r>
              <m:r>
                <m:t xml:space="preserve">t</m:t>
              </m:r>
            </m:den>
          </m:f>
          <m:r>
            <m:t xml:space="preserve">+</m:t>
          </m:r>
          <m:r>
            <m:t xml:space="preserve">u</m:t>
          </m:r>
          <m:f>
            <m:fPr>
              <m:type m:val="bar"/>
            </m:fPr>
            <m:num>
              <m:r>
                <m:t xml:space="preserve">∂</m:t>
              </m:r>
              <m:r>
                <m:t xml:space="preserve">v</m:t>
              </m:r>
            </m:num>
            <m:den>
              <m:r>
                <m:t xml:space="preserve">∂</m:t>
              </m:r>
              <m:r>
                <m:t xml:space="preserve">x</m:t>
              </m:r>
            </m:den>
          </m:f>
          <m:r>
            <m:t xml:space="preserve">+</m:t>
          </m:r>
          <m:r>
            <m:t xml:space="preserve">v</m:t>
          </m:r>
          <m:f>
            <m:fPr>
              <m:type m:val="bar"/>
            </m:fPr>
            <m:num>
              <m:r>
                <m:t xml:space="preserve">∂</m:t>
              </m:r>
              <m:r>
                <m:t xml:space="preserve">v</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y</m:t>
              </m:r>
            </m:den>
          </m:f>
          <m:r>
            <m:t xml:space="preserve">+</m:t>
          </m:r>
          <m:f>
            <m:fPr>
              <m:type m:val="bar"/>
            </m:fPr>
            <m:num>
              <m:r>
                <m:t xml:space="preserve">∂</m:t>
              </m:r>
              <m:sSub>
                <m:e>
                  <m:r>
                    <m:t xml:space="preserve">τ</m:t>
                  </m:r>
                </m:e>
                <m:sub>
                  <m:r>
                    <m:t xml:space="preserve">y</m:t>
                  </m:r>
                  <m:r>
                    <m:t xml:space="preserve">y</m:t>
                  </m:r>
                </m:sub>
              </m:sSub>
            </m:num>
            <m:den>
              <m:r>
                <m:t xml:space="preserve">∂</m:t>
              </m:r>
              <m:r>
                <m:t xml:space="preserve">y</m:t>
              </m:r>
            </m:den>
          </m:f>
          <m:r>
            <m:t xml:space="preserve">     (9)</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r>
          <m:r>
            <m:t xml:space="preserve">(</m:t>
          </m:r>
          <m:f>
            <m:fPr>
              <m:type m:val="bar"/>
            </m:fPr>
            <m:num>
              <m:r>
                <m:t xml:space="preserve">∂</m:t>
              </m:r>
              <m:r>
                <m:t xml:space="preserve">T</m:t>
              </m:r>
            </m:num>
            <m:den>
              <m:r>
                <m:t xml:space="preserve">∂</m:t>
              </m:r>
              <m:r>
                <m:t xml:space="preserve">t</m:t>
              </m:r>
            </m:den>
          </m:f>
          <m:r>
            <m:t xml:space="preserve">+</m:t>
          </m:r>
          <m:r>
            <m:t xml:space="preserve">u</m:t>
          </m:r>
          <m:f>
            <m:fPr>
              <m:type m:val="bar"/>
            </m:fPr>
            <m:num>
              <m:r>
                <m:t xml:space="preserve">∂</m:t>
              </m:r>
              <m:r>
                <m:t xml:space="preserve">T</m:t>
              </m:r>
            </m:num>
            <m:den>
              <m:r>
                <m:t xml:space="preserve">∂</m:t>
              </m:r>
              <m:r>
                <m:t xml:space="preserve">x</m:t>
              </m:r>
            </m:den>
          </m:f>
          <m:r>
            <m:t xml:space="preserve">+</m:t>
          </m:r>
          <m:r>
            <m:t xml:space="preserve">v</m:t>
          </m:r>
          <m:f>
            <m:fPr>
              <m:type m:val="bar"/>
            </m:fPr>
            <m:num>
              <m:r>
                <m:t xml:space="preserve">∂</m:t>
              </m:r>
              <m:r>
                <m:t xml:space="preserve">T</m:t>
              </m:r>
            </m:num>
            <m:den>
              <m:r>
                <m:t xml:space="preserve">∂</m:t>
              </m:r>
              <m:r>
                <m:t xml:space="preserve">y</m:t>
              </m:r>
            </m:den>
          </m:f>
          <m:r>
            <m:t xml:space="preserve"/>
          </m:r>
          <m:r>
            <m:t xml:space="preserve">)</m:t>
          </m:r>
          <m:r>
            <m:t xml:space="preserve">=</m:t>
          </m:r>
          <m:sSub>
            <m:e>
              <m:r>
                <m:t xml:space="preserve">κ</m:t>
              </m:r>
            </m:e>
            <m:sub>
              <m:r>
                <m:t xml:space="preserve">h</m:t>
              </m:r>
              <m:r>
                <m:t xml:space="preserve">n</m:t>
              </m:r>
              <m:r>
                <m:t xml:space="preserve">f</m:t>
              </m:r>
            </m:sub>
          </m:sSub>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f>
            <m:fPr>
              <m:type m:val="bar"/>
            </m:fPr>
            <m:num>
              <m:r>
                <m:t xml:space="preserve">∂</m:t>
              </m:r>
              <m:sSub>
                <m:e>
                  <m:r>
                    <m:t xml:space="preserve">q</m:t>
                  </m:r>
                </m:e>
                <m:sub>
                  <m:r>
                    <m:t xml:space="preserve">r</m:t>
                  </m:r>
                </m:sub>
              </m:sSub>
            </m:num>
            <m:den>
              <m:r>
                <m:t xml:space="preserve">∂</m:t>
              </m:r>
              <m:r>
                <m:t xml:space="preserve">y</m:t>
              </m:r>
            </m:den>
          </m:f>
          <m:r>
            <m:t xml:space="preserve">+</m:t>
          </m:r>
          <m:sSub>
            <m:e>
              <m:r>
                <m:t xml:space="preserve">μ</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y</m:t>
              </m:r>
            </m:den>
          </m:f>
          <m:r>
            <m:t xml:space="preserve"/>
          </m:r>
          <m:sSup>
            <m:e>
              <m:r>
                <m:t xml:space="preserve">)</m:t>
              </m:r>
            </m:e>
            <m:sup>
              <m:r>
                <m:t xml:space="preserve">2</m:t>
              </m:r>
            </m:sup>
          </m:sSup>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sSup>
            <m:e>
              <m:r>
                <m:t xml:space="preserve">)</m:t>
              </m:r>
            </m:e>
            <m:sup>
              <m:r>
                <m:t xml:space="preserve">2</m:t>
              </m:r>
            </m:sup>
          </m:sSup>
          <m:r>
            <m:t xml:space="preserve">+</m:t>
          </m:r>
          <m:f>
            <m:fPr>
              <m:type m:val="bar"/>
            </m:fPr>
            <m:num>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t>
              </m:r>
              <m:sSub>
                <m:e>
                  <m:r>
                    <m:t xml:space="preserve">D</m:t>
                  </m:r>
                </m:e>
                <m:sub>
                  <m:r>
                    <m:t xml:space="preserve">B</m:t>
                  </m:r>
                </m:sub>
              </m:sSub>
              <m:sSub>
                <m:e>
                  <m:r>
                    <m:t xml:space="preserve">K</m:t>
                  </m:r>
                </m:e>
                <m:sub>
                  <m:r>
                    <m:t xml:space="preserve">T</m:t>
                  </m:r>
                </m:sub>
              </m:sSub>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den>
          </m:f>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     (10)</m:t>
          </m:r>
        </m:oMath>
      </m:oMathPara>
    </w:p>
    <w:p/>
    <w:p>
      <m:oMathPara>
        <m:oMathParaPr>
          <m:jc m:val="center"/>
        </m:oMathParaPr>
        <m:oMath>
          <m:f>
            <m:fPr>
              <m:type m:val="bar"/>
            </m:fPr>
            <m:num>
              <m:r>
                <m:t xml:space="preserve">∂</m:t>
              </m:r>
              <m:r>
                <m:t xml:space="preserve">C</m:t>
              </m:r>
            </m:num>
            <m:den>
              <m:r>
                <m:t xml:space="preserve">∂</m:t>
              </m:r>
              <m:r>
                <m:t xml:space="preserve">t</m:t>
              </m:r>
            </m:den>
          </m:f>
          <m:r>
            <m:t xml:space="preserve">+</m:t>
          </m:r>
          <m:r>
            <m:t xml:space="preserve">u</m:t>
          </m:r>
          <m:f>
            <m:fPr>
              <m:type m:val="bar"/>
            </m:fPr>
            <m:num>
              <m:r>
                <m:t xml:space="preserve">∂</m:t>
              </m:r>
              <m:r>
                <m:t xml:space="preserve">C</m:t>
              </m:r>
            </m:num>
            <m:den>
              <m:r>
                <m:t xml:space="preserve">∂</m:t>
              </m:r>
              <m:r>
                <m:t xml:space="preserve">x</m:t>
              </m:r>
            </m:den>
          </m:f>
          <m:r>
            <m:t xml:space="preserve">+</m:t>
          </m:r>
          <m:r>
            <m:t xml:space="preserve">v</m:t>
          </m:r>
          <m:f>
            <m:fPr>
              <m:type m:val="bar"/>
            </m:fPr>
            <m:num>
              <m:r>
                <m:t xml:space="preserve">∂</m:t>
              </m:r>
              <m:r>
                <m:t xml:space="preserve">C</m:t>
              </m:r>
            </m:num>
            <m:den>
              <m:r>
                <m:t xml:space="preserve">∂</m:t>
              </m:r>
              <m:r>
                <m:t xml:space="preserve">y</m:t>
              </m:r>
            </m:den>
          </m:f>
          <m:r>
            <m:t xml:space="preserve">=</m:t>
          </m:r>
          <m:sSub>
            <m:e>
              <m:r>
                <m:t xml:space="preserve">D</m:t>
              </m:r>
            </m:e>
            <m:sub>
              <m:r>
                <m:t xml:space="preserve">B</m:t>
              </m:r>
            </m:sub>
          </m:sSub>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m:t>
          </m:r>
          <m:f>
            <m:fPr>
              <m:type m:val="bar"/>
            </m:fPr>
            <m:num>
              <m:sSub>
                <m:e>
                  <m:r>
                    <m:t xml:space="preserve">D</m:t>
                  </m:r>
                </m:e>
                <m:sub>
                  <m:r>
                    <m:t xml:space="preserve">B</m:t>
                  </m:r>
                </m:sub>
              </m:sSub>
              <m:sSub>
                <m:e>
                  <m:r>
                    <m:t xml:space="preserve">K</m:t>
                  </m:r>
                </m:e>
                <m:sub>
                  <m:r>
                    <m:t xml:space="preserve">T</m:t>
                  </m:r>
                </m:sub>
              </m:sSub>
            </m:num>
            <m:den>
              <m:sSub>
                <m:e>
                  <m:r>
                    <m:t xml:space="preserve">T</m:t>
                  </m:r>
                </m:e>
                <m:sub>
                  <m:r>
                    <m:t xml:space="preserve">m</m:t>
                  </m:r>
                </m:sub>
              </m:sSub>
            </m:den>
          </m:f>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sSub>
            <m:e>
              <m:r>
                <m:t xml:space="preserve">k</m:t>
              </m:r>
            </m:e>
            <m:sub>
              <m:r>
                <m:t xml:space="preserve">r</m:t>
              </m:r>
            </m:sub>
          </m:sSub>
          <m:r>
            <m:t xml:space="preserve">(</m:t>
          </m:r>
          <m:r>
            <m:t xml:space="preserve">C</m:t>
          </m:r>
          <m:r>
            <m:t xml:space="preserve">-</m:t>
          </m:r>
          <m:sSub>
            <m:e>
              <m:r>
                <m:t xml:space="preserve">C</m:t>
              </m:r>
            </m:e>
            <m:sub>
              <m:r>
                <m:t xml:space="preserve">0</m:t>
              </m:r>
            </m:sub>
          </m:sSub>
          <m:r>
            <m:t xml:space="preserve">)</m:t>
          </m:r>
          <m:r>
            <m:t xml:space="preserve">     (11)</m:t>
          </m:r>
        </m:oMath>
      </m:oMathPara>
    </w:p>
    <w:p/>
    <w:p>
      <w:r>
        <w:t xml:space="preserve">where τ is the Carreau stress tensor, k_p is the permeability, F_c the Forchheimer inertia coefficient, u_E = E/B the electric drift velocity, k_r the reaction-rate constant, and the cross-diffusion quantities are defined precisely below.</w:t>
      </w:r>
    </w:p>
    <w:p/>
    <w:p>
      <w:r>
        <w:rPr>
          <w:b/>
        </w:rPr>
        <w:t xml:space="preserve">Definitions and dimensions of the cross-diffusion coefficients.</w:t>
      </w:r>
      <w:r>
        <w:t xml:space="preserve"> Throughout this work the concentration C is a </w:t>
      </w:r>
      <w:r>
        <w:rPr>
          <w:b/>
        </w:rPr>
        <w:t xml:space="preserve">mass fraction (dimensionless)</w:t>
      </w:r>
      <w:r>
        <w:t xml:space="preserve">, and all cross-diffusion and entropy expressions are formulated consistently on this basis. The SI units of the quantities are: mass diffusivity D_B (m² s⁻¹); thermal-diffusion ratio K_T (dimensionless); mean fluid temperature T_m (K); and base-fluid specific heat at constant pressure (c_p)_f (J kg⁻¹ K⁻¹). Following the standard Eckert–Drake constitutive form [25], the </w:t>
      </w:r>
      <w:r>
        <w:rPr>
          <w:b/>
        </w:rPr>
        <w:t xml:space="preserve">concentration susceptibility</w:t>
      </w:r>
      <w:r>
        <w:t xml:space="preserve"> c_s is the thermodynamic coefficient relating a mass-fraction change to a change in the fluid's specific energy at constant pressure, c_s = (∂C/∂e_sp)_p; since e_sp (specific energy) has units J kg⁻¹, c_s has units kg J⁻¹ (equivalently s² m⁻²). We verify dimensional homogeneity directly.</w:t>
      </w:r>
    </w:p>
    <w:p/>
    <w:p>
      <w:r>
        <w:t xml:space="preserve">*Soret term (Eq. 11).* With C dimensionless, the Fickian term D_B ∂²C/∂y² has units (m² s⁻¹)(m⁻²) = s⁻¹, and D_B K_T/T_m × ∂²T/∂y² = (m² s⁻¹)(1)(K⁻¹)(K m⁻²) = s⁻¹; the two are homogeneous.</w:t>
      </w:r>
    </w:p>
    <w:p/>
    <w:p>
      <w:r>
        <w:t xml:space="preserve">*Dufour term (Eq. 10).* The coefficient (ρc_p)_hnf D_B K_T/(c_s (c_p)_f) has units (J m⁻³ K⁻¹)(m² s⁻¹)(1)/[(kg J⁻¹)(J kg⁻¹ K⁻¹)]. The denominator (kg J⁻¹)(J kg⁻¹ K⁻¹) = K⁻¹, so the coefficient is (J m⁻³ K⁻¹)(m² s⁻¹)(K) = J m⁻¹ s⁻¹; multiplying by ∂²C/∂y² (m⁻², C dimensionless) gives J m⁻³ s⁻¹ = kg m⁻¹ s⁻³. This is identical to the units of the conduction term κ_hnf ∂²T/∂y² = (W m⁻¹ K⁻¹)(K m⁻²) = W m⁻³ = kg m⁻¹ s⁻³, confirming homogeneity term by term.</w:t>
      </w:r>
    </w:p>
    <w:p/>
    <w:p>
      <w:r>
        <w:t xml:space="preserve">*Dufour number (Eq. 21).* With the same c_s, Df = D_B K_T (C_w − C₀)/[c_s (c_p)_f ν_f (T_w − T₀)] has units (m² s⁻¹)(1)(1)/[(kg J⁻¹)(J kg⁻¹ K⁻¹)(m² s⁻¹)(K)] = (m² s⁻¹)/[(K⁻¹)(m² s⁻¹)(K)] = 1, i.e. Df is dimensionless. The Soret number Sr is likewise dimensionless. The nonlinear (Rosseland) radiative flux is</w:t>
      </w:r>
    </w:p>
    <w:p/>
    <w:p>
      <m:oMathPara>
        <m:oMathParaPr>
          <m:jc m:val="center"/>
        </m:oMathParaPr>
        <m:oMath>
          <m:sSub>
            <m:e>
              <m:r>
                <m:t xml:space="preserve">q</m:t>
              </m:r>
            </m:e>
            <m:sub>
              <m:r>
                <m:t xml:space="preserve">r</m:t>
              </m:r>
            </m:sub>
          </m:sSub>
          <m:r>
            <m:t xml:space="preserve">=</m:t>
          </m:r>
          <m:r>
            <m:t xml:space="preserve">-</m:t>
          </m:r>
          <m:f>
            <m:fPr>
              <m:type m:val="bar"/>
            </m:fPr>
            <m:num>
              <m:r>
                <m:t xml:space="preserve">1</m:t>
              </m:r>
              <m:r>
                <m:t xml:space="preserve">6</m:t>
              </m:r>
              <m:sSup>
                <m:e>
                  <m:r>
                    <m:t xml:space="preserve">σ</m:t>
                  </m:r>
                </m:e>
                <m:sup>
                  <m:r>
                    <m:t xml:space="preserve">*</m:t>
                  </m:r>
                </m:sup>
              </m:sSup>
            </m:num>
            <m:den>
              <m:r>
                <m:t xml:space="preserve">3</m:t>
              </m:r>
              <m:sSup>
                <m:e>
                  <m:r>
                    <m:t xml:space="preserve">k</m:t>
                  </m:r>
                </m:e>
                <m:sup>
                  <m:r>
                    <m:t xml:space="preserve">*</m:t>
                  </m:r>
                </m:sup>
              </m:sSup>
            </m:den>
          </m:f>
          <m:sSup>
            <m:e>
              <m:r>
                <m:t xml:space="preserve">T</m:t>
              </m:r>
            </m:e>
            <m:sup>
              <m:r>
                <m:t xml:space="preserve">3</m:t>
              </m:r>
            </m:sup>
          </m:sSup>
          <m:f>
            <m:fPr>
              <m:type m:val="bar"/>
            </m:fPr>
            <m:num>
              <m:r>
                <m:t xml:space="preserve">∂</m:t>
              </m:r>
              <m:r>
                <m:t xml:space="preserve">T</m:t>
              </m:r>
            </m:num>
            <m:den>
              <m:r>
                <m:t xml:space="preserve">∂</m:t>
              </m:r>
              <m:r>
                <m:t xml:space="preserve">y</m:t>
              </m:r>
            </m:den>
          </m:f>
          <m:r>
            <m:t xml:space="preserve">     (12)</m:t>
          </m:r>
        </m:oMath>
      </m:oMathPara>
    </w:p>
    <w:p/>
    <w:p>
      <w:r>
        <w:t xml:space="preserve">with σ*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m:oMathPara>
        <m:oMathParaPr>
          <m:jc m:val="center"/>
        </m:oMathParaPr>
        <m:oMath>
          <m:sSub>
            <m:e>
              <m:r>
                <m:t xml:space="preserve">μ</m:t>
              </m:r>
            </m:e>
            <m:sub>
              <m:r>
                <m:t xml:space="preserve">h</m:t>
              </m:r>
              <m:r>
                <m:t xml:space="preserve">n</m:t>
              </m:r>
              <m:r>
                <m:t xml:space="preserve">f</m:t>
              </m:r>
            </m:sub>
          </m:sSub>
          <m:r>
            <m:t xml:space="preserve">=</m:t>
          </m:r>
          <m:f>
            <m:fPr>
              <m:type m:val="bar"/>
            </m:fPr>
            <m:num>
              <m:sSub>
                <m:e>
                  <m:r>
                    <m:t xml:space="preserve">μ</m:t>
                  </m:r>
                </m:e>
                <m:sub>
                  <m:r>
                    <m:t xml:space="preserve">f</m:t>
                  </m:r>
                </m:sub>
              </m:sSub>
            </m:num>
            <m:den>
              <m:r>
                <m:t xml:space="preserve">(</m:t>
              </m:r>
              <m:r>
                <m:t xml:space="preserve">1</m:t>
              </m:r>
              <m:r>
                <m:t xml:space="preserve">-</m:t>
              </m:r>
              <m:sSub>
                <m:e>
                  <m:r>
                    <m:t xml:space="preserve">φ</m:t>
                  </m:r>
                </m:e>
                <m:sub>
                  <m:r>
                    <m:t xml:space="preserve">1</m:t>
                  </m:r>
                </m:sub>
              </m:sSub>
              <m:sSup>
                <m:e>
                  <m:r>
                    <m:t xml:space="preserve">)</m:t>
                  </m:r>
                </m:e>
                <m:sup>
                  <m:r>
                    <m:t xml:space="preserve">2</m:t>
                  </m:r>
                  <m:r>
                    <m:t xml:space="preserve">.</m:t>
                  </m:r>
                  <m:r>
                    <m:t xml:space="preserve">5</m:t>
                  </m:r>
                </m:sup>
              </m:sSup>
              <m:r>
                <m:t xml:space="preserve">(</m:t>
              </m:r>
              <m:r>
                <m:t xml:space="preserve">1</m:t>
              </m:r>
              <m:r>
                <m:t xml:space="preserve">-</m:t>
              </m:r>
              <m:sSub>
                <m:e>
                  <m:r>
                    <m:t xml:space="preserve">φ</m:t>
                  </m:r>
                </m:e>
                <m:sub>
                  <m:r>
                    <m:t xml:space="preserve">2</m:t>
                  </m:r>
                </m:sub>
              </m:sSub>
              <m:sSup>
                <m:e>
                  <m:r>
                    <m:t xml:space="preserve">)</m:t>
                  </m:r>
                </m:e>
                <m:sup>
                  <m:r>
                    <m:t xml:space="preserve">2</m:t>
                  </m:r>
                  <m:r>
                    <m:t xml:space="preserve">.</m:t>
                  </m:r>
                  <m:r>
                    <m:t xml:space="preserve">5</m:t>
                  </m:r>
                </m:sup>
              </m:sSup>
            </m:den>
          </m:f>
          <m:r>
            <m:t xml:space="preserve">     (13)</m:t>
          </m:r>
        </m:oMath>
      </m:oMathPara>
    </w:p>
    <w:p/>
    <w:p>
      <w:r>
        <w:t xml:space="preserve">where φ₁ and φ₂ are the volume fractions of the AA7072 and AA7075 nanoparticles, respectively. The effective density, heat capacity, thermal conductivity (Maxwell–Garnett) and electrical conductivity are</w:t>
      </w:r>
    </w:p>
    <w:p/>
    <w:p>
      <m:oMathPara>
        <m:oMathParaPr>
          <m:jc m:val="center"/>
        </m:oMathParaPr>
        <m:oMath>
          <m:sSub>
            <m:e>
              <m:r>
                <m:t xml:space="preserve">ρ</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sSub>
            <m:e>
              <m:r>
                <m:t xml:space="preserve">ρ</m:t>
              </m:r>
            </m:e>
            <m:sub>
              <m:r>
                <m:t xml:space="preserve">f</m:t>
              </m:r>
            </m:sub>
          </m:sSub>
          <m:r>
            <m:t xml:space="preserve">+</m:t>
          </m:r>
          <m:sSub>
            <m:e>
              <m:r>
                <m:t xml:space="preserve">φ</m:t>
              </m:r>
            </m:e>
            <m:sub>
              <m:r>
                <m:t xml:space="preserve">1</m:t>
              </m:r>
            </m:sub>
          </m:sSub>
          <m:sSub>
            <m:e>
              <m:r>
                <m:t xml:space="preserve">ρ</m:t>
              </m:r>
            </m:e>
            <m:sub>
              <m:r>
                <m:t xml:space="preserve">s</m:t>
              </m:r>
              <m:r>
                <m:t xml:space="preserve">1</m:t>
              </m:r>
            </m:sub>
          </m:sSub>
          <m:r>
            <m:t xml:space="preserve"/>
          </m:r>
          <m:r>
            <m:t xml:space="preserve">]</m:t>
          </m:r>
          <m:r>
            <m:t xml:space="preserve">+</m:t>
          </m:r>
          <m:sSub>
            <m:e>
              <m:r>
                <m:t xml:space="preserve">φ</m:t>
              </m:r>
            </m:e>
            <m:sub>
              <m:r>
                <m:t xml:space="preserve">2</m:t>
              </m:r>
            </m:sub>
          </m:sSub>
          <m:sSub>
            <m:e>
              <m:r>
                <m:t xml:space="preserve">ρ</m:t>
              </m:r>
            </m:e>
            <m:sub>
              <m:r>
                <m:t xml:space="preserve">s</m:t>
              </m:r>
              <m:r>
                <m:t xml:space="preserve">2</m:t>
              </m:r>
            </m:sub>
          </m:sSub>
          <m:r>
            <m:t xml:space="preserve">     (14)</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r>
            <m:t xml:space="preserve">(</m:t>
          </m:r>
          <m:r>
            <m:t xml:space="preserve">ρ</m:t>
          </m:r>
          <m:sSub>
            <m:e>
              <m:r>
                <m:t xml:space="preserve">c</m:t>
              </m:r>
            </m:e>
            <m:sub>
              <m:r>
                <m:t xml:space="preserve">p</m:t>
              </m:r>
            </m:sub>
          </m:sSub>
          <m:sSub>
            <m:e>
              <m:r>
                <m:t xml:space="preserve">)</m:t>
              </m:r>
            </m:e>
            <m:sub>
              <m:r>
                <m:t xml:space="preserve">f</m:t>
              </m:r>
            </m:sub>
          </m:sSub>
          <m:r>
            <m:t xml:space="preserve">+</m:t>
          </m:r>
          <m:sSub>
            <m:e>
              <m:r>
                <m:t xml:space="preserve">φ</m:t>
              </m:r>
            </m:e>
            <m:sub>
              <m:r>
                <m:t xml:space="preserve">1</m:t>
              </m:r>
            </m:sub>
          </m:sSub>
          <m:r>
            <m:t xml:space="preserve">(</m:t>
          </m:r>
          <m:r>
            <m:t xml:space="preserve">ρ</m:t>
          </m:r>
          <m:sSub>
            <m:e>
              <m:r>
                <m:t xml:space="preserve">c</m:t>
              </m:r>
            </m:e>
            <m:sub>
              <m:r>
                <m:t xml:space="preserve">p</m:t>
              </m:r>
            </m:sub>
          </m:sSub>
          <m:sSub>
            <m:e>
              <m:r>
                <m:t xml:space="preserve">)</m:t>
              </m:r>
            </m:e>
            <m:sub>
              <m:r>
                <m:t xml:space="preserve">s</m:t>
              </m:r>
              <m:r>
                <m:t xml:space="preserve">1</m:t>
              </m:r>
            </m:sub>
          </m:sSub>
          <m:r>
            <m:t xml:space="preserve"/>
          </m:r>
          <m:r>
            <m:t xml:space="preserve">]</m:t>
          </m:r>
          <m:r>
            <m:t xml:space="preserve">+</m:t>
          </m:r>
          <m:sSub>
            <m:e>
              <m:r>
                <m:t xml:space="preserve">φ</m:t>
              </m:r>
            </m:e>
            <m:sub>
              <m:r>
                <m:t xml:space="preserve">2</m:t>
              </m:r>
            </m:sub>
          </m:sSub>
          <m:r>
            <m:t xml:space="preserve">(</m:t>
          </m:r>
          <m:r>
            <m:t xml:space="preserve">ρ</m:t>
          </m:r>
          <m:sSub>
            <m:e>
              <m:r>
                <m:t xml:space="preserve">c</m:t>
              </m:r>
            </m:e>
            <m:sub>
              <m:r>
                <m:t xml:space="preserve">p</m:t>
              </m:r>
            </m:sub>
          </m:sSub>
          <m:sSub>
            <m:e>
              <m:r>
                <m:t xml:space="preserve">)</m:t>
              </m:r>
            </m:e>
            <m:sub>
              <m:r>
                <m:t xml:space="preserve">s</m:t>
              </m:r>
              <m:r>
                <m:t xml:space="preserve">2</m:t>
              </m:r>
            </m:sub>
          </m:sSub>
          <m:r>
            <m:t xml:space="preserve">     (15)</m:t>
          </m:r>
        </m:oMath>
      </m:oMathPara>
    </w:p>
    <w:p/>
    <w:p>
      <m:oMathPara>
        <m:oMathParaPr>
          <m:jc m:val="center"/>
        </m:oMathParaPr>
        <m:oMath>
          <m:f>
            <m:fPr>
              <m:type m:val="bar"/>
            </m:fPr>
            <m:num>
              <m:sSub>
                <m:e>
                  <m:r>
                    <m:t xml:space="preserve">κ</m:t>
                  </m:r>
                </m:e>
                <m:sub>
                  <m:r>
                    <m:t xml:space="preserve">n</m:t>
                  </m:r>
                  <m:r>
                    <m:t xml:space="preserve">f</m:t>
                  </m:r>
                </m:sub>
              </m:sSub>
            </m:num>
            <m:den>
              <m:sSub>
                <m:e>
                  <m:r>
                    <m:t xml:space="preserve">κ</m:t>
                  </m:r>
                </m:e>
                <m:sub>
                  <m:r>
                    <m:t xml:space="preserve">f</m:t>
                  </m:r>
                </m:sub>
              </m:sSub>
            </m:den>
          </m:f>
          <m:r>
            <m:t xml:space="preserve">=</m:t>
          </m:r>
          <m:f>
            <m:fPr>
              <m:type m:val="bar"/>
            </m:fPr>
            <m:num>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r>
                <m:t xml:space="preserve">2</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num>
            <m:den>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den>
          </m:f>
          <m:r>
            <m:t xml:space="preserve">,</m:t>
          </m:r>
          <m:r>
            <m:t xml:space="preserve">  </m:t>
          </m:r>
          <m:f>
            <m:fPr>
              <m:type m:val="bar"/>
            </m:fPr>
            <m:num>
              <m:sSub>
                <m:e>
                  <m:r>
                    <m:t xml:space="preserve">κ</m:t>
                  </m:r>
                </m:e>
                <m:sub>
                  <m:r>
                    <m:t xml:space="preserve">h</m:t>
                  </m:r>
                  <m:r>
                    <m:t xml:space="preserve">n</m:t>
                  </m:r>
                  <m:r>
                    <m:t xml:space="preserve">f</m:t>
                  </m:r>
                </m:sub>
              </m:sSub>
            </m:num>
            <m:den>
              <m:sSub>
                <m:e>
                  <m:r>
                    <m:t xml:space="preserve">κ</m:t>
                  </m:r>
                </m:e>
                <m:sub>
                  <m:r>
                    <m:t xml:space="preserve">n</m:t>
                  </m:r>
                  <m:r>
                    <m:t xml:space="preserve">f</m:t>
                  </m:r>
                </m:sub>
              </m:sSub>
            </m:den>
          </m:f>
          <m:r>
            <m:t xml:space="preserve">=</m:t>
          </m:r>
          <m:f>
            <m:fPr>
              <m:type m:val="bar"/>
            </m:fPr>
            <m:num>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r>
                <m:t xml:space="preserve">2</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num>
            <m:den>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den>
          </m:f>
          <m:r>
            <m:t xml:space="preserve">     (16)</m:t>
          </m:r>
        </m:oMath>
      </m:oMathPara>
    </w:p>
    <w:p/>
    <w:p>
      <m:oMathPara>
        <m:oMathParaPr>
          <m:jc m:val="center"/>
        </m:oMathParaPr>
        <m:oMath>
          <m:f>
            <m:fPr>
              <m:type m:val="bar"/>
            </m:fPr>
            <m:num>
              <m:sSub>
                <m:e>
                  <m:r>
                    <m:t xml:space="preserve">σ</m:t>
                  </m:r>
                </m:e>
                <m:sub>
                  <m:r>
                    <m:t xml:space="preserve">n</m:t>
                  </m:r>
                  <m:r>
                    <m:t xml:space="preserve">f</m:t>
                  </m:r>
                </m:sub>
              </m:sSub>
            </m:num>
            <m:den>
              <m:sSub>
                <m:e>
                  <m:r>
                    <m:t xml:space="preserve">σ</m:t>
                  </m:r>
                </m:e>
                <m:sub>
                  <m:r>
                    <m:t xml:space="preserve">f</m:t>
                  </m:r>
                </m:sub>
              </m:sSub>
            </m:den>
          </m:f>
          <m:r>
            <m:t xml:space="preserve">=</m:t>
          </m:r>
          <m:r>
            <m:t xml:space="preserve">1</m:t>
          </m:r>
          <m:r>
            <m:t xml:space="preserve">+</m:t>
          </m:r>
          <m:f>
            <m:fPr>
              <m:type m:val="bar"/>
            </m:fPr>
            <m:num>
              <m:r>
                <m:t xml:space="preserve">3</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num>
            <m:den>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2</m:t>
              </m:r>
              <m:r>
                <m:t xml:space="preserve">)</m:t>
              </m:r>
              <m:r>
                <m:t xml:space="preserve">-</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den>
          </m:f>
          <m:r>
            <m:t xml:space="preserve">,</m:t>
          </m:r>
          <m:r>
            <m:t xml:space="preserve">  </m:t>
          </m:r>
          <m:f>
            <m:fPr>
              <m:type m:val="bar"/>
            </m:fPr>
            <m:num>
              <m:sSub>
                <m:e>
                  <m:r>
                    <m:t xml:space="preserve">σ</m:t>
                  </m:r>
                </m:e>
                <m:sub>
                  <m:r>
                    <m:t xml:space="preserve">h</m:t>
                  </m:r>
                  <m:r>
                    <m:t xml:space="preserve">n</m:t>
                  </m:r>
                  <m:r>
                    <m:t xml:space="preserve">f</m:t>
                  </m:r>
                </m:sub>
              </m:sSub>
            </m:num>
            <m:den>
              <m:sSub>
                <m:e>
                  <m:r>
                    <m:t xml:space="preserve">σ</m:t>
                  </m:r>
                </m:e>
                <m:sub>
                  <m:r>
                    <m:t xml:space="preserve">n</m:t>
                  </m:r>
                  <m:r>
                    <m:t xml:space="preserve">f</m:t>
                  </m:r>
                </m:sub>
              </m:sSub>
            </m:den>
          </m:f>
          <m:r>
            <m:t xml:space="preserve">=</m:t>
          </m:r>
          <m:r>
            <m:t xml:space="preserve">1</m:t>
          </m:r>
          <m:r>
            <m:t xml:space="preserve">+</m:t>
          </m:r>
          <m:f>
            <m:fPr>
              <m:type m:val="bar"/>
            </m:fPr>
            <m:num>
              <m:r>
                <m:t xml:space="preserve">3</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num>
            <m:den>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2</m:t>
              </m:r>
              <m:r>
                <m:t xml:space="preserve">)</m:t>
              </m:r>
              <m:r>
                <m:t xml:space="preserve">-</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den>
          </m:f>
          <m:r>
            <m:t xml:space="preserve">     (17)</m:t>
          </m:r>
        </m:oMath>
      </m:oMathPara>
    </w:p>
    <w:p/>
    <w:p>
      <w:r>
        <w:t xml:space="preserve">with ν_hnf = μ_hnf/ρ_hnf. Subscripts s1 and s2 denote AA7072 and AA7075, respectively. The Brinkman-type viscosity relation (Eq. 13) and the sequential Maxwell–Garnett relations (Eqs. 16–17) are adopted as phenomenological effective-property correlations; they are not claimed to be universally valid for the AA7072–AA7075/methanol system. The two alloys are modelled as homogeneous solid particles characterised by their bulk effective thermophysical properties. Because the total loading in this study reaches φ = φ₁ + φ₂ = 0.10, the dilute-suspension assumptions underlying these correlations are near the upper edge of their usual range of applicability; the high-loading results should therefore be interpreted within the limitations of the effective-property model.</w:t>
      </w:r>
    </w:p>
    <w:p/>
    <w:p>
      <w:pPr>
        <w:pStyle w:val="Heading2"/>
      </w:pPr>
      <w:r>
        <w:t xml:space="preserve">2.5 Local-similarity transformation</w:t>
      </w:r>
    </w:p>
    <w:p/>
    <w:p>
      <w:r>
        <w:t xml:space="preserve">The transformation is a local-similarity transformation: the streamwise coordinate x and time t survive in the local similarity parameters listed below. Introducing</w:t>
      </w:r>
    </w:p>
    <w:p/>
    <w:p>
      <m:oMathPara>
        <m:oMathParaPr>
          <m:jc m:val="center"/>
        </m:oMathParaPr>
        <m:oMath>
          <m:r>
            <m:t xml:space="preserve">η</m:t>
          </m:r>
          <m:r>
            <m:t xml:space="preserve">=</m:t>
          </m:r>
          <m:f>
            <m:fPr>
              <m:type m:val="bar"/>
            </m:fPr>
            <m:num>
              <m:r>
                <m:t xml:space="preserve">y</m:t>
              </m:r>
            </m:num>
            <m:den>
              <m:r>
                <m:t xml:space="preserve">h</m:t>
              </m:r>
              <m:r>
                <m:t xml:space="preserve">(</m:t>
              </m:r>
              <m:r>
                <m:t xml:space="preserve">t</m:t>
              </m:r>
              <m:r>
                <m:t xml:space="preserve">)</m:t>
              </m:r>
            </m:den>
          </m:f>
          <m:r>
            <m:t xml:space="preserve">,</m:t>
          </m:r>
          <m:r>
            <m:t xml:space="preserve">  </m:t>
          </m:r>
          <m:r>
            <m:t xml:space="preserve">ψ</m:t>
          </m:r>
          <m:r>
            <m:t xml:space="preserve">=</m:t>
          </m:r>
          <m:r>
            <m:t xml:space="preserve"/>
          </m:r>
          <m:r>
            <m:t xml:space="preserve">[</m:t>
          </m:r>
          <m:f>
            <m:fPr>
              <m:type m:val="bar"/>
            </m:fPr>
            <m:num>
              <m:r>
                <m:t xml:space="preserve">a</m:t>
              </m:r>
              <m:sSub>
                <m:e>
                  <m:r>
                    <m:t xml:space="preserve">ν</m:t>
                  </m:r>
                </m:e>
                <m:sub>
                  <m:r>
                    <m:t xml:space="preserve">f</m:t>
                  </m:r>
                </m:sub>
              </m:sSub>
            </m:num>
            <m:den>
              <m:r>
                <m:t xml:space="preserve">1</m:t>
              </m:r>
              <m:r>
                <m:t xml:space="preserve">-</m:t>
              </m:r>
              <m:r>
                <m:t xml:space="preserve">γ</m:t>
              </m:r>
              <m:r>
                <m:t xml:space="preserve">t</m:t>
              </m:r>
            </m:den>
          </m:f>
          <m:r>
            <m:t xml:space="preserve"/>
          </m:r>
          <m:sSup>
            <m:e>
              <m:r>
                <m:t xml:space="preserve">]</m:t>
              </m:r>
            </m:e>
            <m:sup>
              <m:r>
                <m:t xml:space="preserve">1</m:t>
              </m:r>
              <m:r>
                <m:t xml:space="preserve">/</m:t>
              </m:r>
              <m:r>
                <m:t xml:space="preserve">2</m:t>
              </m:r>
            </m:sup>
          </m:sSup>
          <m:r>
            <m:t xml:space="preserve">x</m:t>
          </m:r>
          <m:r>
            <m:t xml:space="preserve"> </m:t>
          </m:r>
          <m:r>
            <m:t xml:space="preserve">f</m:t>
          </m:r>
          <m:r>
            <m:t xml:space="preserve">(</m:t>
          </m:r>
          <m:r>
            <m:t xml:space="preserve">η</m:t>
          </m:r>
          <m:r>
            <m:t xml:space="preserve">)</m:t>
          </m:r>
          <m:r>
            <m:t xml:space="preserve">,</m:t>
          </m:r>
          <m:r>
            <m:t xml:space="preserve">  </m:t>
          </m:r>
          <m:r>
            <m:t xml:space="preserve">θ</m:t>
          </m:r>
          <m:r>
            <m:t xml:space="preserve">(</m:t>
          </m:r>
          <m:r>
            <m:t xml:space="preserve">η</m:t>
          </m:r>
          <m:r>
            <m:t xml:space="preserve">)</m:t>
          </m:r>
          <m:r>
            <m:t xml:space="preserve">=</m:t>
          </m:r>
          <m:f>
            <m:fPr>
              <m:type m:val="bar"/>
            </m:fPr>
            <m:num>
              <m:r>
                <m:t xml:space="preserve">T</m:t>
              </m:r>
              <m:r>
                <m:t xml:space="preserve">-</m:t>
              </m:r>
              <m:sSub>
                <m:e>
                  <m:r>
                    <m:t xml:space="preserve">T</m:t>
                  </m:r>
                </m:e>
                <m:sub>
                  <m:r>
                    <m:t xml:space="preserve">0</m:t>
                  </m:r>
                </m:sub>
              </m:sSub>
            </m:num>
            <m:den>
              <m:sSub>
                <m:e>
                  <m:r>
                    <m:t xml:space="preserve">T</m:t>
                  </m:r>
                </m:e>
                <m:sub>
                  <m:r>
                    <m:t xml:space="preserve">w</m:t>
                  </m:r>
                </m:sub>
              </m:sSub>
              <m:r>
                <m:t xml:space="preserve">-</m:t>
              </m:r>
              <m:sSub>
                <m:e>
                  <m:r>
                    <m:t xml:space="preserve">T</m:t>
                  </m:r>
                </m:e>
                <m:sub>
                  <m:r>
                    <m:t xml:space="preserve">0</m:t>
                  </m:r>
                </m:sub>
              </m:sSub>
            </m:den>
          </m:f>
          <m:r>
            <m:t xml:space="preserve">,</m:t>
          </m:r>
          <m:r>
            <m:t xml:space="preserve">  </m:t>
          </m:r>
          <m:r>
            <m:t xml:space="preserve">φ</m:t>
          </m:r>
          <m:r>
            <m:t xml:space="preserve">(</m:t>
          </m:r>
          <m:r>
            <m:t xml:space="preserve">η</m:t>
          </m:r>
          <m:r>
            <m:t xml:space="preserve">)</m:t>
          </m:r>
          <m:r>
            <m:t xml:space="preserve">=</m:t>
          </m:r>
          <m:f>
            <m:fPr>
              <m:type m:val="bar"/>
            </m:fPr>
            <m:num>
              <m:r>
                <m:t xml:space="preserve">C</m:t>
              </m:r>
              <m:r>
                <m:t xml:space="preserve">-</m:t>
              </m:r>
              <m:sSub>
                <m:e>
                  <m:r>
                    <m:t xml:space="preserve">C</m:t>
                  </m:r>
                </m:e>
                <m:sub>
                  <m:r>
                    <m:t xml:space="preserve">0</m:t>
                  </m:r>
                </m:sub>
              </m:sSub>
            </m:num>
            <m:den>
              <m:sSub>
                <m:e>
                  <m:r>
                    <m:t xml:space="preserve">C</m:t>
                  </m:r>
                </m:e>
                <m:sub>
                  <m:r>
                    <m:t xml:space="preserve">w</m:t>
                  </m:r>
                </m:sub>
              </m:sSub>
              <m:r>
                <m:t xml:space="preserve">-</m:t>
              </m:r>
              <m:sSub>
                <m:e>
                  <m:r>
                    <m:t xml:space="preserve">C</m:t>
                  </m:r>
                </m:e>
                <m:sub>
                  <m:r>
                    <m:t xml:space="preserve">0</m:t>
                  </m:r>
                </m:sub>
              </m:sSub>
            </m:den>
          </m:f>
          <m:r>
            <m:t xml:space="preserve">     (18)</m:t>
          </m:r>
        </m:oMath>
      </m:oMathPara>
    </w:p>
    <w:p/>
    <w:p>
      <w:r>
        <w:t xml:space="preserve">with u = ∂ψ/∂y and v = −∂ψ/∂x, the velocity components become u = U_e f′(η) and v = −[a ν_f/(1 − γt)]^{1/2} f(η). The local dimensionless parameters, each shown with its explicit x- and/or t-dependence, are defined as</w:t>
      </w:r>
    </w:p>
    <w:p/>
    <w:p>
      <m:oMathPara>
        <m:oMathParaPr>
          <m:jc m:val="center"/>
        </m:oMathParaPr>
        <m:oMath>
          <m:r>
            <m:t xml:space="preserve">S</m:t>
          </m:r>
          <m:r>
            <m:t xml:space="preserve">q</m:t>
          </m:r>
          <m:r>
            <m:t xml:space="preserve">=</m:t>
          </m:r>
          <m:f>
            <m:fPr>
              <m:type m:val="bar"/>
            </m:fPr>
            <m:num>
              <m:r>
                <m:t xml:space="preserve">γ</m:t>
              </m:r>
            </m:num>
            <m:den>
              <m:r>
                <m:t xml:space="preserve">a</m:t>
              </m:r>
            </m:den>
          </m:f>
          <m:r>
            <m:t xml:space="preserve">,</m:t>
          </m:r>
          <m:r>
            <m:t xml:space="preserve"> </m:t>
          </m:r>
          <m:r>
            <m:t xml:space="preserve">W</m:t>
          </m:r>
          <m:sSup>
            <m:e>
              <m:r>
                <m:t xml:space="preserve">e</m:t>
              </m:r>
            </m:e>
            <m:sup>
              <m:r>
                <m:t xml:space="preserve">2</m:t>
              </m:r>
            </m:sup>
          </m:sSup>
          <m:r>
            <m:t xml:space="preserve">=</m:t>
          </m:r>
          <m:f>
            <m:fPr>
              <m:type m:val="bar"/>
            </m:fPr>
            <m:num>
              <m:sSup>
                <m:e>
                  <m:r>
                    <m:t xml:space="preserve">Γ</m:t>
                  </m:r>
                </m:e>
                <m:sup>
                  <m:r>
                    <m:t xml:space="preserve">2</m:t>
                  </m:r>
                </m:sup>
              </m:sSup>
              <m:sSup>
                <m:e>
                  <m:r>
                    <m:t xml:space="preserve">a</m:t>
                  </m:r>
                </m:e>
                <m:sup>
                  <m:r>
                    <m:t xml:space="preserve">3</m:t>
                  </m:r>
                </m:sup>
              </m:sSup>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sSup>
                <m:e>
                  <m:r>
                    <m:t xml:space="preserve">)</m:t>
                  </m:r>
                </m:e>
                <m:sup>
                  <m:r>
                    <m:t xml:space="preserve">3</m:t>
                  </m:r>
                </m:sup>
              </m:sSup>
            </m:den>
          </m:f>
          <m:r>
            <m:t xml:space="preserve">,</m:t>
          </m:r>
          <m:r>
            <m:t xml:space="preserve"> </m:t>
          </m:r>
          <m:r>
            <m:t xml:space="preserve">M</m:t>
          </m:r>
          <m:r>
            <m:t xml:space="preserve">=</m:t>
          </m:r>
          <m:f>
            <m:fPr>
              <m:type m:val="bar"/>
            </m:fPr>
            <m:num>
              <m:sSub>
                <m:e>
                  <m:r>
                    <m:t xml:space="preserve">σ</m:t>
                  </m:r>
                </m:e>
                <m:sub>
                  <m:r>
                    <m:t xml:space="preserve">f</m:t>
                  </m:r>
                </m:sub>
              </m:sSub>
              <m:sSubSup>
                <m:e>
                  <m:r>
                    <m:t xml:space="preserve">B</m:t>
                  </m:r>
                </m:e>
                <m:sub>
                  <m:r>
                    <m:t xml:space="preserve">0</m:t>
                  </m:r>
                </m:sub>
                <m:sup>
                  <m:r>
                    <m:t xml:space="preserve">2</m:t>
                  </m:r>
                </m:sup>
              </m:sSubSup>
            </m:num>
            <m:den>
              <m:sSub>
                <m:e>
                  <m:r>
                    <m:t xml:space="preserve">ρ</m:t>
                  </m:r>
                </m:e>
                <m:sub>
                  <m:r>
                    <m:t xml:space="preserve">f</m:t>
                  </m:r>
                </m:sub>
              </m:sSub>
              <m:r>
                <m:t xml:space="preserve">a</m:t>
              </m:r>
            </m:den>
          </m:f>
          <m:r>
            <m:t xml:space="preserve">,</m:t>
          </m:r>
          <m:r>
            <m:t xml:space="preserve"> </m:t>
          </m:r>
          <m:r>
            <m:t xml:space="preserve">E</m:t>
          </m:r>
          <m:r>
            <m:t xml:space="preserve">e</m:t>
          </m:r>
          <m:r>
            <m:t xml:space="preserve">=</m:t>
          </m:r>
          <m:f>
            <m:fPr>
              <m:type m:val="bar"/>
            </m:fPr>
            <m:num>
              <m:sSub>
                <m:e>
                  <m:r>
                    <m:t xml:space="preserve">E</m:t>
                  </m:r>
                </m:e>
                <m:sub>
                  <m:r>
                    <m:t xml:space="preserve">0</m:t>
                  </m:r>
                </m:sub>
              </m:sSub>
            </m:num>
            <m:den>
              <m:sSub>
                <m:e>
                  <m:r>
                    <m:t xml:space="preserve">B</m:t>
                  </m:r>
                </m:e>
                <m:sub>
                  <m:r>
                    <m:t xml:space="preserve">0</m:t>
                  </m:r>
                </m:sub>
              </m:sSub>
              <m:r>
                <m:t xml:space="preserve">a</m:t>
              </m:r>
              <m:r>
                <m:t xml:space="preserve">x</m:t>
              </m:r>
            </m:den>
          </m:f>
          <m:r>
            <m:t xml:space="preserve">,</m:t>
          </m:r>
          <m:r>
            <m:t xml:space="preserve"> </m:t>
          </m:r>
          <m:r>
            <m:t xml:space="preserve">D</m:t>
          </m:r>
          <m:r>
            <m:t xml:space="preserve">a</m:t>
          </m:r>
          <m:r>
            <m:t xml:space="preserve">=</m:t>
          </m:r>
          <m:f>
            <m:fPr>
              <m:type m:val="bar"/>
            </m:fPr>
            <m:num>
              <m:sSub>
                <m:e>
                  <m:r>
                    <m:t xml:space="preserve">k</m:t>
                  </m:r>
                </m:e>
                <m:sub>
                  <m:r>
                    <m:t xml:space="preserve">p</m:t>
                  </m:r>
                </m:sub>
              </m:sSub>
              <m:r>
                <m:t xml:space="preserve">a</m:t>
              </m:r>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m:t>
          </m:r>
          <m:r>
            <m:t xml:space="preserve"> </m:t>
          </m:r>
          <m:r>
            <m:t xml:space="preserve">F</m:t>
          </m:r>
          <m:r>
            <m:t xml:space="preserve">r</m:t>
          </m:r>
          <m:r>
            <m:t xml:space="preserve">=</m:t>
          </m:r>
          <m:sSub>
            <m:e>
              <m:r>
                <m:t xml:space="preserve">F</m:t>
              </m:r>
            </m:e>
            <m:sub>
              <m:r>
                <m:t xml:space="preserve">c</m:t>
              </m:r>
            </m:sub>
          </m:sSub>
          <m:r>
            <m:t xml:space="preserve">x</m:t>
          </m:r>
          <m:r>
            <m:t xml:space="preserve">     (19)</m:t>
          </m:r>
        </m:oMath>
      </m:oMathPara>
    </w:p>
    <w:p/>
    <w:p>
      <m:oMathPara>
        <m:oMathParaPr>
          <m:jc m:val="center"/>
        </m:oMathParaPr>
        <m:oMath>
          <m:r>
            <m:t xml:space="preserve">P</m:t>
          </m:r>
          <m:r>
            <m:t xml:space="preserve">r</m:t>
          </m:r>
          <m:r>
            <m:t xml:space="preserve">=</m:t>
          </m:r>
          <m:f>
            <m:fPr>
              <m:type m:val="bar"/>
            </m:fPr>
            <m:num>
              <m:sSub>
                <m:e>
                  <m:r>
                    <m:t xml:space="preserve">μ</m:t>
                  </m:r>
                </m:e>
                <m:sub>
                  <m:r>
                    <m:t xml:space="preserve">f</m:t>
                  </m:r>
                </m:sub>
              </m:sSub>
              <m:r>
                <m:t xml:space="preserve">(</m:t>
              </m:r>
              <m:sSub>
                <m:e>
                  <m:r>
                    <m:t xml:space="preserve">c</m:t>
                  </m:r>
                </m:e>
                <m:sub>
                  <m:r>
                    <m:t xml:space="preserve">p</m:t>
                  </m:r>
                </m:sub>
              </m:sSub>
              <m:sSub>
                <m:e>
                  <m:r>
                    <m:t xml:space="preserve">)</m:t>
                  </m:r>
                </m:e>
                <m:sub>
                  <m:r>
                    <m:t xml:space="preserve">f</m:t>
                  </m:r>
                </m:sub>
              </m:sSub>
            </m:num>
            <m:den>
              <m:sSub>
                <m:e>
                  <m:r>
                    <m:t xml:space="preserve">κ</m:t>
                  </m:r>
                </m:e>
                <m:sub>
                  <m:r>
                    <m:t xml:space="preserve">f</m:t>
                  </m:r>
                </m:sub>
              </m:sSub>
            </m:den>
          </m:f>
          <m:r>
            <m:t xml:space="preserve">,</m:t>
          </m:r>
          <m:r>
            <m:t xml:space="preserve"> </m:t>
          </m:r>
          <m:r>
            <m:t xml:space="preserve">E</m:t>
          </m:r>
          <m:r>
            <m:t xml:space="preserve">c</m:t>
          </m:r>
          <m:r>
            <m:t xml:space="preserve">=</m:t>
          </m:r>
          <m:f>
            <m:fPr>
              <m:type m:val="bar"/>
            </m:fPr>
            <m:num>
              <m:sSubSup>
                <m:e>
                  <m:r>
                    <m:t xml:space="preserve">U</m:t>
                  </m:r>
                </m:e>
                <m:sub>
                  <m:r>
                    <m:t xml:space="preserve">e</m:t>
                  </m:r>
                </m:sub>
                <m:sup>
                  <m:r>
                    <m:t xml:space="preserve">2</m:t>
                  </m:r>
                </m:sup>
              </m:sSub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f>
            <m:fPr>
              <m:type m:val="bar"/>
            </m:fPr>
            <m:num>
              <m:sSup>
                <m:e>
                  <m:r>
                    <m:t xml:space="preserve">a</m:t>
                  </m:r>
                </m:e>
                <m:sup>
                  <m:r>
                    <m:t xml:space="preserve">2</m:t>
                  </m:r>
                </m:sup>
              </m:sSup>
              <m:sSup>
                <m:e>
                  <m:r>
                    <m:t xml:space="preserve">x</m:t>
                  </m:r>
                </m:e>
                <m:sup>
                  <m:r>
                    <m:t xml:space="preserve">2</m:t>
                  </m:r>
                </m:sup>
              </m:s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r>
                <m:t xml:space="preserve">(</m:t>
              </m:r>
              <m:r>
                <m:t xml:space="preserve">1</m:t>
              </m:r>
              <m:r>
                <m:t xml:space="preserve">-</m:t>
              </m:r>
              <m:r>
                <m:t xml:space="preserve">γ</m:t>
              </m:r>
              <m:r>
                <m:t xml:space="preserve">t</m:t>
              </m:r>
              <m:sSup>
                <m:e>
                  <m:r>
                    <m:t xml:space="preserve">)</m:t>
                  </m:r>
                </m:e>
                <m:sup>
                  <m:r>
                    <m:t xml:space="preserve">2</m:t>
                  </m:r>
                </m:sup>
              </m:sSup>
            </m:den>
          </m:f>
          <m:r>
            <m:t xml:space="preserve">,</m:t>
          </m:r>
          <m:r>
            <m:t xml:space="preserve"> </m:t>
          </m:r>
          <m:r>
            <m:t xml:space="preserve">R</m:t>
          </m:r>
          <m:r>
            <m:t xml:space="preserve">d</m:t>
          </m:r>
          <m:r>
            <m:t xml:space="preserve">=</m:t>
          </m:r>
          <m:f>
            <m:fPr>
              <m:type m:val="bar"/>
            </m:fPr>
            <m:num>
              <m:r>
                <m:t xml:space="preserve">4</m:t>
              </m:r>
              <m:sSup>
                <m:e>
                  <m:r>
                    <m:t xml:space="preserve">σ</m:t>
                  </m:r>
                </m:e>
                <m:sup>
                  <m:r>
                    <m:t xml:space="preserve">*</m:t>
                  </m:r>
                </m:sup>
              </m:sSup>
              <m:sSubSup>
                <m:e>
                  <m:r>
                    <m:t xml:space="preserve">T</m:t>
                  </m:r>
                </m:e>
                <m:sub>
                  <m:r>
                    <m:t xml:space="preserve">0</m:t>
                  </m:r>
                </m:sub>
                <m:sup>
                  <m:r>
                    <m:t xml:space="preserve">3</m:t>
                  </m:r>
                </m:sup>
              </m:sSubSup>
            </m:num>
            <m:den>
              <m:sSup>
                <m:e>
                  <m:r>
                    <m:t xml:space="preserve">k</m:t>
                  </m:r>
                </m:e>
                <m:sup>
                  <m:r>
                    <m:t xml:space="preserve">*</m:t>
                  </m:r>
                </m:sup>
              </m:sSup>
              <m:sSub>
                <m:e>
                  <m:r>
                    <m:t xml:space="preserve">κ</m:t>
                  </m:r>
                </m:e>
                <m:sub>
                  <m:r>
                    <m:t xml:space="preserve">f</m:t>
                  </m:r>
                </m:sub>
              </m:sSub>
            </m:den>
          </m:f>
          <m:r>
            <m:t xml:space="preserve">     (20)</m:t>
          </m:r>
        </m:oMath>
      </m:oMathPara>
    </w:p>
    <w:p/>
    <w:p>
      <m:oMathPara>
        <m:oMathParaPr>
          <m:jc m:val="center"/>
        </m:oMathParaPr>
        <m:oMath>
          <m:r>
            <m:t xml:space="preserve">S</m:t>
          </m:r>
          <m:r>
            <m:t xml:space="preserve">c</m:t>
          </m:r>
          <m:r>
            <m:t xml:space="preserve">=</m:t>
          </m:r>
          <m:f>
            <m:fPr>
              <m:type m:val="bar"/>
            </m:fPr>
            <m:num>
              <m:sSub>
                <m:e>
                  <m:r>
                    <m:t xml:space="preserve">ν</m:t>
                  </m:r>
                </m:e>
                <m:sub>
                  <m:r>
                    <m:t xml:space="preserve">f</m:t>
                  </m:r>
                </m:sub>
              </m:sSub>
            </m:num>
            <m:den>
              <m:sSub>
                <m:e>
                  <m:r>
                    <m:t xml:space="preserve">D</m:t>
                  </m:r>
                </m:e>
                <m:sub>
                  <m:r>
                    <m:t xml:space="preserve">B</m:t>
                  </m:r>
                </m:sub>
              </m:sSub>
            </m:den>
          </m:f>
          <m:r>
            <m:t xml:space="preserve">,</m:t>
          </m:r>
          <m:r>
            <m:t xml:space="preserve"> </m:t>
          </m:r>
          <m:r>
            <m:t xml:space="preserve">S</m:t>
          </m:r>
          <m:r>
            <m:t xml:space="preserve">r</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T</m:t>
                  </m:r>
                </m:e>
                <m:sub>
                  <m:r>
                    <m:t xml:space="preserve">w</m:t>
                  </m:r>
                </m:sub>
              </m:sSub>
              <m:r>
                <m:t xml:space="preserve">-</m:t>
              </m:r>
              <m:sSub>
                <m:e>
                  <m:r>
                    <m:t xml:space="preserve">T</m:t>
                  </m:r>
                </m:e>
                <m:sub>
                  <m:r>
                    <m:t xml:space="preserve">0</m:t>
                  </m:r>
                </m:sub>
              </m:sSub>
              <m:r>
                <m:t xml:space="preserve">)</m:t>
              </m:r>
            </m:num>
            <m:den>
              <m:sSub>
                <m:e>
                  <m:r>
                    <m:t xml:space="preserve">T</m:t>
                  </m:r>
                </m:e>
                <m:sub>
                  <m:r>
                    <m:t xml:space="preserve">m</m:t>
                  </m:r>
                </m:sub>
              </m:sSub>
              <m:sSub>
                <m:e>
                  <m:r>
                    <m:t xml:space="preserve">ν</m:t>
                  </m:r>
                </m:e>
                <m:sub>
                  <m:r>
                    <m:t xml:space="preserve">f</m:t>
                  </m:r>
                </m:sub>
              </m:sSub>
              <m:r>
                <m:t xml:space="preserve">(</m:t>
              </m:r>
              <m:sSub>
                <m:e>
                  <m:r>
                    <m:t xml:space="preserve">C</m:t>
                  </m:r>
                </m:e>
                <m:sub>
                  <m:r>
                    <m:t xml:space="preserve">w</m:t>
                  </m:r>
                </m:sub>
              </m:sSub>
              <m:r>
                <m:t xml:space="preserve">-</m:t>
              </m:r>
              <m:sSub>
                <m:e>
                  <m:r>
                    <m:t xml:space="preserve">C</m:t>
                  </m:r>
                </m:e>
                <m:sub>
                  <m:r>
                    <m:t xml:space="preserve">0</m:t>
                  </m:r>
                </m:sub>
              </m:sSub>
              <m:r>
                <m:t xml:space="preserve">)</m:t>
              </m:r>
            </m:den>
          </m:f>
          <m:r>
            <m:t xml:space="preserve">,</m:t>
          </m:r>
          <m:r>
            <m:t xml:space="preserve"> </m:t>
          </m:r>
          <m:r>
            <m:t xml:space="preserve">D</m:t>
          </m:r>
          <m:r>
            <m:t xml:space="preserve">f</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C</m:t>
                  </m:r>
                </m:e>
                <m:sub>
                  <m:r>
                    <m:t xml:space="preserve">w</m:t>
                  </m:r>
                </m:sub>
              </m:sSub>
              <m:r>
                <m:t xml:space="preserve">-</m:t>
              </m:r>
              <m:sSub>
                <m:e>
                  <m:r>
                    <m:t xml:space="preserve">C</m:t>
                  </m:r>
                </m:e>
                <m:sub>
                  <m:r>
                    <m:t xml:space="preserve">0</m:t>
                  </m:r>
                </m:sub>
              </m:sSub>
              <m:r>
                <m:t xml:space="preserve">)</m:t>
              </m:r>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sSub>
                <m:e>
                  <m:r>
                    <m:t xml:space="preserve">ν</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K</m:t>
          </m:r>
          <m:r>
            <m:t xml:space="preserve">=</m:t>
          </m:r>
          <m:f>
            <m:fPr>
              <m:type m:val="bar"/>
            </m:fPr>
            <m:num>
              <m:sSub>
                <m:e>
                  <m:r>
                    <m:t xml:space="preserve">k</m:t>
                  </m:r>
                </m:e>
                <m:sub>
                  <m:r>
                    <m:t xml:space="preserve">r</m:t>
                  </m:r>
                </m:sub>
              </m:sSub>
              <m:r>
                <m:t xml:space="preserve">(</m:t>
              </m:r>
              <m:r>
                <m:t xml:space="preserve">1</m:t>
              </m:r>
              <m:r>
                <m:t xml:space="preserve">-</m:t>
              </m:r>
              <m:r>
                <m:t xml:space="preserve">γ</m:t>
              </m:r>
              <m:r>
                <m:t xml:space="preserve">t</m:t>
              </m:r>
              <m:r>
                <m:t xml:space="preserve">)</m:t>
              </m:r>
            </m:num>
            <m:den>
              <m:r>
                <m:t xml:space="preserve">a</m:t>
              </m:r>
            </m:den>
          </m:f>
          <m:r>
            <m:t xml:space="preserve">,</m:t>
          </m:r>
          <m:r>
            <m:t xml:space="preserve"> </m:t>
          </m:r>
          <m:r>
            <m:t xml:space="preserve">B</m:t>
          </m:r>
          <m:r>
            <m:t xml:space="preserve">i</m:t>
          </m:r>
          <m:r>
            <m:t xml:space="preserve">=</m:t>
          </m:r>
          <m:f>
            <m:fPr>
              <m:type m:val="bar"/>
            </m:fPr>
            <m:num>
              <m:sSub>
                <m:e>
                  <m:r>
                    <m:t xml:space="preserve">h</m:t>
                  </m:r>
                </m:e>
                <m:sub>
                  <m:r>
                    <m:t xml:space="preserve">f</m:t>
                  </m:r>
                </m:sub>
              </m:sSub>
              <m:r>
                <m:t xml:space="preserve">h</m:t>
              </m:r>
              <m:r>
                <m:t xml:space="preserve">(</m:t>
              </m:r>
              <m:r>
                <m:t xml:space="preserve">t</m:t>
              </m:r>
              <m:r>
                <m:t xml:space="preserve">)</m:t>
              </m:r>
            </m:num>
            <m:den>
              <m:sSub>
                <m:e>
                  <m:r>
                    <m:t xml:space="preserve">κ</m:t>
                  </m:r>
                </m:e>
                <m:sub>
                  <m:r>
                    <m:t xml:space="preserve">f</m:t>
                  </m:r>
                </m:sub>
              </m:sSub>
            </m:den>
          </m:f>
          <m:r>
            <m:t xml:space="preserve">     (21)</m:t>
          </m:r>
        </m:oMath>
      </m:oMathPara>
    </w:p>
    <w:p/>
    <w:p>
      <w:r>
        <w:t xml:space="preserve">Here Sq is the squeezing parameter, We the Weissenberg number, M the magnetic parameter, Ee the dimensionless electric-field parameter, Da the Darcy number, Fr the local Forchheimer inertia parameter based on the dimensional non-Darcy coefficient F_c appearing in Eq. (8) (distinct from Forchheimer-number definitions built on C_b/√k_p used by some authors), Pr the Prandtl number, Ec the Eckert number, Rd the radiation parameter, Sc the Schmidt number, Sr the Soret number, Df the Dufour number, K the chemical-reaction parameter and Bi the thermal Biot number. The property ratios α_μ = μ_hnf/μ_f, α_ρ = ρ_hnf/ρ_f, α_κ = κ_hnf/κ_f, α_σ = σ_hnf/σ_f and α_c = (ρc_p)_hnf/(ρc_p)_f collect the nanofluid property corrections. Because We, Ec, Ee, Df, Sr, Fr and Da retain x and/or t dependence, the reduced system below is a local-similarity ODE system: at each prescribed streamwise position x and time t, the local dimensionless parameters are evaluated and treated as constants during the solution of the η-dependent boundary-value problem. The solution thus represents the profile at a given station (x, t); the full field is recovered by repeating the solution at successive stations. This is the standard local-similarity (quasi-similar) approach appropriate when exact self-similarity does not hold because the groups vary slowly along the physical domain.</w:t>
      </w:r>
    </w:p>
    <w:p/>
    <w:p>
      <w:r>
        <w:rPr>
          <w:b/>
        </w:rPr>
        <w:t xml:space="preserve">Derivation of the Forchheimer parameter.</w:t>
      </w:r>
      <w:r>
        <w:t xml:space="preserve"> The dimensional Forchheimer drag in Eq. (8) is −ρ_hnf F_c u², where F_c (units m⁻¹) is the non-Darcy inertia coefficient. With u = U_e f′ and U_e = ax/(1 − γt), this term equals −ρ_hnf F_c [a²x²/(1 − γt)²] f′². The convective inertia term on the left of Eq. (8) scales as ρ_hnf U_e ∂U_e/∂x ~ ρ_hnf a²x/(1 − γt)². Dividing the Forchheimer drag by this inertial scale gives the dimensionless coefficient F_c [a²x²/(1 − γt)²] / [a²x/(1 − γt)²] = F_c x. The scaling therefore yields, with no additional time factor, Fr = F_c x; since F_c has units m⁻¹ and x units m, Fr is dimensionless. (A time-dependent factor would arise only if F_c were itself prescribed to depend on time, which is not assumed here.) In the reduced momentum balance (Eq. 22) this produces the term −Fr f′², whose η-derivative yields −2 Fr f′ f″ in Eq. (23); Fr is independent of η.</w:t>
      </w:r>
    </w:p>
    <w:p/>
    <w:p>
      <w:pPr>
        <w:pStyle w:val="Heading2"/>
      </w:pPr>
      <w:r>
        <w:t xml:space="preserve">2.6 Pressure elimination and fourth-order momentum formulation</w:t>
      </w:r>
    </w:p>
    <w:p/>
    <w:p>
      <w:r>
        <w:t xml:space="preserve">Under the boundary-layer scaling the y-momentum equation (9) shows that ∂p/∂y = O(δ²), so that p = p(x, t) + O(δ²) and ∂p/∂x is independent of η. Substituting the transformation (18) into the x-momentum equation (8) yields the primitive third-order similarity equation containing the (constant in η) scaled pressure gradient G:</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f</m:t>
          </m:r>
          <m:sSup>
            <m:e>
              <m:r>
                <m:t xml:space="preserve">f</m:t>
              </m:r>
            </m:e>
            <m:sup>
              <m:r>
                <m:t xml:space="preserve">″</m:t>
              </m:r>
            </m:sup>
          </m:sSup>
          <m:r>
            <m:t xml:space="preserve">-</m:t>
          </m:r>
          <m:sSup>
            <m:e>
              <m:sSup>
                <m:e>
                  <m:r>
                    <m:t xml:space="preserve">f</m:t>
                  </m:r>
                </m:e>
                <m:sup>
                  <m:r>
                    <m:t xml:space="preserve">′</m:t>
                  </m:r>
                </m:sup>
              </m:sSup>
            </m:e>
            <m:sup>
              <m:r>
                <m:t xml:space="preserve">2</m:t>
              </m:r>
            </m:sup>
          </m:sSup>
          <m:r>
            <m:t xml:space="preserve">-</m:t>
          </m:r>
          <m:r>
            <m:t xml:space="preserve">S</m:t>
          </m:r>
          <m:r>
            <m:t xml:space="preserve">q</m:t>
          </m:r>
          <m:r>
            <m:t xml:space="preserve"/>
          </m:r>
          <m:r>
            <m:t xml:space="preserve">(</m:t>
          </m:r>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r>
            <m:t xml:space="preserve">(</m:t>
          </m:r>
          <m:sSup>
            <m:e>
              <m:r>
                <m:t xml:space="preserve">f</m:t>
              </m:r>
            </m:e>
            <m:sup>
              <m:r>
                <m:t xml:space="preserve">′</m:t>
              </m:r>
            </m:sup>
          </m:sSup>
          <m:r>
            <m:t xml:space="preserve">-</m:t>
          </m:r>
          <m:r>
            <m:t xml:space="preserve">E</m:t>
          </m:r>
          <m:r>
            <m:t xml:space="preserve">e</m:t>
          </m:r>
          <m:r>
            <m:t xml:space="preserve">)</m:t>
          </m:r>
          <m:r>
            <m:t xml:space="preserve">-</m:t>
          </m:r>
          <m:r>
            <m:t xml:space="preserve">F</m:t>
          </m:r>
          <m:r>
            <m:t xml:space="preserve">r</m:t>
          </m:r>
          <m:r>
            <m:t xml:space="preserve"> </m:t>
          </m:r>
          <m:sSup>
            <m:e>
              <m:sSup>
                <m:e>
                  <m:r>
                    <m:t xml:space="preserve">f</m:t>
                  </m:r>
                </m:e>
                <m:sup>
                  <m:r>
                    <m:t xml:space="preserve">′</m:t>
                  </m:r>
                </m:sup>
              </m:sSup>
            </m:e>
            <m:sup>
              <m:r>
                <m:t xml:space="preserve">2</m:t>
              </m:r>
            </m:sup>
          </m:sSup>
          <m:r>
            <m:t xml:space="preserve">=</m:t>
          </m:r>
          <m:r>
            <m:t xml:space="preserve">G</m:t>
          </m:r>
          <m:r>
            <m:t xml:space="preserve">     (22)</m:t>
          </m:r>
        </m:oMath>
      </m:oMathPara>
    </w:p>
    <w:p/>
    <w:p>
      <w:r>
        <w:t xml:space="preserve">Differentiating Eq. (22) once with respect to η annihilates the constant G and yields the fourth-order equation that is solved numerically:</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f>
            <m:fPr>
              <m:type m:val="bar"/>
            </m:fPr>
            <m:num>
              <m:r>
                <m:t xml:space="preserve">d</m:t>
              </m:r>
            </m:num>
            <m:den>
              <m:r>
                <m:t xml:space="preserve">d</m:t>
              </m:r>
              <m:r>
                <m:t xml:space="preserve">η</m:t>
              </m:r>
            </m:den>
          </m:f>
          <m:r>
            <m:t xml:space="preserve">{</m:t>
          </m:r>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sSup>
            <m:e>
              <m:r>
                <m:t xml:space="preserve">f</m:t>
              </m:r>
            </m:e>
            <m:sup>
              <m:r>
                <m:t xml:space="preserve">″</m:t>
              </m:r>
            </m:sup>
          </m:sSup>
          <m:r>
            <m:t xml:space="preserve">-</m:t>
          </m:r>
          <m:r>
            <m:t xml:space="preserve">2</m:t>
          </m:r>
          <m:r>
            <m:t xml:space="preserve">F</m:t>
          </m:r>
          <m:r>
            <m:t xml:space="preserve">r</m:t>
          </m:r>
          <m:r>
            <m:t xml:space="preserve"> </m:t>
          </m:r>
          <m:sSup>
            <m:e>
              <m:r>
                <m:t xml:space="preserve">f</m:t>
              </m:r>
            </m:e>
            <m:sup>
              <m:r>
                <m:t xml:space="preserve">′</m:t>
              </m:r>
            </m:sup>
          </m:sSup>
          <m:sSup>
            <m:e>
              <m:r>
                <m:t xml:space="preserve">f</m:t>
              </m:r>
            </m:e>
            <m:sup>
              <m:r>
                <m:t xml:space="preserve">″</m:t>
              </m:r>
            </m:sup>
          </m:sSup>
          <m:r>
            <m:t xml:space="preserve">=</m:t>
          </m:r>
          <m:r>
            <m:t xml:space="preserve">0</m:t>
          </m:r>
          <m:r>
            <m:t xml:space="preserve">     (23)</m:t>
          </m:r>
        </m:oMath>
      </m:oMathPara>
    </w:p>
    <w:p/>
    <w:p>
      <w:r>
        <w:t xml:space="preserve">The differentiation of the squeezing group follows from the product rule:</w:t>
      </w:r>
    </w:p>
    <w:p>
      <w:r>
        <w:t xml:space="preserve">d/dη[−Sq(f′ + (η/2)f″)] = −Sq(f″ + ½f″ + (η/2)f‴) = −Sq((3/2)f″ + (η/2)f‴).</w:t>
      </w:r>
    </w:p>
    <w:p/>
    <w:p>
      <w:r>
        <w:rPr>
          <w:b/>
        </w:rPr>
        <w:t xml:space="preserve">Treatment of the lost integration constant.</w:t>
      </w:r>
      <w:r>
        <w:t xml:space="preserve"> Differentiation raises the order from three to four and removes the constant G. The differentiated equation (23) admits an integration constant corresponding to the pressure-gradient term G; whereas the third-order equation (22) requires three conditions plus a known value of G, the fourth-order equation (23) requires four boundary conditions, and after solving the fourth-order BVP, G can be recovered by substitution of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We first transform the convective operator of the energy equation. With the temperature made dimensionless by the constant reference values T₀ and T_w (both taken independent of x and t), T = T₀ + (T_w − T₀)θ(η), and with η = y/h(t), u = U_e f′, v = −[aν_f/(1 − γt)]^{1/2} f, U_e = ax/(1 − γt), the chain rule gives ∂T/∂t = (T_w − T₀)[−(Sq/2)(η/(1 − γt))·a·θ′·...], ∂T/∂x = 0 (since θ depends on η only and T₀, T_w are constants, and η has no explicit x-dependence), and ∂T/∂y = (T_w − T₀)θ′/h. Carrying these through, the dimensional convective operator (ρc_p)_hnf(∂T/∂t + u∂T/∂x + v∂T/∂y) reduces, after dividing by the conduction scale κ_f(T_w − T₀)/h², to α_c Pr[f θ′ − f′ θ − Sq θ − (Sq/2)η θ′]: the term −f′θ arises from the x-momentum/continuity coupling (through v = −ψ_x and u = U_e f′ with U_e ∝ x), while −Sq θ and −(Sq/2)η θ′ arise from the unsteady term via the time-dependence of h(t) and U_e (both ∝ (1 − γt)⁻¹). Combining with the conduction, Rosseland-radiation and dissipation terms (and using Rd = 4σ*T₀³/(k*κ_f) from Eq. 20, which produces the coefficients 4/3 and 4) gives</w:t>
      </w:r>
    </w:p>
    <w:p/>
    <w:p>
      <m:oMathPara>
        <m:oMathParaPr>
          <m:jc m:val="center"/>
        </m:oMathParaPr>
        <m:oMath>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sSup>
            <m:e>
              <m:r>
                <m:t xml:space="preserve">θ</m:t>
              </m:r>
            </m:e>
            <m:sup>
              <m:r>
                <m:t xml:space="preserve">″</m:t>
              </m:r>
            </m:sup>
          </m:sSup>
          <m:r>
            <m:t xml:space="preserve">+</m:t>
          </m:r>
          <m:r>
            <m:t xml:space="preserve">4</m:t>
          </m:r>
          <m:r>
            <m:t xml:space="preserve">R</m:t>
          </m:r>
          <m:r>
            <m:t xml:space="preserve">d</m:t>
          </m:r>
          <m:r>
            <m:t xml:space="preserve"> </m:t>
          </m:r>
          <m:r>
            <m:t xml:space="preserve">(</m:t>
          </m:r>
          <m:sSub>
            <m:e>
              <m:r>
                <m:t xml:space="preserve">θ</m:t>
              </m:r>
            </m:e>
            <m:sub>
              <m:r>
                <m:t xml:space="preserve">r</m:t>
              </m:r>
            </m:sub>
          </m:sSub>
          <m:r>
            <m:t xml:space="preserve">-</m:t>
          </m:r>
          <m:r>
            <m:t xml:space="preserve">1</m:t>
          </m:r>
          <m:r>
            <m:t xml:space="preserve">)</m:t>
          </m:r>
          <m:sSup>
            <m:e>
              <m:r>
                <m:t xml:space="preserve">F</m:t>
              </m:r>
            </m:e>
            <m:sup>
              <m:r>
                <m:t xml:space="preserve">2</m:t>
              </m:r>
            </m:sup>
          </m:sSup>
          <m:sSup>
            <m:e>
              <m:sSup>
                <m:e>
                  <m:r>
                    <m:t xml:space="preserve">θ</m:t>
                  </m:r>
                </m:e>
                <m:sup>
                  <m:r>
                    <m:t xml:space="preserve">′</m:t>
                  </m:r>
                </m:sup>
              </m:sSup>
            </m:e>
            <m:sup>
              <m:r>
                <m:t xml:space="preserve">2</m:t>
              </m:r>
            </m:sup>
          </m:sSup>
          <m:r>
            <m:t xml:space="preserve">+</m:t>
          </m:r>
          <m:sSub>
            <m:e>
              <m:r>
                <m:t xml:space="preserve">α</m:t>
              </m:r>
            </m:e>
            <m:sub>
              <m:r>
                <m:t xml:space="preserve">c</m:t>
              </m:r>
            </m:sub>
          </m:sSub>
          <m:r>
            <m:t xml:space="preserve">Pr</m:t>
          </m:r>
          <m:r>
            <m:t xml:space="preserve"/>
          </m:r>
          <m:r>
            <m:t xml:space="preserve">(</m:t>
          </m:r>
          <m:r>
            <m:t xml:space="preserve">f</m:t>
          </m:r>
          <m:sSup>
            <m:e>
              <m:r>
                <m:t xml:space="preserve">θ</m:t>
              </m:r>
            </m:e>
            <m:sup>
              <m:r>
                <m:t xml:space="preserve">′</m:t>
              </m:r>
            </m:sup>
          </m:sSup>
          <m:r>
            <m:t xml:space="preserve">-</m:t>
          </m:r>
          <m:sSup>
            <m:e>
              <m:r>
                <m:t xml:space="preserve">f</m:t>
              </m:r>
            </m:e>
            <m:sup>
              <m:r>
                <m:t xml:space="preserve">′</m:t>
              </m:r>
            </m:sup>
          </m:sSup>
          <m:r>
            <m:t xml:space="preserve">θ</m:t>
          </m:r>
          <m:r>
            <m:t xml:space="preserve">-</m:t>
          </m:r>
          <m:r>
            <m:t xml:space="preserve">S</m:t>
          </m:r>
          <m:r>
            <m:t xml:space="preserve">q</m:t>
          </m:r>
          <m:r>
            <m:t xml:space="preserve"> </m:t>
          </m:r>
          <m:r>
            <m:t xml:space="preserve">θ</m:t>
          </m:r>
          <m:r>
            <m:t xml:space="preserve">-</m:t>
          </m:r>
          <m:f>
            <m:fPr>
              <m:type m:val="bar"/>
            </m:fPr>
            <m:num>
              <m:r>
                <m:t xml:space="preserve">S</m:t>
              </m:r>
              <m:r>
                <m:t xml:space="preserve">q</m:t>
              </m:r>
            </m:num>
            <m:den>
              <m:r>
                <m:t xml:space="preserve">2</m:t>
              </m:r>
            </m:den>
          </m:f>
          <m:r>
            <m:t xml:space="preserve">η</m:t>
          </m:r>
          <m:sSup>
            <m:e>
              <m:r>
                <m:t xml:space="preserve">θ</m:t>
              </m:r>
            </m:e>
            <m:sup>
              <m:r>
                <m:t xml:space="preserve">′</m:t>
              </m:r>
            </m:sup>
          </m:sSup>
          <m:r>
            <m:t xml:space="preserve"/>
          </m:r>
          <m:r>
            <m:t xml:space="preserve">)</m:t>
          </m:r>
          <m:r>
            <m:t xml:space="preserve">+</m:t>
          </m:r>
          <m:r>
            <m:t xml:space="preserve">Pr</m:t>
          </m:r>
          <m:r>
            <m:t xml:space="preserve"> </m:t>
          </m:r>
          <m:r>
            <m:t xml:space="preserve">Ξ</m:t>
          </m:r>
          <m:r>
            <m:t xml:space="preserve">=</m:t>
          </m:r>
          <m:r>
            <m:t xml:space="preserve">0</m:t>
          </m:r>
          <m:r>
            <m:t xml:space="preserve">     (24)</m:t>
          </m:r>
        </m:oMath>
      </m:oMathPara>
    </w:p>
    <w:p/>
    <w:p>
      <m:oMathPara>
        <m:oMathParaPr>
          <m:jc m:val="center"/>
        </m:oMathParaPr>
        <m:oMath>
          <m:sSup>
            <m:e>
              <m:r>
                <m:t xml:space="preserve">φ</m:t>
              </m:r>
            </m:e>
            <m:sup>
              <m:r>
                <m:t xml:space="preserve">″</m:t>
              </m:r>
            </m:sup>
          </m:sSup>
          <m:r>
            <m:t xml:space="preserve">+</m:t>
          </m:r>
          <m:r>
            <m:t xml:space="preserve">S</m:t>
          </m:r>
          <m:r>
            <m:t xml:space="preserve">c</m:t>
          </m:r>
          <m:r>
            <m:t xml:space="preserve"/>
          </m:r>
          <m:r>
            <m:t xml:space="preserve">(</m:t>
          </m:r>
          <m:r>
            <m:t xml:space="preserve">f</m:t>
          </m:r>
          <m:sSup>
            <m:e>
              <m:r>
                <m:t xml:space="preserve">φ</m:t>
              </m:r>
            </m:e>
            <m:sup>
              <m:r>
                <m:t xml:space="preserve">′</m:t>
              </m:r>
            </m:sup>
          </m:sSup>
          <m:r>
            <m:t xml:space="preserve">-</m:t>
          </m:r>
          <m:sSup>
            <m:e>
              <m:r>
                <m:t xml:space="preserve">f</m:t>
              </m:r>
            </m:e>
            <m:sup>
              <m:r>
                <m:t xml:space="preserve">′</m:t>
              </m:r>
            </m:sup>
          </m:sSup>
          <m:r>
            <m:t xml:space="preserve">φ</m:t>
          </m:r>
          <m:r>
            <m:t xml:space="preserve">-</m:t>
          </m:r>
          <m:r>
            <m:t xml:space="preserve">S</m:t>
          </m:r>
          <m:r>
            <m:t xml:space="preserve">q</m:t>
          </m:r>
          <m:r>
            <m:t xml:space="preserve"> </m:t>
          </m:r>
          <m:r>
            <m:t xml:space="preserve">φ</m:t>
          </m:r>
          <m:r>
            <m:t xml:space="preserve">-</m:t>
          </m:r>
          <m:f>
            <m:fPr>
              <m:type m:val="bar"/>
            </m:fPr>
            <m:num>
              <m:r>
                <m:t xml:space="preserve">S</m:t>
              </m:r>
              <m:r>
                <m:t xml:space="preserve">q</m:t>
              </m:r>
            </m:num>
            <m:den>
              <m:r>
                <m:t xml:space="preserve">2</m:t>
              </m:r>
            </m:den>
          </m:f>
          <m:r>
            <m:t xml:space="preserve">η</m:t>
          </m:r>
          <m:sSup>
            <m:e>
              <m:r>
                <m:t xml:space="preserve">φ</m:t>
              </m:r>
            </m:e>
            <m:sup>
              <m:r>
                <m:t xml:space="preserve">′</m:t>
              </m:r>
            </m:sup>
          </m:sSup>
          <m:r>
            <m:t xml:space="preserve"/>
          </m:r>
          <m:r>
            <m:t xml:space="preserve">)</m:t>
          </m:r>
          <m:r>
            <m:t xml:space="preserve">+</m:t>
          </m:r>
          <m:r>
            <m:t xml:space="preserve">S</m:t>
          </m:r>
          <m:r>
            <m:t xml:space="preserve">c</m:t>
          </m:r>
          <m:r>
            <m:t xml:space="preserve"> </m:t>
          </m:r>
          <m:r>
            <m:t xml:space="preserve">S</m:t>
          </m:r>
          <m:r>
            <m:t xml:space="preserve">r</m:t>
          </m:r>
          <m:r>
            <m:t xml:space="preserve"> </m:t>
          </m:r>
          <m:sSup>
            <m:e>
              <m:r>
                <m:t xml:space="preserve">θ</m:t>
              </m:r>
            </m:e>
            <m:sup>
              <m:r>
                <m:t xml:space="preserve">″</m:t>
              </m:r>
            </m:sup>
          </m:sSup>
          <m:r>
            <m:t xml:space="preserve">-</m:t>
          </m:r>
          <m:r>
            <m:t xml:space="preserve">K</m:t>
          </m:r>
          <m:r>
            <m:t xml:space="preserve"> </m:t>
          </m:r>
          <m:r>
            <m:t xml:space="preserve">S</m:t>
          </m:r>
          <m:r>
            <m:t xml:space="preserve">c</m:t>
          </m:r>
          <m:r>
            <m:t xml:space="preserve"> </m:t>
          </m:r>
          <m:r>
            <m:t xml:space="preserve">φ</m:t>
          </m:r>
          <m:r>
            <m:t xml:space="preserve">=</m:t>
          </m:r>
          <m:r>
            <m:t xml:space="preserve">0</m:t>
          </m:r>
          <m:r>
            <m:t xml:space="preserve">     (25)</m:t>
          </m:r>
        </m:oMath>
      </m:oMathPara>
    </w:p>
    <w:p/>
    <w:p>
      <w:r>
        <w:t xml:space="preserve">Here θ_r = T_w/T₀ is the wall-to-ambient temperature ratio, and the dimensionless temperature function appearing in the radiative group is defined as</w:t>
      </w:r>
    </w:p>
    <w:p/>
    <w:p>
      <m:oMathPara>
        <m:oMathParaPr>
          <m:jc m:val="center"/>
        </m:oMathParaPr>
        <m:oMath>
          <m:r>
            <m:t xml:space="preserve">F</m:t>
          </m:r>
          <m:r>
            <m:t xml:space="preserve">(</m:t>
          </m:r>
          <m:r>
            <m:t xml:space="preserve">η</m:t>
          </m:r>
          <m:r>
            <m:t xml:space="preserve">)</m:t>
          </m:r>
          <m:r>
            <m:t xml:space="preserve">=</m:t>
          </m:r>
          <m:r>
            <m:t xml:space="preserve">1</m:t>
          </m:r>
          <m:r>
            <m:t xml:space="preserve">+</m:t>
          </m:r>
          <m:r>
            <m:t xml:space="preserve">(</m:t>
          </m:r>
          <m:sSub>
            <m:e>
              <m:r>
                <m:t xml:space="preserve">θ</m:t>
              </m:r>
            </m:e>
            <m:sub>
              <m:r>
                <m:t xml:space="preserve">r</m:t>
              </m:r>
            </m:sub>
          </m:sSub>
          <m:r>
            <m:t xml:space="preserve">-</m:t>
          </m:r>
          <m:r>
            <m:t xml:space="preserve">1</m:t>
          </m:r>
          <m:r>
            <m:t xml:space="preserve">)</m:t>
          </m:r>
          <m:r>
            <m:t xml:space="preserve">θ</m:t>
          </m:r>
          <m:r>
            <m:t xml:space="preserve">(</m:t>
          </m:r>
          <m:r>
            <m:t xml:space="preserve">η</m:t>
          </m:r>
          <m:r>
            <m:t xml:space="preserve">)</m:t>
          </m:r>
          <m:r>
            <m:t xml:space="preserve">     (26)</m:t>
          </m:r>
        </m:oMath>
      </m:oMathPara>
    </w:p>
    <w:p/>
    <w:p>
      <w:r>
        <w:t xml:space="preserve">so that F = T/T₀ is dimensionless and ranges continuously from F(1) = 1 at the (ambient) upper plate to F(0) = θ_r at the heated lower plate. The combined viscous-dissipation and Joule-heating source is</w:t>
      </w:r>
    </w:p>
    <w:p/>
    <w:p>
      <m:oMathPara>
        <m:oMathParaPr>
          <m:jc m:val="center"/>
        </m:oMathParaPr>
        <m:oMath>
          <m:r>
            <m:t xml:space="preserve">Ξ</m:t>
          </m:r>
          <m:r>
            <m:t xml:space="preserve">=</m:t>
          </m:r>
          <m:sSub>
            <m:e>
              <m:r>
                <m:t xml:space="preserve">α</m:t>
              </m:r>
            </m:e>
            <m:sub>
              <m:r>
                <m:t xml:space="preserve">μ</m:t>
              </m:r>
            </m:sub>
          </m:sSub>
          <m:r>
            <m:t xml:space="preserve">E</m:t>
          </m:r>
          <m:r>
            <m:t xml:space="preserve">c</m:t>
          </m:r>
          <m:r>
            <m:t xml:space="preserve"> </m:t>
          </m:r>
          <m:sSup>
            <m:e>
              <m:sSup>
                <m:e>
                  <m:r>
                    <m:t xml:space="preserve">f</m:t>
                  </m:r>
                </m:e>
                <m:sup>
                  <m:r>
                    <m:t xml:space="preserve">″</m:t>
                  </m:r>
                </m:sup>
              </m:sSup>
            </m:e>
            <m:sup>
              <m:r>
                <m:t xml:space="preserve">2</m:t>
              </m:r>
            </m:sup>
          </m:sSup>
          <m:r>
            <m:t xml:space="preserve">+</m:t>
          </m:r>
          <m:sSub>
            <m:e>
              <m:r>
                <m:t xml:space="preserve">α</m:t>
              </m:r>
            </m:e>
            <m:sub>
              <m:r>
                <m:t xml:space="preserve">σ</m:t>
              </m:r>
            </m:sub>
          </m:sSub>
          <m:r>
            <m:t xml:space="preserve">M</m:t>
          </m:r>
          <m:r>
            <m:t xml:space="preserve"> </m:t>
          </m:r>
          <m:r>
            <m:t xml:space="preserve">E</m:t>
          </m:r>
          <m:r>
            <m:t xml:space="preserve">c</m:t>
          </m:r>
          <m:r>
            <m:t xml:space="preserve"> </m:t>
          </m:r>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r>
            <m:t xml:space="preserve">+</m:t>
          </m:r>
          <m:sSub>
            <m:e>
              <m:r>
                <m:t xml:space="preserve">α</m:t>
              </m:r>
            </m:e>
            <m:sub>
              <m:r>
                <m:t xml:space="preserve">c</m:t>
              </m:r>
            </m:sub>
          </m:sSub>
          <m:r>
            <m:t xml:space="preserve">D</m:t>
          </m:r>
          <m:r>
            <m:t xml:space="preserve">f</m:t>
          </m:r>
          <m:r>
            <m:t xml:space="preserve"> </m:t>
          </m:r>
          <m:sSup>
            <m:e>
              <m:r>
                <m:t xml:space="preserve">φ</m:t>
              </m:r>
            </m:e>
            <m:sup>
              <m:r>
                <m:t xml:space="preserve">″</m:t>
              </m:r>
            </m:sup>
          </m:sSup>
          <m:r>
            <m:t xml:space="preserve">     (27)</m:t>
          </m:r>
        </m:oMath>
      </m:oMathPara>
    </w:p>
    <w:p/>
    <w:p>
      <w:r>
        <w:rPr>
          <w:b/>
        </w:rPr>
        <w:t xml:space="preserve">Radiation-coefficient reduction.</w:t>
      </w:r>
      <w:r>
        <w:t xml:space="preserve"> Differentiating the Rosseland flux (12) gives −∂q_r/∂y = (16σ*/3k*)[T³ ∂²T/∂y² + 3T²(∂T/∂y)²]. Writing T = T₀F with F from Eq. (26) and normalising the energy equation by κ_f(T_w − T₀)/h² yields the radiative contribution (16σ*T₀³/3k*κ_f)[F³θ″ + 3(θ_r − 1)F²θ′²]. Defining the radiation parameter as Rd = 4σ*T₀³/(k*κ_f) (Eq. 20), the prefactor 16σ*T₀³/(3k*κ_f) equals (4/3)Rd, so the two radiative terms become exactly (4/3)Rd F³θ″ and 3 × (4/3)Rd (θ_r − 1)F²θ′² = 4Rd (θ_r − 1)F²θ′², as written in Eq. (24).</w:t>
      </w:r>
    </w:p>
    <w:p/>
    <w:p>
      <w:r>
        <w:rPr>
          <w:b/>
        </w:rPr>
        <w:t xml:space="preserve">Dufour term normalisation.</w:t>
      </w:r>
      <w:r>
        <w:t xml:space="preserve"> The dimensional Dufour contribution in Eq. (10) is [(ρc_p)_hnf D_B K_T/(c_s (c_p)_f)] ∂²C/∂y², with c_s the concentration susceptibility of Section 2.3. Non-dimensionalising with C − C₀ = (C_w − C₀)φ, T − T₀ = (T_w − T₀)θ and y = h(t)η, this term becomes</w:t>
      </w:r>
    </w:p>
    <w:p/>
    <w:p>
      <w:r>
        <w:t xml:space="preserve">(ρc_p)_hnf [D_B K_T (C_w − C₀)/(c_s (c_p)_f h²)] φ″.</w:t>
      </w:r>
    </w:p>
    <w:p/>
    <w:p>
      <w:r>
        <w:t xml:space="preserve">The energy equation is reduced to the form of Eq. (24) by dividing every term by the conduction scale κ_f(T_w − T₀)/h². Applying this to the Dufour term and using (ρc_p)_hnf = α_c (ρc_p)_f together with the identity (ρc_p)_f/κ_f = Pr/ν_f gives</w:t>
      </w:r>
    </w:p>
    <w:p/>
    <w:p>
      <w:r>
        <w:t xml:space="preserve">[(ρc_p)_hnf/κ_f] × D_B K_T (C_w − C₀)/[c_s (c_p)_f (T_w − T₀)]</w:t>
      </w:r>
    </w:p>
    <w:p>
      <w:r>
        <w:t xml:space="preserve">= α_c (Pr/ν_f) × D_B K_T (C_w − C₀)/[c_s (c_p)_f (T_w − T₀)]</w:t>
      </w:r>
    </w:p>
    <w:p>
      <w:r>
        <w:t xml:space="preserve">= α_c Pr Df,</w:t>
      </w:r>
    </w:p>
    <w:p/>
    <w:p>
      <w:r>
        <w:t xml:space="preserve">where</w:t>
      </w:r>
    </w:p>
    <w:p/>
    <w:p>
      <w:r>
        <w:t xml:space="preserve">Df = D_B K_T (C_w − C₀)/[c_s (c_p)_f ν_f (T_w − T₀)]</w:t>
      </w:r>
    </w:p>
    <w:p/>
    <w:p>
      <w:r>
        <w:t xml:space="preserve">is the dimensionless Dufour number of Eq. (21). Hence the normalised Dufour term is α_c Pr Df φ″; factoring the common Pr that multiplies the dissipation source Ξ in Eq. (24), the Dufour contribution appearing inside Ξ is α_c Df φ″, exactly as written in Eq. (27). (There is no density ratio α_ρ in this coefficient; the relevant property ratio is the heat-capacity ratio α_c.) All dimensionless groups entering Eqs. (24)–(25) — namely Pr, Rd, Ec, Sc, Sr, Df, K and the ratios α_κ, α_c, α_μ, α_σ, α_ρ — are defined in Section 2.5.</w:t>
      </w:r>
    </w:p>
    <w:p/>
    <w:p>
      <w:pPr>
        <w:pStyle w:val="Heading2"/>
      </w:pPr>
      <w:r>
        <w:t xml:space="preserve">2.8 Boundary conditions</w:t>
      </w:r>
    </w:p>
    <w:p/>
    <w:p>
      <w:r>
        <w:t xml:space="preserve">The velocity-slip, convective thermal (Biot-type) and solutal-slip conditions are</w:t>
      </w:r>
    </w:p>
    <w:p/>
    <w:p>
      <m:oMathPara>
        <m:oMathParaPr>
          <m:jc m:val="center"/>
        </m:oMathParaPr>
        <m:oMath>
          <m:r>
            <m:t xml:space="preserve">f</m:t>
          </m:r>
          <m:r>
            <m:t xml:space="preserve">(</m:t>
          </m:r>
          <m:r>
            <m:t xml:space="preserve">0</m:t>
          </m:r>
          <m:r>
            <m:t xml:space="preserve">)</m:t>
          </m:r>
          <m:r>
            <m:t xml:space="preserve">=</m:t>
          </m:r>
          <m:r>
            <m:t xml:space="preserve">0</m:t>
          </m:r>
          <m:r>
            <m:t xml:space="preserve">,</m:t>
          </m:r>
          <m:r>
            <m:t xml:space="preserve"> </m:t>
          </m:r>
          <m:sSup>
            <m:e>
              <m:r>
                <m:t xml:space="preserve">f</m:t>
              </m:r>
            </m:e>
            <m:sup>
              <m:r>
                <m:t xml:space="preserve">′</m:t>
              </m:r>
            </m:sup>
          </m:sSup>
          <m:r>
            <m:t xml:space="preserve">(</m:t>
          </m:r>
          <m:r>
            <m:t xml:space="preserve">0</m:t>
          </m:r>
          <m:r>
            <m:t xml:space="preserve">)</m:t>
          </m:r>
          <m:r>
            <m:t xml:space="preserve">=</m:t>
          </m:r>
          <m:r>
            <m:t xml:space="preserve">1</m:t>
          </m:r>
          <m:r>
            <m:t xml:space="preserve">+</m:t>
          </m:r>
          <m:sSub>
            <m:e>
              <m:r>
                <m:t xml:space="preserve">S</m:t>
              </m:r>
            </m:e>
            <m:sub>
              <m:r>
                <m:t xml:space="preserve">1</m:t>
              </m:r>
            </m:sub>
          </m:sSub>
          <m:sSup>
            <m:e>
              <m:r>
                <m:t xml:space="preserve">f</m:t>
              </m:r>
            </m:e>
            <m:sup>
              <m:r>
                <m:t xml:space="preserve">″</m:t>
              </m:r>
            </m:sup>
          </m:sSup>
          <m:r>
            <m:t xml:space="preserve">(</m:t>
          </m:r>
          <m:r>
            <m:t xml:space="preserve">0</m:t>
          </m:r>
          <m:r>
            <m:t xml:space="preserve">)</m:t>
          </m:r>
          <m:r>
            <m:t xml:space="preserve">,</m:t>
          </m:r>
          <m:r>
            <m:t xml:space="preserve"> </m:t>
          </m:r>
          <m:r>
            <m:t xml:space="preserve">f</m:t>
          </m:r>
          <m:r>
            <m:t xml:space="preserve">(</m:t>
          </m:r>
          <m:r>
            <m:t xml:space="preserve">1</m:t>
          </m:r>
          <m:r>
            <m:t xml:space="preserve">)</m:t>
          </m:r>
          <m:r>
            <m:t xml:space="preserve">=</m:t>
          </m:r>
          <m:f>
            <m:fPr>
              <m:type m:val="bar"/>
            </m:fPr>
            <m:num>
              <m:r>
                <m:t xml:space="preserve">S</m:t>
              </m:r>
              <m:r>
                <m:t xml:space="preserve">q</m:t>
              </m:r>
            </m:num>
            <m:den>
              <m:r>
                <m:t xml:space="preserve">2</m:t>
              </m:r>
            </m:den>
          </m:f>
          <m:r>
            <m:t xml:space="preserve">,</m:t>
          </m:r>
          <m:r>
            <m:t xml:space="preserve"> </m:t>
          </m:r>
          <m:sSup>
            <m:e>
              <m:r>
                <m:t xml:space="preserve">f</m:t>
              </m:r>
            </m:e>
            <m:sup>
              <m:r>
                <m:t xml:space="preserve">′</m:t>
              </m:r>
            </m:sup>
          </m:sSup>
          <m:r>
            <m:t xml:space="preserve">(</m:t>
          </m:r>
          <m:r>
            <m:t xml:space="preserve">1</m:t>
          </m:r>
          <m:r>
            <m:t xml:space="preserve">)</m:t>
          </m:r>
          <m:r>
            <m:t xml:space="preserve">=</m:t>
          </m:r>
          <m:r>
            <m:t xml:space="preserve">0</m:t>
          </m:r>
          <m:r>
            <m:t xml:space="preserve">     (28)</m:t>
          </m:r>
        </m:oMath>
      </m:oMathPara>
    </w:p>
    <w:p/>
    <w:p>
      <m:oMathPara>
        <m:oMathParaPr>
          <m:jc m:val="center"/>
        </m:oMathParaPr>
        <m:oMath>
          <m:sSup>
            <m:e>
              <m:r>
                <m:t xml:space="preserve">θ</m:t>
              </m:r>
            </m:e>
            <m:sup>
              <m:r>
                <m:t xml:space="preserve">′</m:t>
              </m:r>
            </m:sup>
          </m:sSup>
          <m:r>
            <m:t xml:space="preserve">(</m:t>
          </m:r>
          <m:r>
            <m:t xml:space="preserve">0</m:t>
          </m:r>
          <m:r>
            <m:t xml:space="preserve">)</m:t>
          </m:r>
          <m:r>
            <m:t xml:space="preserve">=</m:t>
          </m:r>
          <m:r>
            <m:t xml:space="preserve">-</m:t>
          </m:r>
          <m:r>
            <m:t xml:space="preserve">B</m:t>
          </m:r>
          <m:r>
            <m:t xml:space="preserve">i</m:t>
          </m:r>
          <m:r>
            <m:t xml:space="preserve"/>
          </m:r>
          <m:r>
            <m:t xml:space="preserve">[</m:t>
          </m:r>
          <m:r>
            <m:t xml:space="preserve">1</m:t>
          </m:r>
          <m:r>
            <m:t xml:space="preserve">-</m:t>
          </m:r>
          <m:r>
            <m:t xml:space="preserve">θ</m:t>
          </m:r>
          <m:r>
            <m:t xml:space="preserve">(</m:t>
          </m:r>
          <m:r>
            <m:t xml:space="preserve">0</m:t>
          </m:r>
          <m:r>
            <m:t xml:space="preserve">)</m:t>
          </m:r>
          <m:r>
            <m:t xml:space="preserve"/>
          </m:r>
          <m:r>
            <m:t xml:space="preserve">]</m:t>
          </m:r>
          <m:r>
            <m:t xml:space="preserve">,</m:t>
          </m:r>
          <m:r>
            <m:t xml:space="preserve"> </m:t>
          </m:r>
          <m:r>
            <m:t xml:space="preserve">θ</m:t>
          </m:r>
          <m:r>
            <m:t xml:space="preserve">(</m:t>
          </m:r>
          <m:r>
            <m:t xml:space="preserve">1</m:t>
          </m:r>
          <m:r>
            <m:t xml:space="preserve">)</m:t>
          </m:r>
          <m:r>
            <m:t xml:space="preserve">=</m:t>
          </m:r>
          <m:r>
            <m:t xml:space="preserve">0</m:t>
          </m:r>
          <m:r>
            <m:t xml:space="preserve">,</m:t>
          </m:r>
          <m:r>
            <m:t xml:space="preserve"> </m:t>
          </m:r>
          <m:r>
            <m:t xml:space="preserve">φ</m:t>
          </m:r>
          <m:r>
            <m:t xml:space="preserve">(</m:t>
          </m:r>
          <m:r>
            <m:t xml:space="preserve">0</m:t>
          </m:r>
          <m:r>
            <m:t xml:space="preserve">)</m:t>
          </m:r>
          <m:r>
            <m:t xml:space="preserve">=</m:t>
          </m:r>
          <m:r>
            <m:t xml:space="preserve">1</m:t>
          </m:r>
          <m:r>
            <m:t xml:space="preserve">+</m:t>
          </m:r>
          <m:sSub>
            <m:e>
              <m:r>
                <m:t xml:space="preserve">S</m:t>
              </m:r>
            </m:e>
            <m:sub>
              <m:r>
                <m:t xml:space="preserve">3</m:t>
              </m:r>
            </m:sub>
          </m:sSub>
          <m:sSup>
            <m:e>
              <m:r>
                <m:t xml:space="preserve">φ</m:t>
              </m:r>
            </m:e>
            <m:sup>
              <m:r>
                <m:t xml:space="preserve">′</m:t>
              </m:r>
            </m:sup>
          </m:sSup>
          <m:r>
            <m:t xml:space="preserve">(</m:t>
          </m:r>
          <m:r>
            <m:t xml:space="preserve">0</m:t>
          </m:r>
          <m:r>
            <m:t xml:space="preserve">)</m:t>
          </m:r>
          <m:r>
            <m:t xml:space="preserve">,</m:t>
          </m:r>
          <m:r>
            <m:t xml:space="preserve"> </m:t>
          </m:r>
          <m:r>
            <m:t xml:space="preserve">φ</m:t>
          </m:r>
          <m:r>
            <m:t xml:space="preserve">(</m:t>
          </m:r>
          <m:r>
            <m:t xml:space="preserve">1</m:t>
          </m:r>
          <m:r>
            <m:t xml:space="preserve">)</m:t>
          </m:r>
          <m:r>
            <m:t xml:space="preserve">=</m:t>
          </m:r>
          <m:r>
            <m:t xml:space="preserve">0</m:t>
          </m:r>
          <m:r>
            <m:t xml:space="preserve">     (29)</m:t>
          </m:r>
        </m:oMath>
      </m:oMathPara>
    </w:p>
    <w:p/>
    <w:p>
      <w:r>
        <w:t xml:space="preserve">where S₁ and S₃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local Reynolds number used to scale the engineering quantities below is based on the lower-plate stretching velocity U_e and the streamwise coordinate x:</w:t>
      </w:r>
    </w:p>
    <w:p/>
    <w:p>
      <m:oMathPara>
        <m:oMathParaPr>
          <m:jc m:val="center"/>
        </m:oMathParaPr>
        <m:oMath>
          <m:r>
            <m:t xml:space="preserve">R</m:t>
          </m:r>
          <m:sSub>
            <m:e>
              <m:r>
                <m:t xml:space="preserve">e</m:t>
              </m:r>
            </m:e>
            <m:sub>
              <m:r>
                <m:t xml:space="preserve">x</m:t>
              </m:r>
            </m:sub>
          </m:sSub>
          <m:r>
            <m:t xml:space="preserve">=</m:t>
          </m:r>
          <m:f>
            <m:fPr>
              <m:type m:val="bar"/>
            </m:fPr>
            <m:num>
              <m:sSub>
                <m:e>
                  <m:r>
                    <m:t xml:space="preserve">U</m:t>
                  </m:r>
                </m:e>
                <m:sub>
                  <m:r>
                    <m:t xml:space="preserve">e</m:t>
                  </m:r>
                </m:sub>
              </m:sSub>
              <m:r>
                <m:t xml:space="preserve">x</m:t>
              </m:r>
            </m:num>
            <m:den>
              <m:sSub>
                <m:e>
                  <m:r>
                    <m:t xml:space="preserve">ν</m:t>
                  </m:r>
                </m:e>
                <m:sub>
                  <m:r>
                    <m:t xml:space="preserve">f</m:t>
                  </m:r>
                </m:sub>
              </m:sSub>
            </m:den>
          </m:f>
          <m:r>
            <m:t xml:space="preserve">=</m:t>
          </m:r>
          <m:f>
            <m:fPr>
              <m:type m:val="bar"/>
            </m:fPr>
            <m:num>
              <m:r>
                <m:t xml:space="preserve">a</m:t>
              </m:r>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     (30)</m:t>
          </m:r>
        </m:oMath>
      </m:oMathPara>
    </w:p>
    <w:p/>
    <w:p>
      <w:r>
        <w:t xml:space="preserve">The positive wall-normal coordinate is taken in the +y direction (from the lower plate at η = 0 to the upper plate at η = 1); hence the sign of f″(1) determines the reported sign of the upper-wall shear stress. The skin-friction coefficient is defined here with the single-sided dynamic pressure, C_f = τ_w/(ρ_f U_e²), from the Carreau wall shear stress τ_w = μ_hnf (∂u/∂y)[1 + (Γ ∂u/∂y)²]^{(n−1)/2} evaluated at the upper plate. With this convention (no factor of 1/2 in the reference pressure), the reduced form is</w:t>
      </w:r>
    </w:p>
    <w:p/>
    <w:p>
      <m:oMathPara>
        <m:oMathParaPr>
          <m:jc m:val="center"/>
        </m:oMathParaPr>
        <m:oMath>
          <m:r>
            <m:t xml:space="preserve">R</m:t>
          </m:r>
          <m:sSubSup>
            <m:e>
              <m:r>
                <m:t xml:space="preserve">e</m:t>
              </m:r>
            </m:e>
            <m:sub>
              <m:r>
                <m:t xml:space="preserve">x</m:t>
              </m:r>
            </m:sub>
            <m:sup>
              <m:r>
                <m:t xml:space="preserve">1</m:t>
              </m:r>
              <m:r>
                <m:t xml:space="preserve">/</m:t>
              </m:r>
              <m:r>
                <m:t xml:space="preserve">2</m:t>
              </m:r>
            </m:sup>
          </m:sSubSup>
          <m:sSub>
            <m:e>
              <m:r>
                <m:t xml:space="preserve">C</m:t>
              </m:r>
            </m:e>
            <m:sub>
              <m:r>
                <m:t xml:space="preserve">f</m:t>
              </m:r>
            </m:sub>
          </m:sSub>
          <m:r>
            <m:t xml:space="preserve">=</m:t>
          </m:r>
          <m:sSub>
            <m:e>
              <m:r>
                <m:t xml:space="preserve">α</m:t>
              </m:r>
            </m:e>
            <m:sub>
              <m:r>
                <m:t xml:space="preserve">μ</m:t>
              </m:r>
            </m:sub>
          </m:sSub>
          <m:sSup>
            <m:e>
              <m:r>
                <m:t xml:space="preserve">f</m:t>
              </m:r>
            </m:e>
            <m:sup>
              <m:r>
                <m:t xml:space="preserve">″</m:t>
              </m:r>
            </m:sup>
          </m:sSup>
          <m:r>
            <m:t xml:space="preserve">(</m:t>
          </m:r>
          <m:r>
            <m:t xml:space="preserve">1</m:t>
          </m:r>
          <m:r>
            <m:t xml:space="preserve">)</m:t>
          </m:r>
          <m:r>
            <m:t xml:space="preserve"/>
          </m:r>
          <m:r>
            <m:t xml:space="preserve">[</m:t>
          </m:r>
          <m:r>
            <m:t xml:space="preserve">1</m:t>
          </m:r>
          <m:r>
            <m:t xml:space="preserve">+</m:t>
          </m:r>
          <m:r>
            <m:t xml:space="preserve">W</m:t>
          </m:r>
          <m:sSup>
            <m:e>
              <m:r>
                <m:t xml:space="preserve">e</m:t>
              </m:r>
            </m:e>
            <m:sup>
              <m:r>
                <m:t xml:space="preserve">2</m:t>
              </m:r>
            </m:sup>
          </m:sSup>
          <m:sSup>
            <m:e>
              <m:r>
                <m:t xml:space="preserve">f</m:t>
              </m:r>
            </m:e>
            <m:sup>
              <m:r>
                <m:t xml:space="preserve">″</m:t>
              </m:r>
            </m:sup>
          </m:sSup>
          <m:r>
            <m:t xml:space="preserve">(</m:t>
          </m:r>
          <m:r>
            <m:t xml:space="preserve">1</m:t>
          </m:r>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(31)</m:t>
          </m:r>
        </m:oMath>
      </m:oMathPara>
    </w:p>
    <w:p/>
    <w:p>
      <w:r>
        <w:t xml:space="preserve">so that the property ratio α_μ and the Carreau exponent (n − 1)/2 appear exactly as in the constitutive law (6). Had the half-dynamic-pressure convention C_f = τ_w/(½ρ_f U_e²) been adopted, a leading factor of 2 would appear in Eq. (31); the reported C_f values follow the convention stated above. The reduced Nusselt and Sherwood numbers are</w:t>
      </w:r>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N</m:t>
          </m:r>
          <m:r>
            <m:t xml:space="preserve">u</m:t>
          </m:r>
          <m:r>
            <m:t xml:space="preserve">=</m:t>
          </m:r>
          <m:r>
            <m:t xml:space="preserve">-</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r>
            <m:t xml:space="preserve">F</m:t>
          </m:r>
          <m:r>
            <m:t xml:space="preserve">(</m:t>
          </m:r>
          <m:r>
            <m:t xml:space="preserve">1</m:t>
          </m:r>
          <m:sSup>
            <m:e>
              <m:r>
                <m:t xml:space="preserve">)</m:t>
              </m:r>
            </m:e>
            <m:sup>
              <m:r>
                <m:t xml:space="preserve">3</m:t>
              </m:r>
            </m:sup>
          </m:sSup>
          <m:r>
            <m:t xml:space="preserve"/>
          </m:r>
          <m:r>
            <m:t xml:space="preserve">]</m:t>
          </m:r>
          <m:sSup>
            <m:e>
              <m:r>
                <m:t xml:space="preserve">θ</m:t>
              </m:r>
            </m:e>
            <m:sup>
              <m:r>
                <m:t xml:space="preserve">′</m:t>
              </m:r>
            </m:sup>
          </m:sSup>
          <m:r>
            <m:t xml:space="preserve">(</m:t>
          </m:r>
          <m:r>
            <m:t xml:space="preserve">1</m:t>
          </m:r>
          <m:r>
            <m:t xml:space="preserve">)</m:t>
          </m:r>
          <m:r>
            <m:t xml:space="preserve">     (32)</m:t>
          </m:r>
        </m:oMath>
      </m:oMathPara>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S</m:t>
          </m:r>
          <m:r>
            <m:t xml:space="preserve">h</m:t>
          </m:r>
          <m:r>
            <m:t xml:space="preserve">=</m:t>
          </m:r>
          <m:r>
            <m:t xml:space="preserve">-</m:t>
          </m:r>
          <m:sSup>
            <m:e>
              <m:r>
                <m:t xml:space="preserve">φ</m:t>
              </m:r>
            </m:e>
            <m:sup>
              <m:r>
                <m:t xml:space="preserve">′</m:t>
              </m:r>
            </m:sup>
          </m:sSup>
          <m:r>
            <m:t xml:space="preserve">(</m:t>
          </m:r>
          <m:r>
            <m:t xml:space="preserve">1</m:t>
          </m:r>
          <m:r>
            <m:t xml:space="preserve">)</m:t>
          </m:r>
          <m:r>
            <m:t xml:space="preserve">     (33)</m:t>
          </m:r>
        </m:oMath>
      </m:oMathPara>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m:oMathPara>
        <m:oMathParaPr>
          <m:jc m:val="center"/>
        </m:oMathParaPr>
        <m:oMath>
          <m:sSub>
            <m:e>
              <m:sSup>
                <m:e>
                  <m:r>
                    <m:t xml:space="preserve">S</m:t>
                  </m:r>
                </m:e>
                <m:sup>
                  <m:r>
                    <m:t xml:space="preserve">‴</m:t>
                  </m:r>
                </m:sup>
              </m:sSup>
            </m:e>
            <m:sub>
              <m:r>
                <m:t xml:space="preserve">0</m:t>
              </m:r>
            </m:sub>
          </m:sSub>
          <m:r>
            <m:t xml:space="preserve">=</m:t>
          </m:r>
          <m:f>
            <m:fPr>
              <m:type m:val="bar"/>
            </m:fPr>
            <m:num>
              <m:sSub>
                <m:e>
                  <m:r>
                    <m:t xml:space="preserve">k</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sSup>
                <m:e>
                  <m:r>
                    <m:t xml:space="preserve">)</m:t>
                  </m:r>
                </m:e>
                <m:sup>
                  <m:r>
                    <m:t xml:space="preserve">2</m:t>
                  </m:r>
                </m:sup>
              </m:sSup>
            </m:num>
            <m:den>
              <m:sSubSup>
                <m:e>
                  <m:r>
                    <m:t xml:space="preserve">T</m:t>
                  </m:r>
                </m:e>
                <m:sub>
                  <m:r>
                    <m:t xml:space="preserve">0</m:t>
                  </m:r>
                </m:sub>
                <m:sup>
                  <m:r>
                    <m:t xml:space="preserve">2</m:t>
                  </m:r>
                </m:sup>
              </m:sSubSup>
              <m:sSup>
                <m:e>
                  <m:r>
                    <m:t xml:space="preserve">h</m:t>
                  </m:r>
                </m:e>
                <m:sup>
                  <m:r>
                    <m:t xml:space="preserve">2</m:t>
                  </m:r>
                </m:sup>
              </m:sSup>
            </m:den>
          </m:f>
          <m:r>
            <m:t xml:space="preserve">     (34)</m:t>
          </m:r>
        </m:oMath>
      </m:oMathPara>
    </w:p>
    <w:p/>
    <w:p>
      <w:r>
        <w:t xml:space="preserve">The local volumetric entropy-production rate retains the temperature-dependent denominators of the Gouy–Stodola / linear-irreversible-thermodynamics form,</w:t>
      </w:r>
    </w:p>
    <w:p/>
    <w:p>
      <m:oMathPara>
        <m:oMathParaPr>
          <m:jc m:val="center"/>
        </m:oMathParaPr>
        <m:oMath>
          <m:sSup>
            <m:e>
              <m:r>
                <m:t xml:space="preserve">S</m:t>
              </m:r>
            </m:e>
            <m:sup>
              <m:r>
                <m:t xml:space="preserve">‴</m:t>
              </m:r>
            </m:sup>
          </m:sSup>
          <m:r>
            <m:t xml:space="preserve">=</m:t>
          </m:r>
          <m:f>
            <m:fPr>
              <m:type m:val="bar"/>
            </m:fPr>
            <m:num>
              <m:sSub>
                <m:e>
                  <m:r>
                    <m:t xml:space="preserve">k</m:t>
                  </m:r>
                </m:e>
                <m:sub>
                  <m:r>
                    <m:t xml:space="preserve">e</m:t>
                  </m:r>
                  <m:r>
                    <m:t xml:space="preserve">f</m:t>
                  </m:r>
                  <m:r>
                    <m:t xml:space="preserve">f</m:t>
                  </m:r>
                </m:sub>
              </m:sSub>
            </m:num>
            <m:den>
              <m:sSup>
                <m:e>
                  <m:r>
                    <m:t xml:space="preserve">T</m:t>
                  </m:r>
                </m:e>
                <m:sup>
                  <m:r>
                    <m:t xml:space="preserve">2</m:t>
                  </m:r>
                </m:sup>
              </m:sSup>
            </m:den>
          </m:f>
          <m:r>
            <m:t xml:space="preserve"/>
          </m:r>
          <m:r>
            <m:t xml:space="preserve">(</m:t>
          </m:r>
          <m:f>
            <m:fPr>
              <m:type m:val="bar"/>
            </m:fPr>
            <m:num>
              <m:r>
                <m:t xml:space="preserve">∂</m:t>
              </m:r>
              <m:r>
                <m:t xml:space="preserve">T</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μ</m:t>
                  </m:r>
                </m:e>
                <m:sub>
                  <m:r>
                    <m:t xml:space="preserve">h</m:t>
                  </m:r>
                  <m:r>
                    <m:t xml:space="preserve">n</m:t>
                  </m:r>
                  <m:r>
                    <m:t xml:space="preserve">f</m:t>
                  </m:r>
                </m:sub>
              </m:sSub>
            </m:num>
            <m:den>
              <m:r>
                <m:t xml:space="preserve">T</m:t>
              </m:r>
            </m:den>
          </m:f>
          <m:r>
            <m:t xml:space="preserve"/>
          </m:r>
          <m:r>
            <m:t xml:space="preserve">(</m:t>
          </m:r>
          <m:f>
            <m:fPr>
              <m:type m:val="bar"/>
            </m:fPr>
            <m:num>
              <m:r>
                <m:t xml:space="preserve">∂</m:t>
              </m:r>
              <m:r>
                <m:t xml:space="preserve">u</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σ</m:t>
                  </m:r>
                </m:e>
                <m:sub>
                  <m:r>
                    <m:t xml:space="preserve">h</m:t>
                  </m:r>
                  <m:r>
                    <m:t xml:space="preserve">n</m:t>
                  </m:r>
                  <m:r>
                    <m:t xml:space="preserve">f</m:t>
                  </m:r>
                </m:sub>
              </m:sSub>
            </m:num>
            <m:den>
              <m:r>
                <m:t xml:space="preserve">T</m:t>
              </m:r>
            </m:den>
          </m:f>
          <m:sSup>
            <m:e>
              <m:r>
                <m:t xml:space="preserve">B</m:t>
              </m:r>
            </m:e>
            <m:sup>
              <m:r>
                <m:t xml:space="preserve">2</m:t>
              </m:r>
            </m:sup>
          </m:sSup>
          <m:r>
            <m:t xml:space="preserve">(</m:t>
          </m:r>
          <m:r>
            <m:t xml:space="preserve">u</m:t>
          </m:r>
          <m:r>
            <m:t xml:space="preserve">-</m:t>
          </m:r>
          <m:sSub>
            <m:e>
              <m:r>
                <m:t xml:space="preserve">u</m:t>
              </m:r>
            </m:e>
            <m:sub>
              <m:r>
                <m:t xml:space="preserve">E</m:t>
              </m:r>
            </m:sub>
          </m:sSub>
          <m:sSup>
            <m:e>
              <m:r>
                <m:t xml:space="preserve">)</m:t>
              </m:r>
            </m:e>
            <m:sup>
              <m:r>
                <m:t xml:space="preserve">2</m:t>
              </m:r>
            </m:sup>
          </m:sSup>
          <m:r>
            <m:t xml:space="preserve">+</m:t>
          </m:r>
          <m:f>
            <m:fPr>
              <m:type m:val="bar"/>
            </m:fPr>
            <m:num>
              <m:sSub>
                <m:e>
                  <m:r>
                    <m:t xml:space="preserve">R</m:t>
                  </m:r>
                </m:e>
                <m:sub>
                  <m:r>
                    <m:t xml:space="preserve">s</m:t>
                  </m:r>
                </m:sub>
              </m:sSub>
              <m:sSub>
                <m:e>
                  <m:r>
                    <m:t xml:space="preserve">ρ</m:t>
                  </m:r>
                </m:e>
                <m:sub>
                  <m:r>
                    <m:t xml:space="preserve">f</m:t>
                  </m:r>
                </m:sub>
              </m:sSub>
              <m:sSub>
                <m:e>
                  <m:r>
                    <m:t xml:space="preserve">D</m:t>
                  </m:r>
                </m:e>
                <m:sub>
                  <m:r>
                    <m:t xml:space="preserve">B</m:t>
                  </m:r>
                </m:sub>
              </m:sSub>
            </m:num>
            <m:den>
              <m:r>
                <m:t xml:space="preserve">C</m:t>
              </m:r>
            </m:den>
          </m:f>
          <m:r>
            <m:t xml:space="preserve"/>
          </m:r>
          <m:r>
            <m:t xml:space="preserve">(</m:t>
          </m:r>
          <m:f>
            <m:fPr>
              <m:type m:val="bar"/>
            </m:fPr>
            <m:num>
              <m:r>
                <m:t xml:space="preserve">∂</m:t>
              </m:r>
              <m:r>
                <m:t xml:space="preserve">C</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R</m:t>
                  </m:r>
                </m:e>
                <m:sub>
                  <m:r>
                    <m:t xml:space="preserve">s</m:t>
                  </m:r>
                </m:sub>
              </m:sSub>
              <m:sSub>
                <m:e>
                  <m:r>
                    <m:t xml:space="preserve">ρ</m:t>
                  </m:r>
                </m:e>
                <m:sub>
                  <m:r>
                    <m:t xml:space="preserve">f</m:t>
                  </m:r>
                </m:sub>
              </m:sSub>
              <m:sSub>
                <m:e>
                  <m:r>
                    <m:t xml:space="preserve">D</m:t>
                  </m:r>
                </m:e>
                <m:sub>
                  <m:r>
                    <m:t xml:space="preserve">B</m:t>
                  </m:r>
                </m:sub>
              </m:sSub>
            </m:num>
            <m:den>
              <m:r>
                <m:t xml:space="preserve">T</m:t>
              </m:r>
            </m:den>
          </m:f>
          <m:f>
            <m:fPr>
              <m:type m:val="bar"/>
            </m:fPr>
            <m:num>
              <m:r>
                <m:t xml:space="preserve">∂</m:t>
              </m:r>
              <m:r>
                <m:t xml:space="preserve">T</m:t>
              </m:r>
            </m:num>
            <m:den>
              <m:r>
                <m:t xml:space="preserve">∂</m:t>
              </m:r>
              <m:r>
                <m:t xml:space="preserve">y</m:t>
              </m:r>
            </m:den>
          </m:f>
          <m:f>
            <m:fPr>
              <m:type m:val="bar"/>
            </m:fPr>
            <m:num>
              <m:r>
                <m:t xml:space="preserve">∂</m:t>
              </m:r>
              <m:r>
                <m:t xml:space="preserve">C</m:t>
              </m:r>
            </m:num>
            <m:den>
              <m:r>
                <m:t xml:space="preserve">∂</m:t>
              </m:r>
              <m:r>
                <m:t xml:space="preserve">y</m:t>
              </m:r>
            </m:den>
          </m:f>
          <m:r>
            <m:t xml:space="preserve">     (35)</m:t>
          </m:r>
        </m:oMath>
      </m:oMathPara>
    </w:p>
    <w:p/>
    <w:p>
      <w:r>
        <w:t xml:space="preserve">in which k_eff = κ_hnf + 16σ*T³/(3k*) is the effective (conductive-plus-radiative) conductivity. Writing T = T₀F (Eq. 26) and C = C₀(1 + ζφ), and normalising by S‴₀ (Eq. 34), the dimensionless entropy-generation number N_s comprises four physically distinct contributions — heat-transfer, fluid-friction, Joule and diffusive/species irreversibilities — with the Soret–Dufour cross term included within the diffusive contribution N_DD:</w:t>
      </w:r>
    </w:p>
    <w:p/>
    <w:p>
      <m:oMathPara>
        <m:oMathParaPr>
          <m:jc m:val="center"/>
        </m:oMathParaPr>
        <m:oMath>
          <m:sSub>
            <m:e>
              <m:r>
                <m:t xml:space="preserve">N</m:t>
              </m:r>
            </m:e>
            <m:sub>
              <m:r>
                <m:t xml:space="preserve">s</m:t>
              </m:r>
            </m:sub>
          </m:sSub>
          <m:r>
            <m:t xml:space="preserve">=</m:t>
          </m:r>
          <m:limLow>
            <m:e>
              <m:groupChr>
                <m:groupChrPr>
                  <m:chr m:val="⏟"/>
                  <m:pos m:val="bot"/>
                  <m:vertJc m:val="top"/>
                </m:groupChrPr>
                <m:e>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sSup>
                        <m:e>
                          <m:r>
                            <m:t xml:space="preserve">F</m:t>
                          </m:r>
                        </m:e>
                        <m:sup>
                          <m:r>
                            <m:t xml:space="preserve">2</m:t>
                          </m:r>
                        </m:sup>
                      </m:sSup>
                    </m:den>
                  </m:f>
                  <m:r>
                    <m:t xml:space="preserve"> </m:t>
                  </m:r>
                  <m:sSup>
                    <m:e>
                      <m:sSup>
                        <m:e>
                          <m:r>
                            <m:t xml:space="preserve">θ</m:t>
                          </m:r>
                        </m:e>
                        <m:sup>
                          <m:r>
                            <m:t xml:space="preserve">′</m:t>
                          </m:r>
                        </m:sup>
                      </m:sSup>
                    </m:e>
                    <m:sup>
                      <m:r>
                        <m:t xml:space="preserve">2</m:t>
                      </m:r>
                    </m:sup>
                  </m:sSup>
                </m:e>
              </m:groupChr>
            </m:e>
            <m:lim>
              <m:sSub>
                <m:e>
                  <m:r>
                    <m:t xml:space="preserve">N</m:t>
                  </m:r>
                </m:e>
                <m:sub>
                  <m:r>
                    <m:t xml:space="preserve">H</m:t>
                  </m:r>
                  <m:r>
                    <m:t xml:space="preserve">T</m:t>
                  </m:r>
                </m:sub>
              </m:sSub>
            </m:lim>
          </m:limLow>
          <m:r>
            <m:t xml:space="preserve">+</m:t>
          </m:r>
          <m:limLow>
            <m:e>
              <m:groupChr>
                <m:groupChrPr>
                  <m:chr m:val="⏟"/>
                  <m:pos m:val="bot"/>
                  <m:vertJc m:val="top"/>
                </m:groupChrPr>
                <m:e>
                  <m:f>
                    <m:fPr>
                      <m:type m:val="bar"/>
                    </m:fPr>
                    <m:num>
                      <m:sSub>
                        <m:e>
                          <m:r>
                            <m:t xml:space="preserve">α</m:t>
                          </m:r>
                        </m:e>
                        <m:sub>
                          <m:r>
                            <m:t xml:space="preserve">μ</m:t>
                          </m:r>
                        </m:sub>
                      </m:sSub>
                      <m:r>
                        <m:t xml:space="preserve">B</m:t>
                      </m:r>
                      <m:r>
                        <m:t xml:space="preserve">r</m:t>
                      </m:r>
                    </m:num>
                    <m:den>
                      <m:r>
                        <m:t xml:space="preserve">Ω</m:t>
                      </m:r>
                      <m:r>
                        <m:t xml:space="preserve">F</m:t>
                      </m:r>
                    </m:den>
                  </m:f>
                  <m:sSup>
                    <m:e>
                      <m:sSup>
                        <m:e>
                          <m:r>
                            <m:t xml:space="preserve">f</m:t>
                          </m:r>
                        </m:e>
                        <m:sup>
                          <m:r>
                            <m:t xml:space="preserve">″</m:t>
                          </m:r>
                        </m:sup>
                      </m:sSup>
                    </m:e>
                    <m:sup>
                      <m:r>
                        <m:t xml:space="preserve">2</m:t>
                      </m:r>
                    </m:sup>
                  </m:sSup>
                </m:e>
              </m:groupChr>
            </m:e>
            <m:lim>
              <m:sSub>
                <m:e>
                  <m:r>
                    <m:t xml:space="preserve">N</m:t>
                  </m:r>
                </m:e>
                <m:sub>
                  <m:r>
                    <m:t xml:space="preserve">F</m:t>
                  </m:r>
                  <m:r>
                    <m:t xml:space="preserve">F</m:t>
                  </m:r>
                </m:sub>
              </m:sSub>
            </m:lim>
          </m:limLow>
          <m:r>
            <m:t xml:space="preserve">+</m:t>
          </m:r>
          <m:limLow>
            <m:e>
              <m:groupChr>
                <m:groupChrPr>
                  <m:chr m:val="⏟"/>
                  <m:pos m:val="bot"/>
                  <m:vertJc m:val="top"/>
                </m:groupChrPr>
                <m:e>
                  <m:f>
                    <m:fPr>
                      <m:type m:val="bar"/>
                    </m:fPr>
                    <m:num>
                      <m:sSub>
                        <m:e>
                          <m:r>
                            <m:t xml:space="preserve">α</m:t>
                          </m:r>
                        </m:e>
                        <m:sub>
                          <m:r>
                            <m:t xml:space="preserve">σ</m:t>
                          </m:r>
                        </m:sub>
                      </m:sSub>
                      <m:r>
                        <m:t xml:space="preserve">B</m:t>
                      </m:r>
                      <m:r>
                        <m:t xml:space="preserve">r</m:t>
                      </m:r>
                      <m:r>
                        <m:t xml:space="preserve"> </m:t>
                      </m:r>
                      <m:r>
                        <m:t xml:space="preserve">M</m:t>
                      </m:r>
                    </m:num>
                    <m:den>
                      <m:r>
                        <m:t xml:space="preserve">Ω</m:t>
                      </m:r>
                      <m:r>
                        <m:t xml:space="preserve">F</m:t>
                      </m:r>
                    </m:den>
                  </m:f>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e>
              </m:groupChr>
            </m:e>
            <m:lim>
              <m:sSub>
                <m:e>
                  <m:r>
                    <m:t xml:space="preserve">N</m:t>
                  </m:r>
                </m:e>
                <m:sub>
                  <m:r>
                    <m:t xml:space="preserve">J</m:t>
                  </m:r>
                </m:sub>
              </m:sSub>
            </m:lim>
          </m:limLow>
          <m:r>
            <m:t xml:space="preserve">+</m:t>
          </m:r>
          <m:limLow>
            <m:e>
              <m:groupChr>
                <m:groupChrPr>
                  <m:chr m:val="⏟"/>
                  <m:pos m:val="bot"/>
                  <m:vertJc m:val="top"/>
                </m:groupChrPr>
                <m:e>
                  <m:f>
                    <m:fPr>
                      <m:type m:val="bar"/>
                    </m:fPr>
                    <m:num>
                      <m:r>
                        <m:t xml:space="preserve">Λ</m:t>
                      </m:r>
                    </m:num>
                    <m:den>
                      <m:r>
                        <m:t xml:space="preserve">1</m:t>
                      </m:r>
                      <m:r>
                        <m:t xml:space="preserve">+</m:t>
                      </m:r>
                      <m:r>
                        <m:t xml:space="preserve">ζ</m:t>
                      </m:r>
                      <m:r>
                        <m:t xml:space="preserve">φ</m:t>
                      </m:r>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sSup>
                    <m:e>
                      <m:sSup>
                        <m:e>
                          <m:r>
                            <m:t xml:space="preserve">φ</m:t>
                          </m:r>
                        </m:e>
                        <m:sup>
                          <m:r>
                            <m:t xml:space="preserve">′</m:t>
                          </m:r>
                        </m:sup>
                      </m:sSup>
                    </m:e>
                    <m:sup>
                      <m:r>
                        <m:t xml:space="preserve">2</m:t>
                      </m:r>
                    </m:sup>
                  </m:sSup>
                  <m:r>
                    <m:t xml:space="preserve">+</m:t>
                  </m:r>
                  <m:f>
                    <m:fPr>
                      <m:type m:val="bar"/>
                    </m:fPr>
                    <m:num>
                      <m:r>
                        <m:t xml:space="preserve">Λ</m:t>
                      </m:r>
                    </m:num>
                    <m:den>
                      <m:r>
                        <m:t xml:space="preserve">F</m:t>
                      </m:r>
                    </m:den>
                  </m:f>
                  <m:f>
                    <m:fPr>
                      <m:type m:val="bar"/>
                    </m:fPr>
                    <m:num>
                      <m:r>
                        <m:t xml:space="preserve">ζ</m:t>
                      </m:r>
                    </m:num>
                    <m:den>
                      <m:r>
                        <m:t xml:space="preserve">Ω</m:t>
                      </m:r>
                    </m:den>
                  </m:f>
                  <m:sSup>
                    <m:e>
                      <m:r>
                        <m:t xml:space="preserve">θ</m:t>
                      </m:r>
                    </m:e>
                    <m:sup>
                      <m:r>
                        <m:t xml:space="preserve">′</m:t>
                      </m:r>
                    </m:sup>
                  </m:sSup>
                  <m:sSup>
                    <m:e>
                      <m:r>
                        <m:t xml:space="preserve">φ</m:t>
                      </m:r>
                    </m:e>
                    <m:sup>
                      <m:r>
                        <m:t xml:space="preserve">′</m:t>
                      </m:r>
                    </m:sup>
                  </m:sSup>
                </m:e>
              </m:groupChr>
            </m:e>
            <m:lim>
              <m:sSub>
                <m:e>
                  <m:r>
                    <m:t xml:space="preserve">N</m:t>
                  </m:r>
                </m:e>
                <m:sub>
                  <m:r>
                    <m:t xml:space="preserve">D</m:t>
                  </m:r>
                  <m:r>
                    <m:t xml:space="preserve">D</m:t>
                  </m:r>
                </m:sub>
              </m:sSub>
            </m:lim>
          </m:limLow>
          <m:r>
            <m:t xml:space="preserve">     (36)</m:t>
          </m:r>
        </m:oMath>
      </m:oMathPara>
    </w:p>
    <w:p/>
    <w:p>
      <w:r>
        <w:t xml:space="preserve">where F = T/T₀ = 1 + (θ_r − 1)θ (Eq. 26) and 1 + ζφ = C/C₀ carry the explicit temperature and concentration dependence of the entropy-production denominators.</w:t>
      </w:r>
    </w:p>
    <w:p/>
    <w:p>
      <w:r>
        <w:t xml:space="preserve">The dimensionless groups are defined as</w:t>
      </w:r>
    </w:p>
    <w:p/>
    <w:p>
      <m:oMathPara>
        <m:oMathParaPr>
          <m:jc m:val="center"/>
        </m:oMathParaPr>
        <m:oMath>
          <m:r>
            <m:t xml:space="preserve">B</m:t>
          </m:r>
          <m:r>
            <m:t xml:space="preserve">r</m:t>
          </m:r>
          <m:r>
            <m:t xml:space="preserve">=</m:t>
          </m:r>
          <m:f>
            <m:fPr>
              <m:type m:val="bar"/>
            </m:fPr>
            <m:num>
              <m:sSub>
                <m:e>
                  <m:r>
                    <m:t xml:space="preserve">μ</m:t>
                  </m:r>
                </m:e>
                <m:sub>
                  <m:r>
                    <m:t xml:space="preserve">f</m:t>
                  </m:r>
                </m:sub>
              </m:sSub>
              <m:sSubSup>
                <m:e>
                  <m:r>
                    <m:t xml:space="preserve">U</m:t>
                  </m:r>
                </m:e>
                <m:sub>
                  <m:r>
                    <m:t xml:space="preserve">e</m:t>
                  </m:r>
                </m:sub>
                <m:sup>
                  <m:r>
                    <m:t xml:space="preserve">2</m:t>
                  </m:r>
                </m:sup>
              </m:sSubSup>
            </m:num>
            <m:den>
              <m:sSub>
                <m:e>
                  <m:r>
                    <m:t xml:space="preserve">κ</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Ω</m:t>
          </m:r>
          <m:r>
            <m:t xml:space="preserve">=</m:t>
          </m:r>
          <m:f>
            <m:fPr>
              <m:type m:val="bar"/>
            </m:fPr>
            <m:num>
              <m:sSub>
                <m:e>
                  <m:r>
                    <m:t xml:space="preserve">T</m:t>
                  </m:r>
                </m:e>
                <m:sub>
                  <m:r>
                    <m:t xml:space="preserve">w</m:t>
                  </m:r>
                </m:sub>
              </m:sSub>
              <m:r>
                <m:t xml:space="preserve">-</m:t>
              </m:r>
              <m:sSub>
                <m:e>
                  <m:r>
                    <m:t xml:space="preserve">T</m:t>
                  </m:r>
                </m:e>
                <m:sub>
                  <m:r>
                    <m:t xml:space="preserve">0</m:t>
                  </m:r>
                </m:sub>
              </m:sSub>
            </m:num>
            <m:den>
              <m:sSub>
                <m:e>
                  <m:r>
                    <m:t xml:space="preserve">T</m:t>
                  </m:r>
                </m:e>
                <m:sub>
                  <m:r>
                    <m:t xml:space="preserve">0</m:t>
                  </m:r>
                </m:sub>
              </m:sSub>
            </m:den>
          </m:f>
          <m:r>
            <m:t xml:space="preserve">,</m:t>
          </m:r>
          <m:r>
            <m:t xml:space="preserve"> </m:t>
          </m:r>
          <m:r>
            <m:t xml:space="preserve">Λ</m:t>
          </m:r>
          <m:r>
            <m:t xml:space="preserve">=</m:t>
          </m:r>
          <m:f>
            <m:fPr>
              <m:type m:val="bar"/>
            </m:fPr>
            <m:num>
              <m:sSub>
                <m:e>
                  <m:r>
                    <m:t xml:space="preserve">R</m:t>
                  </m:r>
                </m:e>
                <m:sub>
                  <m:r>
                    <m:t xml:space="preserve">s</m:t>
                  </m:r>
                </m:sub>
              </m:sSub>
              <m:r>
                <m:t xml:space="preserve"> </m:t>
              </m:r>
              <m:sSub>
                <m:e>
                  <m:r>
                    <m:t xml:space="preserve">ρ</m:t>
                  </m:r>
                </m:e>
                <m:sub>
                  <m:r>
                    <m:t xml:space="preserve">f</m:t>
                  </m:r>
                </m:sub>
              </m:sSub>
              <m:sSub>
                <m:e>
                  <m:r>
                    <m:t xml:space="preserve">D</m:t>
                  </m:r>
                </m:e>
                <m:sub>
                  <m:r>
                    <m:t xml:space="preserve">B</m:t>
                  </m:r>
                </m:sub>
              </m:sSub>
              <m:r>
                <m:t xml:space="preserve"> </m:t>
              </m:r>
              <m:r>
                <m:t xml:space="preserve">(</m:t>
              </m:r>
              <m:sSub>
                <m:e>
                  <m:r>
                    <m:t xml:space="preserve">C</m:t>
                  </m:r>
                </m:e>
                <m:sub>
                  <m:r>
                    <m:t xml:space="preserve">w</m:t>
                  </m:r>
                </m:sub>
              </m:sSub>
              <m:r>
                <m:t xml:space="preserve">-</m:t>
              </m:r>
              <m:sSub>
                <m:e>
                  <m:r>
                    <m:t xml:space="preserve">C</m:t>
                  </m:r>
                </m:e>
                <m:sub>
                  <m:r>
                    <m:t xml:space="preserve">0</m:t>
                  </m:r>
                </m:sub>
              </m:sSub>
              <m:r>
                <m:t xml:space="preserve">)</m:t>
              </m:r>
            </m:num>
            <m:den>
              <m:sSub>
                <m:e>
                  <m:r>
                    <m:t xml:space="preserve">κ</m:t>
                  </m:r>
                </m:e>
                <m:sub>
                  <m:r>
                    <m:t xml:space="preserve">f</m:t>
                  </m:r>
                </m:sub>
              </m:sSub>
            </m:den>
          </m:f>
          <m:r>
            <m:t xml:space="preserve">,</m:t>
          </m:r>
          <m:r>
            <m:t xml:space="preserve"> </m:t>
          </m:r>
          <m:r>
            <m:t xml:space="preserve">ζ</m:t>
          </m:r>
          <m:r>
            <m:t xml:space="preserve">=</m:t>
          </m:r>
          <m:f>
            <m:fPr>
              <m:type m:val="bar"/>
            </m:fPr>
            <m:num>
              <m:sSub>
                <m:e>
                  <m:r>
                    <m:t xml:space="preserve">C</m:t>
                  </m:r>
                </m:e>
                <m:sub>
                  <m:r>
                    <m:t xml:space="preserve">w</m:t>
                  </m:r>
                </m:sub>
              </m:sSub>
              <m:r>
                <m:t xml:space="preserve">-</m:t>
              </m:r>
              <m:sSub>
                <m:e>
                  <m:r>
                    <m:t xml:space="preserve">C</m:t>
                  </m:r>
                </m:e>
                <m:sub>
                  <m:r>
                    <m:t xml:space="preserve">0</m:t>
                  </m:r>
                </m:sub>
              </m:sSub>
            </m:num>
            <m:den>
              <m:sSub>
                <m:e>
                  <m:r>
                    <m:t xml:space="preserve">C</m:t>
                  </m:r>
                </m:e>
                <m:sub>
                  <m:r>
                    <m:t xml:space="preserve">0</m:t>
                  </m:r>
                </m:sub>
              </m:sSub>
            </m:den>
          </m:f>
          <m:r>
            <m:t xml:space="preserve">     (37)</m:t>
          </m:r>
        </m:oMath>
      </m:oMathPara>
    </w:p>
    <w:p/>
    <w:p>
      <w:r>
        <w:t xml:space="preserve">where Br is the Brinkman number, Ω the dimensionless temperature difference, Λ the diffusive-irreversibility parameter, ζ the dimensionless concentration difference, and R_s is the specific (mass-basis) gas constant of the diffusing species (units J kg⁻¹ K⁻¹), consistent with the mass-fraction definition of C adopted throughout. The product R_s ρ_f D_B (C_w − C₀)/κ_f is dimensionless. The four labelled groups satisfy, by construction,</w:t>
      </w:r>
    </w:p>
    <w:p/>
    <w:p>
      <m:oMathPara>
        <m:oMathParaPr>
          <m:jc m:val="center"/>
        </m:oMathParaPr>
        <m:oMath>
          <m:sSub>
            <m:e>
              <m:r>
                <m:t xml:space="preserve">N</m:t>
              </m:r>
            </m:e>
            <m:sub>
              <m:r>
                <m:t xml:space="preserve">s</m:t>
              </m:r>
            </m:sub>
          </m:sSub>
          <m:r>
            <m:t xml:space="preserve">=</m:t>
          </m:r>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r>
            <m:t xml:space="preserve">     (38)</m:t>
          </m:r>
        </m:oMath>
      </m:oMathPara>
    </w:p>
    <w:p/>
    <w:p>
      <w:pPr>
        <w:pStyle w:val="Heading2"/>
      </w:pPr>
      <w:r>
        <w:t xml:space="preserve">3.1.1 Thermodynamic basis of the diffusive term</w:t>
      </w:r>
    </w:p>
    <w:p/>
    <w:p>
      <w:r>
        <w:t xml:space="preserve">The mass-diffusion entropy production follows from linear irreversible thermodynamics. For a dilute binary mixture, with the sign convention that the volumetric entropy-production rate σ_s is non-negative (second law), the local entropy production is σ_s = </w:t>
      </w:r>
      <w:r>
        <w:rPr>
          <w:b/>
        </w:rPr>
        <w:t xml:space="preserve">J</w:t>
      </w:r>
      <w:r>
        <w:t xml:space="preserve">_q · ∇(1/T) − (1/T) </w:t>
      </w:r>
      <w:r>
        <w:rPr>
          <w:b/>
        </w:rPr>
        <w:t xml:space="preserve">J</w:t>
      </w:r>
      <w:r>
        <w:t xml:space="preserve">_s · ∇μ_c ≥ 0, where </w:t>
      </w:r>
      <w:r>
        <w:rPr>
          <w:b/>
        </w:rPr>
        <w:t xml:space="preserve">J</w:t>
      </w:r>
      <w:r>
        <w:t xml:space="preserve">_q and </w:t>
      </w:r>
      <w:r>
        <w:rPr>
          <w:b/>
        </w:rPr>
        <w:t xml:space="preserve">J</w:t>
      </w:r>
      <w:r>
        <w:t xml:space="preserve">_s are the heat- and species-diffusion fluxes and μ_c is the chemical potential; the second term carries the explicit minus sign so that the dissipation associated with down-gradient species diffusion is positive. Expanding to first order about the reference state (T₀, C₀) with Fourier–Fick–Soret/Dufour closure yields a quadratic form in (∂T/∂y, ∂C/∂y). On the mass basis adopted here (C a mass fraction), we invoke the dilute-mixture approximation, for which the chemical potential of the diffusing species varies logarithmically with its mass fraction, μ_c ≈ μ_c⁰(T) + R_s T ln C; the leading-order gradient of μ_c/T with respect to C then yields the factor R_s/C, and expanding about C₀ with the base-fluid density ρ_f contributes a factor R_s ρ_f (the specific gas constant times the base-fluid density); the diagonal terms then give the conduction irreversibility and the pure diffusive term (R_s ρ_f D_B/C)(∂C/∂y)², while the symmetric Onsager cross-coupling gives the cross term (R_s ρ_f D_B/T)(∂T/∂y)(∂C/∂y) — both retaining the local temperature/concentration in the denominator. After non-dimensionalisation these map onto the two members of N_DD in Eq. (36), carrying the factors 1/(1 + ζφ) and 1/F respectively, with Λ as defined in Eq. (37). The grouping is valid for moderate Ω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m:oMathPara>
        <m:oMathParaPr>
          <m:jc m:val="center"/>
        </m:oMathParaPr>
        <m:oMath>
          <m:r>
            <m:t xml:space="preserve">B</m:t>
          </m:r>
          <m:r>
            <m:t xml:space="preserve">e</m:t>
          </m:r>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s</m:t>
                  </m:r>
                </m:sub>
              </m:sSub>
            </m:den>
          </m:f>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den>
          </m:f>
          <m:r>
            <m:t xml:space="preserve">     (39)</m:t>
          </m:r>
        </m:oMath>
      </m:oMathPara>
    </w:p>
    <w:p/>
    <w:p>
      <w:r>
        <w:t xml:space="preserve">The Soret–Dufour cross term is contained entirely within N_DD (fourth brace in Eq. 36) and is therefore assigned to the numerator together with the diagonal diffusive and conduction irreversibilities. Using the corrected, temperature/concentration-dependent coefficients of Eq. (36), the combined thermal-plus-diffusive numerator N_HT + N_DD is a quadratic form in the gradients (θ′, φ′):</w:t>
      </w:r>
    </w:p>
    <w:p/>
    <w:p>
      <m:oMathPara>
        <m:oMathParaPr>
          <m:jc m:val="center"/>
        </m:oMathParaPr>
        <m:oMath>
          <m:sSub>
            <m:e>
              <m:r>
                <m:t xml:space="preserve">N</m:t>
              </m:r>
            </m:e>
            <m:sub>
              <m:r>
                <m:t xml:space="preserve">H</m:t>
              </m:r>
              <m:r>
                <m:t xml:space="preserve">T</m:t>
              </m:r>
            </m:sub>
          </m:sSub>
          <m:r>
            <m:t xml:space="preserve">+</m:t>
          </m:r>
          <m:sSub>
            <m:e>
              <m:r>
                <m:t xml:space="preserve">N</m:t>
              </m:r>
            </m:e>
            <m:sub>
              <m:r>
                <m:t xml:space="preserve">D</m:t>
              </m:r>
              <m:r>
                <m:t xml:space="preserve">D</m:t>
              </m:r>
            </m:sub>
          </m:sSub>
          <m:r>
            <m:t xml:space="preserve">=</m:t>
          </m:r>
          <m:r>
            <m:t xml:space="preserve">A</m:t>
          </m:r>
          <m:r>
            <m:t xml:space="preserve"> </m:t>
          </m:r>
          <m:sSup>
            <m:e>
              <m:sSup>
                <m:e>
                  <m:r>
                    <m:t xml:space="preserve">θ</m:t>
                  </m:r>
                </m:e>
                <m:sup>
                  <m:r>
                    <m:t xml:space="preserve">′</m:t>
                  </m:r>
                </m:sup>
              </m:sSup>
            </m:e>
            <m:sup>
              <m:r>
                <m:t xml:space="preserve">2</m:t>
              </m:r>
            </m:sup>
          </m:sSup>
          <m:r>
            <m:t xml:space="preserve">+</m:t>
          </m:r>
          <m:r>
            <m:t xml:space="preserve">2</m:t>
          </m:r>
          <m:r>
            <m:t xml:space="preserve">B</m:t>
          </m:r>
          <m:r>
            <m:t xml:space="preserve"> </m:t>
          </m:r>
          <m:sSup>
            <m:e>
              <m:r>
                <m:t xml:space="preserve">θ</m:t>
              </m:r>
            </m:e>
            <m:sup>
              <m:r>
                <m:t xml:space="preserve">′</m:t>
              </m:r>
            </m:sup>
          </m:sSup>
          <m:sSup>
            <m:e>
              <m:r>
                <m:t xml:space="preserve">φ</m:t>
              </m:r>
            </m:e>
            <m:sup>
              <m:r>
                <m:t xml:space="preserve">′</m:t>
              </m:r>
            </m:sup>
          </m:sSup>
          <m:r>
            <m:t xml:space="preserve">+</m:t>
          </m:r>
          <m:r>
            <m:t xml:space="preserve">C</m:t>
          </m:r>
          <m:r>
            <m:t xml:space="preserve"> </m:t>
          </m:r>
          <m:sSup>
            <m:e>
              <m:sSup>
                <m:e>
                  <m:r>
                    <m:t xml:space="preserve">φ</m:t>
                  </m:r>
                </m:e>
                <m:sup>
                  <m:r>
                    <m:t xml:space="preserve">′</m:t>
                  </m:r>
                </m:sup>
              </m:sSup>
            </m:e>
            <m:sup>
              <m:r>
                <m:t xml:space="preserve">2</m:t>
              </m:r>
            </m:sup>
          </m:sSup>
          <m:r>
            <m:t xml:space="preserve">     (40)</m:t>
          </m:r>
        </m:oMath>
      </m:oMathPara>
    </w:p>
    <w:p/>
    <w:p>
      <w:r>
        <w:t xml:space="preserve">with the (η-dependent) coefficients</w:t>
      </w:r>
    </w:p>
    <w:p/>
    <w:p>
      <m:oMathPara>
        <m:oMathParaPr>
          <m:jc m:val="center"/>
        </m:oMathParaPr>
        <m:oMath>
          <m:r>
            <m:t xml:space="preserve">A</m:t>
          </m:r>
          <m:r>
            <m:t xml:space="preserve">=</m:t>
          </m:r>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sSup>
                <m:e>
                  <m:r>
                    <m:t xml:space="preserve">F</m:t>
                  </m:r>
                </m:e>
                <m:sup>
                  <m:r>
                    <m:t xml:space="preserve">2</m:t>
                  </m:r>
                </m:sup>
              </m:sSup>
            </m:den>
          </m:f>
          <m:r>
            <m:t xml:space="preserve">,</m:t>
          </m:r>
          <m:r>
            <m:t xml:space="preserve">  </m:t>
          </m:r>
          <m:r>
            <m:t xml:space="preserve">B</m:t>
          </m:r>
          <m:r>
            <m:t xml:space="preserve">=</m:t>
          </m:r>
          <m:f>
            <m:fPr>
              <m:type m:val="bar"/>
            </m:fPr>
            <m:num>
              <m:r>
                <m:t xml:space="preserve">Λ</m:t>
              </m:r>
            </m:num>
            <m:den>
              <m:r>
                <m:t xml:space="preserve">2</m:t>
              </m:r>
              <m:r>
                <m:t xml:space="preserve">F</m:t>
              </m:r>
            </m:den>
          </m:f>
          <m:f>
            <m:fPr>
              <m:type m:val="bar"/>
            </m:fPr>
            <m:num>
              <m:r>
                <m:t xml:space="preserve">ζ</m:t>
              </m:r>
            </m:num>
            <m:den>
              <m:r>
                <m:t xml:space="preserve">Ω</m:t>
              </m:r>
            </m:den>
          </m:f>
          <m:r>
            <m:t xml:space="preserve">,</m:t>
          </m:r>
          <m:r>
            <m:t xml:space="preserve">  </m:t>
          </m:r>
          <m:r>
            <m:t xml:space="preserve">C</m:t>
          </m:r>
          <m:r>
            <m:t xml:space="preserve">=</m:t>
          </m:r>
          <m:f>
            <m:fPr>
              <m:type m:val="bar"/>
            </m:fPr>
            <m:num>
              <m:r>
                <m:t xml:space="preserve">Λ</m:t>
              </m:r>
            </m:num>
            <m:den>
              <m:r>
                <m:t xml:space="preserve">1</m:t>
              </m:r>
              <m:r>
                <m:t xml:space="preserve">+</m:t>
              </m:r>
              <m:r>
                <m:t xml:space="preserve">ζ</m:t>
              </m:r>
              <m:r>
                <m:t xml:space="preserve">φ</m:t>
              </m:r>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(41)</m:t>
          </m:r>
        </m:oMath>
      </m:oMathPara>
    </w:p>
    <w:p/>
    <w:p>
      <w:r>
        <w:t xml:space="preserve">We adopt the heating/mass-addition configuration in which both driving differences are positive, T_w − T₀ &gt; 0 and ΔC = C_w − C₀ &gt; 0; consequently Ω &gt; 0 and ζ &gt; 0, Λ &gt; 0, and (since F = T/T₀ &gt; 0 and 1 + ζφ = C/C₀ &gt; 0) all three denominators are positive. A real symmetric quadratic form A θ′² + 2B θ′φ′ + C φ′² is positive semidefinite if and only if A ≥ 0, C ≥ 0 and AC − B² ≥ 0. Under the sign assumptions just stated, A ≥ 0 and C ≥ 0 hold automatically. Imposing the determinant condition and simplifying (multiplying through by F²Ω²/(Λζ²) &gt; 0),</w:t>
      </w:r>
    </w:p>
    <w:p/>
    <w:p>
      <m:oMathPara>
        <m:oMathParaPr>
          <m:jc m:val="center"/>
        </m:oMathParaPr>
        <m:oMath>
          <m:r>
            <m:t xml:space="preserve">A</m:t>
          </m:r>
          <m:r>
            <m:t xml:space="preserve">C</m:t>
          </m:r>
          <m:r>
            <m:t xml:space="preserve">-</m:t>
          </m:r>
          <m:sSup>
            <m:e>
              <m:r>
                <m:t xml:space="preserve">B</m:t>
              </m:r>
            </m:e>
            <m:sup>
              <m:r>
                <m:t xml:space="preserve">2</m:t>
              </m:r>
            </m:sup>
          </m:sSup>
          <m:r>
            <m:t xml:space="preserve">=</m:t>
          </m:r>
          <m:f>
            <m:fPr>
              <m:type m:val="bar"/>
            </m:fPr>
            <m:num>
              <m:r>
                <m:t xml:space="preserve">Λ</m:t>
              </m:r>
            </m:num>
            <m:den>
              <m:sSup>
                <m:e>
                  <m:r>
                    <m:t xml:space="preserve">F</m:t>
                  </m:r>
                </m:e>
                <m:sup>
                  <m:r>
                    <m:t xml:space="preserve">2</m:t>
                  </m:r>
                </m:sup>
              </m:sSup>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m:r>
          <m:r>
            <m:t xml:space="preserve">[</m:t>
          </m:r>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r>
                <m:t xml:space="preserve">1</m:t>
              </m:r>
              <m:r>
                <m:t xml:space="preserve">+</m:t>
              </m:r>
              <m:r>
                <m:t xml:space="preserve">ζ</m:t>
              </m:r>
              <m:r>
                <m:t xml:space="preserve">φ</m:t>
              </m:r>
            </m:den>
          </m:f>
          <m:r>
            <m:t xml:space="preserve">-</m:t>
          </m:r>
          <m:f>
            <m:fPr>
              <m:type m:val="bar"/>
            </m:fPr>
            <m:num>
              <m:r>
                <m:t xml:space="preserve">Λ</m:t>
              </m:r>
            </m:num>
            <m:den>
              <m:r>
                <m:t xml:space="preserve">4</m:t>
              </m:r>
            </m:den>
          </m:f>
          <m:r>
            <m:t xml:space="preserve"/>
          </m:r>
          <m:r>
            <m:t xml:space="preserve">]</m:t>
          </m:r>
          <m:r>
            <m:t xml:space="preserve">≥</m:t>
          </m:r>
          <m:r>
            <m:t xml:space="preserve">0</m:t>
          </m:r>
          <m:r>
            <m:t xml:space="preserve">,</m:t>
          </m:r>
          <m:r>
            <m:t xml:space="preserve">     (42)</m:t>
          </m:r>
        </m:oMath>
      </m:oMathPara>
    </w:p>
    <w:p/>
    <w:p>
      <w:r>
        <w:t xml:space="preserve">which reduces to the (pointwise) bound</w:t>
      </w:r>
    </w:p>
    <w:p/>
    <w:p>
      <m:oMathPara>
        <m:oMathParaPr>
          <m:jc m:val="center"/>
        </m:oMathParaPr>
        <m:oMath>
          <m:r>
            <m:t xml:space="preserve">Λ</m:t>
          </m:r>
          <m:r>
            <m:t xml:space="preserve">≤</m:t>
          </m:r>
          <m:f>
            <m:fPr>
              <m:type m:val="bar"/>
            </m:fPr>
            <m:num>
              <m:r>
                <m:t xml:space="preserve">4</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num>
            <m:den>
              <m:r>
                <m:t xml:space="preserve">1</m:t>
              </m:r>
              <m:r>
                <m:t xml:space="preserve">+</m:t>
              </m:r>
              <m:r>
                <m:t xml:space="preserve">ζ</m:t>
              </m:r>
              <m:r>
                <m:t xml:space="preserve">φ</m:t>
              </m:r>
            </m:den>
          </m:f>
          <m:r>
            <m:t xml:space="preserve">.</m:t>
          </m:r>
          <m:r>
            <m:t xml:space="preserve">     (43)</m:t>
          </m:r>
        </m:oMath>
      </m:oMathPara>
    </w:p>
    <w:p/>
    <w:p>
      <w:r>
        <w:t xml:space="preserve">Since F = F(η) and φ = φ(η), Eq. (43) is a spatially varying condition; it was evaluated pointwise over 0 ≤ η ≤ 1 for every reported parameter set and found to hold, so the complete diffusive quadratic form satisfies N_HT + N_DD ≥ 0. The friction and Joule contributions N_FF and N_J are individually non-negative because each is a positive coefficient (the F-dependent denominators being positive) times a squared gradient. Consequently, under the positive-semidefinite condition given by Eq. (43) together with the sign assumptions above, the whole denominator N_s is positive and the calculated Bejan number satisfies 0 ≤ Be ≤ 1 over the reported parameter range — note that it is the complete quadratic form N_HT + N_DD, and not the individual cross term (which may be negative locally), that is guaranteed non-negative.</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f′, f″, f‴, θ, θ′, φ, φ′]. Because the Dufour and Soret terms couple θ″ and φ″, the energy and species equations are solved simultaneously by inverting the local 2 × 2 coefficient system for (θ″, φ″) at each collocation node.</w:t>
      </w:r>
    </w:p>
    <w:p/>
    <w:p>
      <w:pPr>
        <w:pStyle w:val="Heading2"/>
      </w:pPr>
      <w:r>
        <w:t xml:space="preserve">4.1 Grid convergence</w:t>
      </w:r>
    </w:p>
    <w:p/>
    <w:p>
      <w:r>
        <w:t xml:space="preserve">The values of f″(1) change by less than 1 × 10⁻⁶ in relative terms as the mesh is refined from N = 100 through 200 to 400 collocation intervals (Table 1, reported to eight significant figures). The negligible change in f″(1) between successive mesh refinements indicates numerical mesh convergence to the reported precision. The monotone decrease of the relative change under refinement is consistent with — but not by itself a formal demonstration of — the fourth-order accuracy of the scheme; a rigorous order-of-accuracy study would require tracking additional significant digits across a wider range of N.</w:t>
      </w:r>
    </w:p>
    <w:p/>
    <w:p>
      <w:r>
        <w:rPr>
          <w:b/>
        </w:rPr>
        <w:t xml:space="preserve">Table 1. Grid convergence of f″(1).</w:t>
      </w:r>
    </w:p>
    <w:p/>
    <w:tbl>
      <w:tblPr>
        <w:tblStyle w:val="TableGrid"/>
        <w:tblW w:w="0" w:type="auto"/>
      </w:tblPr>
      <w:tblGrid>
        <w:gridCol w:w="3000"/>
        <w:gridCol w:w="3000"/>
        <w:gridCol w:w="3000"/>
      </w:tblGrid>
      <w:tr>
        <w:tc>
          <w:tcPr>
            <w:shd w:val="clear" w:color="auto" w:fill="D9E2F3"/>
          </w:tcPr>
          <w:p>
            <w:pPr>
              <w:spacing w:after="0"/>
            </w:pPr>
            <w:r>
              <w:rPr>
                <w:b/>
              </w:rPr>
              <w:t xml:space="preserve">N</w:t>
            </w:r>
          </w:p>
        </w:tc>
        <w:tc>
          <w:tcPr>
            <w:shd w:val="clear" w:color="auto" w:fill="D9E2F3"/>
          </w:tcPr>
          <w:p>
            <w:pPr>
              <w:spacing w:after="0"/>
            </w:pPr>
            <w:r>
              <w:rPr>
                <w:b/>
              </w:rPr>
              <w:t xml:space="preserve">f″(1)</w:t>
            </w:r>
          </w:p>
        </w:tc>
        <w:tc>
          <w:tcPr>
            <w:shd w:val="clear" w:color="auto" w:fill="D9E2F3"/>
          </w:tcPr>
          <w:p>
            <w:pPr>
              <w:spacing w:after="0"/>
            </w:pPr>
            <w:r>
              <w:rPr>
                <w:b/>
              </w:rPr>
              <w:t xml:space="preserve">Relative change, Δf″(1)/f″(1)</w:t>
            </w:r>
          </w:p>
        </w:tc>
      </w:tr>
      <w:tr>
        <w:tc>
          <w:tcPr/>
          <w:p>
            <w:pPr>
              <w:spacing w:after="0"/>
            </w:pPr>
            <w:r>
              <w:t xml:space="preserve">100</w:t>
            </w:r>
          </w:p>
        </w:tc>
        <w:tc>
          <w:tcPr/>
          <w:p>
            <w:pPr>
              <w:spacing w:after="0"/>
            </w:pPr>
            <w:r>
              <w:t xml:space="preserve">0.07587814</w:t>
            </w:r>
          </w:p>
        </w:tc>
        <w:tc>
          <w:tcPr/>
          <w:p>
            <w:pPr>
              <w:spacing w:after="0"/>
            </w:pPr>
            <w:r>
              <w:t xml:space="preserve">—</w:t>
            </w:r>
          </w:p>
        </w:tc>
      </w:tr>
      <w:tr>
        <w:tc>
          <w:tcPr/>
          <w:p>
            <w:pPr>
              <w:spacing w:after="0"/>
            </w:pPr>
            <w:r>
              <w:t xml:space="preserve">200</w:t>
            </w:r>
          </w:p>
        </w:tc>
        <w:tc>
          <w:tcPr/>
          <w:p>
            <w:pPr>
              <w:spacing w:after="0"/>
            </w:pPr>
            <w:r>
              <w:t xml:space="preserve">0.07587810</w:t>
            </w:r>
          </w:p>
        </w:tc>
        <w:tc>
          <w:tcPr/>
          <w:p>
            <w:pPr>
              <w:spacing w:after="0"/>
            </w:pPr>
            <w:r>
              <w:t xml:space="preserve">5.3 × 10⁻⁷</w:t>
            </w:r>
          </w:p>
        </w:tc>
      </w:tr>
      <w:tr>
        <w:tc>
          <w:tcPr/>
          <w:p>
            <w:pPr>
              <w:spacing w:after="0"/>
            </w:pPr>
            <w:r>
              <w:t xml:space="preserve">400</w:t>
            </w:r>
          </w:p>
        </w:tc>
        <w:tc>
          <w:tcPr/>
          <w:p>
            <w:pPr>
              <w:spacing w:after="0"/>
            </w:pPr>
            <w:r>
              <w:t xml:space="preserve">0.07587809</w:t>
            </w:r>
          </w:p>
        </w:tc>
        <w:tc>
          <w:tcPr/>
          <w:p>
            <w:pPr>
              <w:spacing w:after="0"/>
            </w:pPr>
            <w:r>
              <w:t xml:space="preserve">1.3 × 10⁻⁷</w:t>
            </w:r>
          </w:p>
        </w:tc>
      </w:tr>
    </w:tbl>
    <w:p/>
    <w:p>
      <w:r>
        <w:rPr>
          <w:b/>
        </w:rPr>
        <w:t xml:space="preserve">Table 2. Newtonian clear-fluid limit</w:t>
      </w:r>
      <w:r>
        <w:t xml:space="preserve"> (present numerical solution; Pr = 6.2, Bi = 0.5; radiation, dissipation, Joule, Soret and Dufour effects switched off so that the energy equation reduces to θ″ + Pr(fθ′ − f′θ − Sq θ − (Sq/2)ηθ′) = 0 with θ′(0) = −Bi[1 − θ(0)], θ(1) = 0).**</w:t>
      </w:r>
    </w:p>
    <w:p/>
    <w:tbl>
      <w:tblPr>
        <w:tblStyle w:val="TableGrid"/>
        <w:tblW w:w="0" w:type="auto"/>
      </w:tblPr>
      <w:tblGrid>
        <w:gridCol w:w="3000"/>
        <w:gridCol w:w="3000"/>
        <w:gridCol w:w="3000"/>
      </w:tblGrid>
      <w:tr>
        <w:tc>
          <w:tcPr>
            <w:shd w:val="clear" w:color="auto" w:fill="D9E2F3"/>
          </w:tcPr>
          <w:p>
            <w:pPr>
              <w:spacing w:after="0"/>
            </w:pPr>
            <w:r>
              <w:rPr>
                <w:b/>
              </w:rPr>
              <w:t xml:space="preserve">Sq</w:t>
            </w:r>
          </w:p>
        </w:tc>
        <w:tc>
          <w:tcPr>
            <w:shd w:val="clear" w:color="auto" w:fill="D9E2F3"/>
          </w:tcPr>
          <w:p>
            <w:pPr>
              <w:spacing w:after="0"/>
            </w:pPr>
            <w:r>
              <w:rPr>
                <w:b/>
              </w:rPr>
              <w:t xml:space="preserve">f″(1)</w:t>
            </w:r>
          </w:p>
        </w:tc>
        <w:tc>
          <w:tcPr>
            <w:shd w:val="clear" w:color="auto" w:fill="D9E2F3"/>
          </w:tcPr>
          <w:p>
            <w:pPr>
              <w:spacing w:after="0"/>
            </w:pPr>
            <w:r>
              <w:rPr>
                <w:b/>
              </w:rPr>
              <w:t xml:space="preserve">−θ′(1)</w:t>
            </w:r>
          </w:p>
        </w:tc>
      </w:tr>
      <w:tr>
        <w:tc>
          <w:tcPr/>
          <w:p>
            <w:pPr>
              <w:spacing w:after="0"/>
            </w:pPr>
            <w:r>
              <w:t xml:space="preserve">0.1</w:t>
            </w:r>
          </w:p>
        </w:tc>
        <w:tc>
          <w:tcPr/>
          <w:p>
            <w:pPr>
              <w:spacing w:after="0"/>
            </w:pPr>
            <w:r>
              <w:t xml:space="preserve">1.650489</w:t>
            </w:r>
          </w:p>
        </w:tc>
        <w:tc>
          <w:tcPr/>
          <w:p>
            <w:pPr>
              <w:spacing w:after="0"/>
            </w:pPr>
            <w:r>
              <w:t xml:space="preserve">0.716418</w:t>
            </w:r>
          </w:p>
        </w:tc>
      </w:tr>
      <w:tr>
        <w:tc>
          <w:tcPr/>
          <w:p>
            <w:pPr>
              <w:spacing w:after="0"/>
            </w:pPr>
            <w:r>
              <w:t xml:space="preserve">0.5</w:t>
            </w:r>
          </w:p>
        </w:tc>
        <w:tc>
          <w:tcPr/>
          <w:p>
            <w:pPr>
              <w:spacing w:after="0"/>
            </w:pPr>
            <w:r>
              <w:t xml:space="preserve">0.422159</w:t>
            </w:r>
          </w:p>
        </w:tc>
        <w:tc>
          <w:tcPr/>
          <w:p>
            <w:pPr>
              <w:spacing w:after="0"/>
            </w:pPr>
            <w:r>
              <w:t xml:space="preserve">0.352009</w:t>
            </w:r>
          </w:p>
        </w:tc>
      </w:tr>
      <w:tr>
        <w:tc>
          <w:tcPr/>
          <w:p>
            <w:pPr>
              <w:spacing w:after="0"/>
            </w:pPr>
            <w:r>
              <w:t xml:space="preserve">1.0</w:t>
            </w:r>
          </w:p>
        </w:tc>
        <w:tc>
          <w:tcPr/>
          <w:p>
            <w:pPr>
              <w:spacing w:after="0"/>
            </w:pPr>
            <w:r>
              <w:t xml:space="preserve">−1.152174</w:t>
            </w:r>
          </w:p>
        </w:tc>
        <w:tc>
          <w:tcPr/>
          <w:p>
            <w:pPr>
              <w:spacing w:after="0"/>
            </w:pPr>
            <w:r>
              <w:t xml:space="preserve">0.176000</w:t>
            </w:r>
          </w:p>
        </w:tc>
      </w:tr>
      <w:tr>
        <w:tc>
          <w:tcPr/>
          <w:p>
            <w:pPr>
              <w:spacing w:after="0"/>
            </w:pPr>
            <w:r>
              <w:t xml:space="preserve">1.5</w:t>
            </w:r>
          </w:p>
        </w:tc>
        <w:tc>
          <w:tcPr/>
          <w:p>
            <w:pPr>
              <w:spacing w:after="0"/>
            </w:pPr>
            <w:r>
              <w:t xml:space="preserve">−2.768838</w:t>
            </w:r>
          </w:p>
        </w:tc>
        <w:tc>
          <w:tcPr/>
          <w:p>
            <w:pPr>
              <w:spacing w:after="0"/>
            </w:pPr>
            <w:r>
              <w:t xml:space="preserve">0.098720</w:t>
            </w:r>
          </w:p>
        </w:tc>
      </w:tr>
    </w:tbl>
    <w:p/>
    <w:p/>
    <w:p>
      <w:pPr>
        <w:pStyle w:val="Heading1"/>
      </w:pPr>
      <w:r>
        <w:t xml:space="preserve">5. Validation</w:t>
      </w:r>
    </w:p>
    <w:p/>
    <w:p>
      <w:r>
        <w:t xml:space="preserve">Grid convergence (Table 1) confirms grid independence to the reported precision. For validation of the hydrodynamic solver, the Newtonian clear-fluid limit was obtained by setting the Carreau bracket to unity (n = 1), the nanoparticle fractions φ₁ = φ₂ = 0, and the EMHD, porous and Forchheimer groups to zero (M = Ee = 0, 1/Da = 0, Fr = 0, S₁ = 0). Under these assumptions the present governing equation (23) reduces exactly to the classical squeezing-film equation of Wang [44]</w:t>
      </w:r>
    </w:p>
    <w:p/>
    <w:p>
      <m:oMathPara>
        <m:oMathParaPr>
          <m:jc m:val="center"/>
        </m:oMathParaPr>
        <m:oMath>
          <m:sSup>
            <m:e>
              <m:r>
                <m:t xml:space="preserve">f</m:t>
              </m:r>
            </m:e>
            <m:sup>
              <m:r>
                <m:t xml:space="preserve">(</m:t>
              </m:r>
              <m:r>
                <m:t xml:space="preserve">4</m:t>
              </m:r>
              <m:r>
                <m:t xml:space="preserve">)</m:t>
              </m:r>
            </m:sup>
          </m:sSup>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r>
            <m:t xml:space="preserve">0</m:t>
          </m:r>
        </m:oMath>
      </m:oMathPara>
    </w:p>
    <w:p/>
    <w:p>
      <w:r>
        <w:t xml:space="preserve">with f(0) = 0, f′(0) = 1, f(1) = Sq/2, f′(1) = 0, where f^{(4)} denotes the fourth derivative. A quantitative comparison of the present f″(1) against the benchmark values of Wang [44] is given in Table 3; the agreement is better than 0.1% at the tested values of Sq, confirming correct implementation. (For the final submission the comparison should be extended to additional stations, e.g. Sq = 0.1 and Sq = 1.5, since two points constitute only a limited check for an eighth-order nonlinear coupled system.) Because the present model is Carreau-based rather than Casson-based, direct comparison with the Casson model of [23] is not appropriate; any comparison is therefore restricted to quantities evaluated under a common Newtonian limiting configuration.</w:t>
      </w:r>
    </w:p>
    <w:p/>
    <w:p>
      <w:r>
        <w:rPr>
          <w:b/>
        </w:rPr>
        <w:t xml:space="preserve">Table 3. Validation against the Wang [44] squeezing-film benchmark (Newtonian clear-fluid limit).</w:t>
      </w:r>
    </w:p>
    <w:p/>
    <w:tbl>
      <w:tblPr>
        <w:tblStyle w:val="TableGrid"/>
        <w:tblW w:w="0" w:type="auto"/>
      </w:tblPr>
      <w:tblGrid>
        <w:gridCol w:w="2250"/>
        <w:gridCol w:w="2250"/>
        <w:gridCol w:w="2250"/>
        <w:gridCol w:w="2250"/>
      </w:tblGrid>
      <w:tr>
        <w:tc>
          <w:tcPr>
            <w:shd w:val="clear" w:color="auto" w:fill="D9E2F3"/>
          </w:tcPr>
          <w:p>
            <w:pPr>
              <w:spacing w:after="0"/>
            </w:pPr>
            <w:r>
              <w:rPr>
                <w:b/>
              </w:rPr>
              <w:t xml:space="preserve">Sq</w:t>
            </w:r>
          </w:p>
        </w:tc>
        <w:tc>
          <w:tcPr>
            <w:shd w:val="clear" w:color="auto" w:fill="D9E2F3"/>
          </w:tcPr>
          <w:p>
            <w:pPr>
              <w:spacing w:after="0"/>
            </w:pPr>
            <w:r>
              <w:rPr>
                <w:b/>
              </w:rPr>
              <w:t xml:space="preserve">Present f″(1)</w:t>
            </w:r>
          </w:p>
        </w:tc>
        <w:tc>
          <w:tcPr>
            <w:shd w:val="clear" w:color="auto" w:fill="D9E2F3"/>
          </w:tcPr>
          <w:p>
            <w:pPr>
              <w:spacing w:after="0"/>
            </w:pPr>
            <w:r>
              <w:rPr>
                <w:b/>
              </w:rPr>
              <w:t xml:space="preserve">Benchmark f″(1)</w:t>
            </w:r>
          </w:p>
        </w:tc>
        <w:tc>
          <w:tcPr>
            <w:shd w:val="clear" w:color="auto" w:fill="D9E2F3"/>
          </w:tcPr>
          <w:p>
            <w:pPr>
              <w:spacing w:after="0"/>
            </w:pPr>
            <w:r>
              <w:rPr>
                <w:b/>
              </w:rPr>
              <w:t xml:space="preserve">Relative error (%)</w:t>
            </w:r>
          </w:p>
        </w:tc>
      </w:tr>
      <w:tr>
        <w:tc>
          <w:tcPr/>
          <w:p>
            <w:pPr>
              <w:spacing w:after="0"/>
            </w:pPr>
            <w:r>
              <w:t xml:space="preserve">0.5</w:t>
            </w:r>
          </w:p>
        </w:tc>
        <w:tc>
          <w:tcPr/>
          <w:p>
            <w:pPr>
              <w:spacing w:after="0"/>
            </w:pPr>
            <w:r>
              <w:t xml:space="preserve">0.4221590</w:t>
            </w:r>
          </w:p>
        </w:tc>
        <w:tc>
          <w:tcPr/>
          <w:p>
            <w:pPr>
              <w:spacing w:after="0"/>
            </w:pPr>
            <w:r>
              <w:t xml:space="preserve">0.4219680</w:t>
            </w:r>
          </w:p>
        </w:tc>
        <w:tc>
          <w:tcPr/>
          <w:p>
            <w:pPr>
              <w:spacing w:after="0"/>
            </w:pPr>
            <w:r>
              <w:t xml:space="preserve">0.045</w:t>
            </w:r>
          </w:p>
        </w:tc>
      </w:tr>
      <w:tr>
        <w:tc>
          <w:tcPr/>
          <w:p>
            <w:pPr>
              <w:spacing w:after="0"/>
            </w:pPr>
            <w:r>
              <w:t xml:space="preserve">1.0</w:t>
            </w:r>
          </w:p>
        </w:tc>
        <w:tc>
          <w:tcPr/>
          <w:p>
            <w:pPr>
              <w:spacing w:after="0"/>
            </w:pPr>
            <w:r>
              <w:t xml:space="preserve">−1.1521740</w:t>
            </w:r>
          </w:p>
        </w:tc>
        <w:tc>
          <w:tcPr/>
          <w:p>
            <w:pPr>
              <w:spacing w:after="0"/>
            </w:pPr>
            <w:r>
              <w:t xml:space="preserve">−1.1530300</w:t>
            </w:r>
          </w:p>
        </w:tc>
        <w:tc>
          <w:tcPr/>
          <w:p>
            <w:pPr>
              <w:spacing w:after="0"/>
            </w:pPr>
            <w:r>
              <w:t xml:space="preserve">0.074</w:t>
            </w:r>
          </w:p>
        </w:tc>
      </w:tr>
    </w:tbl>
    <w:p/>
    <w:p/>
    <w:p>
      <w:pPr>
        <w:pStyle w:val="Heading1"/>
      </w:pPr>
      <w:r>
        <w:t xml:space="preserve">6. Results and Discussion</w:t>
      </w:r>
    </w:p>
    <w:p/>
    <w:p>
      <w:r>
        <w:t xml:space="preserve">For discussion purposes, we refer to the region approximately 0.3 ≤ η ≤ 0.7 as the channel interior or core, as distinct from the near-wall layers where gradients are steepest; this is a descriptive plotting range and is not used in any quantitative averaging.</w:t>
      </w:r>
    </w:p>
    <w:p/>
    <w:p>
      <w:pPr>
        <w:pStyle w:val="Heading2"/>
      </w:pPr>
      <w:r>
        <w:t xml:space="preserve">6.1 Velocity field</w:t>
      </w:r>
    </w:p>
    <w:p/>
    <w:p>
      <w:r>
        <w:t xml:space="preserve">[Figure placeholder: figures_emhd/Figure_1_Schematic.png]</w:t>
      </w:r>
    </w:p>
    <w:p/>
    <w:p>
      <w:r>
        <w:rPr>
          <w:b/>
        </w:rPr>
        <w:t xml:space="preserve">Figure 1.</w:t>
      </w:r>
      <w:r>
        <w:t xml:space="preserve"> Schematic of the unsteady squeezing flow of the AA7072–AA7075/methanol Carreau hybrid nanofluid between parallel plates filled with a Darcy–Forchheimer porous medium, under aligned electric and transverse magnetic fields. The schematic indicates the coordinate axes (x streamwise, y wall-normal), the velocity components (u, v), the lower-plate stretching velocity U_e, the time-dependent gap h(t), the transverse magnetic field B(t) = B(t)</w:t>
      </w:r>
      <w:r>
        <w:rPr>
          <w:b/>
        </w:rPr>
        <w:t xml:space="preserve">e</w:t>
      </w:r>
      <w:r>
        <w:t xml:space="preserve">_z, the in-plane electric field E(t) = E(t)</w:t>
      </w:r>
      <w:r>
        <w:rPr>
          <w:b/>
        </w:rPr>
        <w:t xml:space="preserve">e</w:t>
      </w:r>
      <w:r>
        <w:t xml:space="preserve">_y, the porous medium, and the wall/ambient thermal and solutal states (T_w, C_w at the lower plate; T₀, C₀ at the upper plate).</w:t>
      </w:r>
    </w:p>
    <w:p/>
    <w:p>
      <w:r>
        <w:t xml:space="preserve">Figure 1 shows the physical configuration. The lower plate stretches with nominal velocity U_e = ax/(1 − γt); because a velocity-slip condition f′(0) = 1 + S₁ f″(0) is imposed, the fluid velocity at the lower wall differs from this nominal stretching velocity by the slip increment S₁ f″(0). The normal velocity associated with the changing plate separation is v_h = dh/dt (Eq. 2). The gap is filled with a Carreau hybrid nanofluid saturating a Darcy–Forchheimer porous medium.</w:t>
      </w:r>
    </w:p>
    <w:p/>
    <w:p>
      <w:r>
        <w:t xml:space="preserve">[Figure placeholder: figures_emhd/Figure_2_Velocity_Sq.png]</w:t>
      </w:r>
    </w:p>
    <w:p/>
    <w:p>
      <w:r>
        <w:rPr>
          <w:b/>
        </w:rPr>
        <w:t xml:space="preserve">Figure 2.</w:t>
      </w:r>
      <w:r>
        <w:t xml:space="preserve"> Effect of the squeezing parameter Sq on the velocity profile f′(η).</w:t>
      </w:r>
    </w:p>
    <w:p/>
    <w:p>
      <w:r>
        <w:t xml:space="preserve">Figure 2 shows the axial velocity f′(η) for Sq = 0.2, 0.4, 0.6, 0.8. As the squeezing parameter increases, the slip-modified near-wall velocity f′(0) = 1 + S₁ f″(0) changes while the core flow is redistributed; the curves exhibit a characteristic crossover. All curves satisfy the no-slip condition f′(1) = 0 at the upper plate and the velocity-slip condition at the lower plate. Inspection of the computed profiles shows that the crossover (the η at which the profiles intersect) shifts toward the lower plate as Sq increases. This behaviour reflects the redistribution of the axial velocity induced by the changing channel gap and the associated squeezing motion, and is consistent with the classical Stefan–Grimm viscous-film analysis [18, 19].</w:t>
      </w:r>
    </w:p>
    <w:p/>
    <w:p>
      <w:r>
        <w:t xml:space="preserve">[Figure placeholder: figures_emhd/Figure_3_Velocity_We_M.png]</w:t>
      </w:r>
    </w:p>
    <w:p/>
    <w:p>
      <w:r>
        <w:rPr>
          <w:b/>
        </w:rPr>
        <w:t xml:space="preserve">Figure 3.</w:t>
      </w:r>
      <w:r>
        <w:t xml:space="preserve"> Effect of the Weissenberg number We and magnetic parameter M on f′(η).</w:t>
      </w:r>
    </w:p>
    <w:p/>
    <w:p>
      <w:r>
        <w:t xml:space="preserve">Figure 3 illustrates the combined influence of We and M. For the shear-thickening index n = 1.5 the effect of We on the axial velocity is governed by two competing mechanisms. Increasing We raises the apparent viscosity at high shear rate, which near the walls increases the local resistance to deformation; however, by mass conservation (fixed f(1) = Sq/2) the redistributed flux can raise f′ in part of the channel. The computed profiles were examined directly to resolve this competition rather than attributing the trend to effective viscosity alone: over the plotted range the net effect of increasing We is a modest thickening of the momentum layer and a local rise in f′ in the near-core region, while the upper-wall shear changes from negative at We = 0.5 (Re^{1/2}C_f = −0.0380) to positive at We = 2.0 (Re^{1/2}C_f = 0.2693), i.e. a substantially larger reduced skin-friction value (Table 4). This behaviour is therefore the outcome of competing wall-resistance and flux-redistribution effects, not a monotone consequence of higher viscosity. Stronger M retards the flow through the Lorentz force (via the f′ − Ee grouping), lowering the velocity profile; the M = 2 curve shows appreciably reduced flow relative to the M = 1 baseline. These trends are consistent with Wahab et al. [14] and Mkhatshwa and Khumalo [15].</w:t>
      </w:r>
    </w:p>
    <w:p/>
    <w:p>
      <w:pPr>
        <w:pStyle w:val="Heading2"/>
      </w:pPr>
      <w:r>
        <w:t xml:space="preserve">6.2 Temperature field</w:t>
      </w:r>
    </w:p>
    <w:p/>
    <w:p>
      <w:r>
        <w:t xml:space="preserve">[Figure placeholder: figures_emhd/Figure_4_Temperature_Rd_Ec.png]</w:t>
      </w:r>
    </w:p>
    <w:p/>
    <w:p>
      <w:r>
        <w:rPr>
          <w:b/>
        </w:rPr>
        <w:t xml:space="preserve">Figure 4.</w:t>
      </w:r>
      <w:r>
        <w:t xml:space="preserve"> Effect of Rd and Ec on the temperature profile θ(η).</w:t>
      </w:r>
    </w:p>
    <w:p/>
    <w:p>
      <w:r>
        <w:t xml:space="preserve">Figure 4 shows the temperature profiles. Higher Ec raises θ through viscous dissipation and Joule heating. With the radiation grouping [α_κ + (4/3)Rd F³]θ″, increasing Rd enhances the effective radiative heat-transfer contribution — Rd is a dimensionless radiation parameter, not the material thermal conductivity itself — thereby increasing the effective thermal diffusion and reducing the temperature gradients, which flattens and moderates the dissipation-driven peak. Consistent with Table 4, the reduced Nusselt number increases by approximately 73.7%, from 1.3509 at Rd = 0.2 to 2.3466 at Rd = 1.0.</w:t>
      </w:r>
    </w:p>
    <w:p/>
    <w:p>
      <w:pPr>
        <w:pStyle w:val="Heading2"/>
      </w:pPr>
      <w:r>
        <w:t xml:space="preserve">6.3 Concentration field</w:t>
      </w:r>
    </w:p>
    <w:p/>
    <w:p>
      <w:r>
        <w:t xml:space="preserve">The concentration φ(η) decreases monotonically from the lower to the upper plate. Larger Sc thins the solutal layer; K &gt; 0 depletes species through the first-order reaction. The Soret term couples the temperature gradient to species transport, whereas the Dufour term couples the concentration gradient to the energy equation, producing two-way cross-diffusion between the temperature and concentration fields [26–28].</w:t>
      </w:r>
    </w:p>
    <w:p/>
    <w:p>
      <w:pPr>
        <w:pStyle w:val="Heading2"/>
      </w:pPr>
      <w:r>
        <w:t xml:space="preserve">6.4 Entropy generation</w:t>
      </w:r>
    </w:p>
    <w:p/>
    <w:p>
      <w:r>
        <w:t xml:space="preserve">&gt; </w:t>
      </w:r>
      <w:r>
        <w:rPr>
          <w:b/>
        </w:rPr>
        <w:t xml:space="preserve">Note (pending recomputation).</w:t>
      </w:r>
      <w:r>
        <w:t xml:space="preserve"> The entropy-generation number has been reformulated in Eq. (36) to retain the temperature- and concentration-dependent denominators (1/F², 1/F and 1/(1 + ζφ)) that were previously omitted. The quantitative entropy results in this subsection, in Figures 5–6, and in Tables 5–6 (N_s(0), Be(0), N_s,avg) were obtained with the earlier formulation and must be regenerated from the corrected Eq. (36) before submission. The qualitative trends described below (wall-peaked N_s, the Br and M dependences, and the near-wall-to-core Bejan transition) are expected to persist, but the specific numerical values are provisional.</w:t>
      </w:r>
    </w:p>
    <w:p/>
    <w:p>
      <w:r>
        <w:t xml:space="preserve">[Figure placeholder: figures_emhd/Figure_5_Entropy_Br_M.png]</w:t>
      </w:r>
    </w:p>
    <w:p/>
    <w:p>
      <w:r>
        <w:rPr>
          <w:b/>
        </w:rPr>
        <w:t xml:space="preserve">Figure 5.</w:t>
      </w:r>
      <w:r>
        <w:t xml:space="preserve"> Entropy generation number N_s(η) versus Br and M (to be regenerated from Eq. 36).</w:t>
      </w:r>
    </w:p>
    <w:p/>
    <w:p>
      <w:r>
        <w:t xml:space="preserve">Figure 5 shows the entropy-generation profiles. N_s(η) peaks near the walls, where the velocity and temperature gradients are largest, and falls toward the core — the near-wall-dominated distribution characteristic of wall-bounded irreversibility [34, 35]. Under the present scaling, increasing Br increases the relative contribution of the viscous and electromagnetic dissipation to N_s, and increasing M raises the Joule contribution; the provisional magnitudes are listed in Table 5 and will be updated with the corrected entropy model.</w:t>
      </w:r>
    </w:p>
    <w:p/>
    <w:p>
      <w:pPr>
        <w:pStyle w:val="Heading2"/>
      </w:pPr>
      <w:r>
        <w:t xml:space="preserve">6.5 Bejan number</w:t>
      </w:r>
    </w:p>
    <w:p/>
    <w:p>
      <w:r>
        <w:t xml:space="preserve">[Figure placeholder: figures_emhd/Figure_6_Bejan_Rd_Br.png]</w:t>
      </w:r>
    </w:p>
    <w:p/>
    <w:p>
      <w:r>
        <w:rPr>
          <w:b/>
        </w:rPr>
        <w:t xml:space="preserve">Figure 6.</w:t>
      </w:r>
      <w:r>
        <w:t xml:space="preserve"> Bejan number Be(η) versus Rd and Br (to be regenerated from Eq. 36).</w:t>
      </w:r>
    </w:p>
    <w:p/>
    <w:p>
      <w:r>
        <w:t xml:space="preserve">Figure 6 shows the Bejan number, which is bounded in [0, 1] at every η over the full parameter range (Section 3.2): the combined thermal and diffusive contribution (N_HT + N_DD) dominates near the walls (high Be), while friction and Joule irreversibilities dominate in the core (low Be). Larger Rd raises Be (greater thermal share); larger Br lowers it (greater friction share). The provisional wall values are listed in Table 5. The spatial transition is consistent with Yadav and Kumar [42] and Ali et al. [41].</w:t>
      </w:r>
    </w:p>
    <w:p/>
    <w:p>
      <w:pPr>
        <w:pStyle w:val="Heading2"/>
      </w:pPr>
      <w:r>
        <w:t xml:space="preserve">6.6 Engineering quantities</w:t>
      </w:r>
    </w:p>
    <w:p/>
    <w:p>
      <w:r>
        <w:t xml:space="preserve">[Figure placeholder: figures_emhd/Figure_7_Engineering_phi.png]</w:t>
      </w:r>
    </w:p>
    <w:p/>
    <w:p>
      <w:r>
        <w:rPr>
          <w:b/>
        </w:rPr>
        <w:t xml:space="preserve">Figure 7.</w:t>
      </w:r>
      <w:r>
        <w:t xml:space="preserve"> Variation of reduced skin-friction, Nusselt and Sherwood numbers with total nanoparticle volume fraction φ = φ₁ + φ₂, using the equal-split condition φ₁ = φ₂ = φ/2.</w:t>
      </w:r>
    </w:p>
    <w:p/>
    <w:p>
      <w:r>
        <w:t xml:space="preserve">Figure 7 shows the engineering quantities versus hybrid loading, plotted against the total nanoparticle volume fraction φ = φ₁ + φ₂ with the equal-split convention φ₁ = φ₂ = φ/2 (so the total loading ranges from φ = 0 to φ = 0.10; see Table 6). The Nusselt number rises monotonically from 1.4267 at φ = 0 to 2.0149 at φ = 0.10, corresponding to approximately a 41.2% increase. This enhancement trend is qualitatively consistent with that reported for the AA7072–AA7075/methanol system by Tlili et al. [8]; the present values are model predictions for the configuration studied here and are not claimed to be experimentally validated by [8]. The reduced skin friction varies modestly, and the Sherwood number varies only slightly — a decrease of about 2.3% across the full loading range (from 0.6371 to 0.6225 in Table 6). The identical C_f = 0.0885 across the Rd, Df, Sr and K rows of Table 4 is physical: these parameters enter only the energy and species equations and do not feed back into the momentum equation in the present one-way-coupled model.</w:t>
      </w:r>
    </w:p>
    <w:p/>
    <w:p>
      <w:pPr>
        <w:pStyle w:val="Heading2"/>
      </w:pPr>
      <w:r>
        <w:t xml:space="preserve">6.7 Tabulated results</w:t>
      </w:r>
    </w:p>
    <w:p/>
    <w:p>
      <w:r>
        <w:rPr>
          <w:b/>
        </w:rPr>
        <w:t xml:space="preserve">Table 4. Reduced skin friction, Nusselt and Sherwood numbers.</w:t>
      </w:r>
      <w:r>
        <w:t xml:space="preserve"> Negative Re^(1/2) C_f values indicate that the local wall shear stress at the upper plate acts opposite to the chosen positive reference direction; this occurs at strong squeezing (Sq = 0.8) and at We = 0.5 for the stated parameter set and is a genuine feature of the squeezing kinematics, not a numerical artefact.</w:t>
      </w:r>
    </w:p>
    <w:p/>
    <w:tbl>
      <w:tblPr>
        <w:tblStyle w:val="TableGrid"/>
        <w:tblW w:w="0" w:type="auto"/>
      </w:tblPr>
      <w:tblGrid>
        <w:gridCol w:w="1800"/>
        <w:gridCol w:w="1800"/>
        <w:gridCol w:w="1800"/>
        <w:gridCol w:w="1800"/>
        <w:gridCol w:w="1800"/>
      </w:tblGrid>
      <w:tr>
        <w:tc>
          <w:tcPr>
            <w:shd w:val="clear" w:color="auto" w:fill="D9E2F3"/>
          </w:tcPr>
          <w:p>
            <w:pPr>
              <w:spacing w:after="0"/>
            </w:pPr>
            <w:r>
              <w:rPr>
                <w:b/>
              </w:rPr>
              <w:t xml:space="preserve">Parameter</w:t>
            </w:r>
          </w:p>
        </w:tc>
        <w:tc>
          <w:tcPr>
            <w:shd w:val="clear" w:color="auto" w:fill="D9E2F3"/>
          </w:tcPr>
          <w:p>
            <w:pPr>
              <w:spacing w:after="0"/>
            </w:pPr>
            <w:r>
              <w:rPr>
                <w:b/>
              </w:rPr>
              <w:t xml:space="preserve">Value</w:t>
            </w:r>
          </w:p>
        </w:tc>
        <w:tc>
          <w:tcPr>
            <w:shd w:val="clear" w:color="auto" w:fill="D9E2F3"/>
          </w:tcPr>
          <w:p>
            <w:pPr>
              <w:spacing w:after="0"/>
            </w:pPr>
            <w:r>
              <w:rPr>
                <w:b/>
              </w:rPr>
              <w:t xml:space="preserve">Re^(1/2) C_f</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r>
      <w:tr>
        <w:tc>
          <w:tcPr/>
          <w:p>
            <w:pPr>
              <w:spacing w:after="0"/>
            </w:pPr>
            <w:r>
              <w:t xml:space="preserve">Sq</w:t>
            </w:r>
          </w:p>
        </w:tc>
        <w:tc>
          <w:tcPr/>
          <w:p>
            <w:pPr>
              <w:spacing w:after="0"/>
            </w:pPr>
            <w:r>
              <w:t xml:space="preserve">0.2</w:t>
            </w:r>
          </w:p>
        </w:tc>
        <w:tc>
          <w:tcPr/>
          <w:p>
            <w:pPr>
              <w:spacing w:after="0"/>
            </w:pPr>
            <w:r>
              <w:t xml:space="preserve">1.3306</w:t>
            </w:r>
          </w:p>
        </w:tc>
        <w:tc>
          <w:tcPr/>
          <w:p>
            <w:pPr>
              <w:spacing w:after="0"/>
            </w:pPr>
            <w:r>
              <w:t xml:space="preserve">3.7960</w:t>
            </w:r>
          </w:p>
        </w:tc>
        <w:tc>
          <w:tcPr/>
          <w:p>
            <w:pPr>
              <w:spacing w:after="0"/>
            </w:pPr>
            <w:r>
              <w:t xml:space="preserve">0.5364</w:t>
            </w:r>
          </w:p>
        </w:tc>
      </w:tr>
      <w:tr>
        <w:tc>
          <w:tcPr/>
          <w:p>
            <w:pPr>
              <w:spacing w:after="0"/>
            </w:pPr>
            <w:r>
              <w:t xml:space="preserve">Sq</w:t>
            </w:r>
          </w:p>
        </w:tc>
        <w:tc>
          <w:tcPr/>
          <w:p>
            <w:pPr>
              <w:spacing w:after="0"/>
            </w:pPr>
            <w:r>
              <w:t xml:space="preserve">0.8</w:t>
            </w:r>
          </w:p>
        </w:tc>
        <w:tc>
          <w:tcPr/>
          <w:p>
            <w:pPr>
              <w:spacing w:after="0"/>
            </w:pPr>
            <w:r>
              <w:t xml:space="preserve">−1.1816</w:t>
            </w:r>
          </w:p>
        </w:tc>
        <w:tc>
          <w:tcPr/>
          <w:p>
            <w:pPr>
              <w:spacing w:after="0"/>
            </w:pPr>
            <w:r>
              <w:t xml:space="preserve">1.6004</w:t>
            </w:r>
          </w:p>
        </w:tc>
        <w:tc>
          <w:tcPr/>
          <w:p>
            <w:pPr>
              <w:spacing w:after="0"/>
            </w:pPr>
            <w:r>
              <w:t xml:space="preserve">0.5354</w:t>
            </w:r>
          </w:p>
        </w:tc>
      </w:tr>
      <w:tr>
        <w:tc>
          <w:tcPr/>
          <w:p>
            <w:pPr>
              <w:spacing w:after="0"/>
            </w:pPr>
            <w:r>
              <w:t xml:space="preserve">M</w:t>
            </w:r>
          </w:p>
        </w:tc>
        <w:tc>
          <w:tcPr/>
          <w:p>
            <w:pPr>
              <w:spacing w:after="0"/>
            </w:pPr>
            <w:r>
              <w:t xml:space="preserve">0.5</w:t>
            </w:r>
          </w:p>
        </w:tc>
        <w:tc>
          <w:tcPr/>
          <w:p>
            <w:pPr>
              <w:spacing w:after="0"/>
            </w:pPr>
            <w:r>
              <w:t xml:space="preserve">0.1175</w:t>
            </w:r>
          </w:p>
        </w:tc>
        <w:tc>
          <w:tcPr/>
          <w:p>
            <w:pPr>
              <w:spacing w:after="0"/>
            </w:pPr>
            <w:r>
              <w:t xml:space="preserve">1.7336</w:t>
            </w:r>
          </w:p>
        </w:tc>
        <w:tc>
          <w:tcPr/>
          <w:p>
            <w:pPr>
              <w:spacing w:after="0"/>
            </w:pPr>
            <w:r>
              <w:t xml:space="preserve">0.6293</w:t>
            </w:r>
          </w:p>
        </w:tc>
      </w:tr>
      <w:tr>
        <w:tc>
          <w:tcPr/>
          <w:p>
            <w:pPr>
              <w:spacing w:after="0"/>
            </w:pPr>
            <w:r>
              <w:t xml:space="preserve">M</w:t>
            </w:r>
          </w:p>
        </w:tc>
        <w:tc>
          <w:tcPr/>
          <w:p>
            <w:pPr>
              <w:spacing w:after="0"/>
            </w:pPr>
            <w:r>
              <w:t xml:space="preserve">2.0</w:t>
            </w:r>
          </w:p>
        </w:tc>
        <w:tc>
          <w:tcPr/>
          <w:p>
            <w:pPr>
              <w:spacing w:after="0"/>
            </w:pPr>
            <w:r>
              <w:t xml:space="preserve">0.0318</w:t>
            </w:r>
          </w:p>
        </w:tc>
        <w:tc>
          <w:tcPr/>
          <w:p>
            <w:pPr>
              <w:spacing w:after="0"/>
            </w:pPr>
            <w:r>
              <w:t xml:space="preserve">1.8015</w:t>
            </w:r>
          </w:p>
        </w:tc>
        <w:tc>
          <w:tcPr/>
          <w:p>
            <w:pPr>
              <w:spacing w:after="0"/>
            </w:pPr>
            <w:r>
              <w:t xml:space="preserve">0.6268</w:t>
            </w:r>
          </w:p>
        </w:tc>
      </w:tr>
      <w:tr>
        <w:tc>
          <w:tcPr/>
          <w:p>
            <w:pPr>
              <w:spacing w:after="0"/>
            </w:pPr>
            <w:r>
              <w:t xml:space="preserve">We</w:t>
            </w:r>
          </w:p>
        </w:tc>
        <w:tc>
          <w:tcPr/>
          <w:p>
            <w:pPr>
              <w:spacing w:after="0"/>
            </w:pPr>
            <w:r>
              <w:t xml:space="preserve">0.5</w:t>
            </w:r>
          </w:p>
        </w:tc>
        <w:tc>
          <w:tcPr/>
          <w:p>
            <w:pPr>
              <w:spacing w:after="0"/>
            </w:pPr>
            <w:r>
              <w:t xml:space="preserve">−0.0380</w:t>
            </w:r>
          </w:p>
        </w:tc>
        <w:tc>
          <w:tcPr/>
          <w:p>
            <w:pPr>
              <w:spacing w:after="0"/>
            </w:pPr>
            <w:r>
              <w:t xml:space="preserve">1.5919</w:t>
            </w:r>
          </w:p>
        </w:tc>
        <w:tc>
          <w:tcPr/>
          <w:p>
            <w:pPr>
              <w:spacing w:after="0"/>
            </w:pPr>
            <w:r>
              <w:t xml:space="preserve">0.6370</w:t>
            </w:r>
          </w:p>
        </w:tc>
      </w:tr>
      <w:tr>
        <w:tc>
          <w:tcPr/>
          <w:p>
            <w:pPr>
              <w:spacing w:after="0"/>
            </w:pPr>
            <w:r>
              <w:t xml:space="preserve">We</w:t>
            </w:r>
          </w:p>
        </w:tc>
        <w:tc>
          <w:tcPr/>
          <w:p>
            <w:pPr>
              <w:spacing w:after="0"/>
            </w:pPr>
            <w:r>
              <w:t xml:space="preserve">2.0</w:t>
            </w:r>
          </w:p>
        </w:tc>
        <w:tc>
          <w:tcPr/>
          <w:p>
            <w:pPr>
              <w:spacing w:after="0"/>
            </w:pPr>
            <w:r>
              <w:t xml:space="preserve">0.2693</w:t>
            </w:r>
          </w:p>
        </w:tc>
        <w:tc>
          <w:tcPr/>
          <w:p>
            <w:pPr>
              <w:spacing w:after="0"/>
            </w:pPr>
            <w:r>
              <w:t xml:space="preserve">2.0894</w:t>
            </w:r>
          </w:p>
        </w:tc>
        <w:tc>
          <w:tcPr/>
          <w:p>
            <w:pPr>
              <w:spacing w:after="0"/>
            </w:pPr>
            <w:r>
              <w:t xml:space="preserve">0.6101</w:t>
            </w:r>
          </w:p>
        </w:tc>
      </w:tr>
      <w:tr>
        <w:tc>
          <w:tcPr/>
          <w:p>
            <w:pPr>
              <w:spacing w:after="0"/>
            </w:pPr>
            <w:r>
              <w:t xml:space="preserve">Rd</w:t>
            </w:r>
          </w:p>
        </w:tc>
        <w:tc>
          <w:tcPr/>
          <w:p>
            <w:pPr>
              <w:spacing w:after="0"/>
            </w:pPr>
            <w:r>
              <w:t xml:space="preserve">0.2</w:t>
            </w:r>
          </w:p>
        </w:tc>
        <w:tc>
          <w:tcPr/>
          <w:p>
            <w:pPr>
              <w:spacing w:after="0"/>
            </w:pPr>
            <w:r>
              <w:t xml:space="preserve">0.0885</w:t>
            </w:r>
          </w:p>
        </w:tc>
        <w:tc>
          <w:tcPr/>
          <w:p>
            <w:pPr>
              <w:spacing w:after="0"/>
            </w:pPr>
            <w:r>
              <w:t xml:space="preserve">1.3509</w:t>
            </w:r>
          </w:p>
        </w:tc>
        <w:tc>
          <w:tcPr/>
          <w:p>
            <w:pPr>
              <w:spacing w:after="0"/>
            </w:pPr>
            <w:r>
              <w:t xml:space="preserve">0.6448</w:t>
            </w:r>
          </w:p>
        </w:tc>
      </w:tr>
      <w:tr>
        <w:tc>
          <w:tcPr/>
          <w:p>
            <w:pPr>
              <w:spacing w:after="0"/>
            </w:pPr>
            <w:r>
              <w:t xml:space="preserve">Rd</w:t>
            </w:r>
          </w:p>
        </w:tc>
        <w:tc>
          <w:tcPr/>
          <w:p>
            <w:pPr>
              <w:spacing w:after="0"/>
            </w:pPr>
            <w:r>
              <w:t xml:space="preserve">1.0</w:t>
            </w:r>
          </w:p>
        </w:tc>
        <w:tc>
          <w:tcPr/>
          <w:p>
            <w:pPr>
              <w:spacing w:after="0"/>
            </w:pPr>
            <w:r>
              <w:t xml:space="preserve">0.0885</w:t>
            </w:r>
          </w:p>
        </w:tc>
        <w:tc>
          <w:tcPr/>
          <w:p>
            <w:pPr>
              <w:spacing w:after="0"/>
            </w:pPr>
            <w:r>
              <w:t xml:space="preserve">2.3466</w:t>
            </w:r>
          </w:p>
        </w:tc>
        <w:tc>
          <w:tcPr/>
          <w:p>
            <w:pPr>
              <w:spacing w:after="0"/>
            </w:pPr>
            <w:r>
              <w:t xml:space="preserve">0.6193</w:t>
            </w:r>
          </w:p>
        </w:tc>
      </w:tr>
      <w:tr>
        <w:tc>
          <w:tcPr/>
          <w:p>
            <w:pPr>
              <w:spacing w:after="0"/>
            </w:pPr>
            <w:r>
              <w:t xml:space="preserve">Df</w:t>
            </w:r>
          </w:p>
        </w:tc>
        <w:tc>
          <w:tcPr/>
          <w:p>
            <w:pPr>
              <w:spacing w:after="0"/>
            </w:pPr>
            <w:r>
              <w:t xml:space="preserve">0.6</w:t>
            </w:r>
          </w:p>
        </w:tc>
        <w:tc>
          <w:tcPr/>
          <w:p>
            <w:pPr>
              <w:spacing w:after="0"/>
            </w:pPr>
            <w:r>
              <w:t xml:space="preserve">0.0885</w:t>
            </w:r>
          </w:p>
        </w:tc>
        <w:tc>
          <w:tcPr/>
          <w:p>
            <w:pPr>
              <w:spacing w:after="0"/>
            </w:pPr>
            <w:r>
              <w:t xml:space="preserve">3.2111</w:t>
            </w:r>
          </w:p>
        </w:tc>
        <w:tc>
          <w:tcPr/>
          <w:p>
            <w:pPr>
              <w:spacing w:after="0"/>
            </w:pPr>
            <w:r>
              <w:t xml:space="preserve">0.5296</w:t>
            </w:r>
          </w:p>
        </w:tc>
      </w:tr>
      <w:tr>
        <w:tc>
          <w:tcPr/>
          <w:p>
            <w:pPr>
              <w:spacing w:after="0"/>
            </w:pPr>
            <w:r>
              <w:t xml:space="preserve">Sr</w:t>
            </w:r>
          </w:p>
        </w:tc>
        <w:tc>
          <w:tcPr/>
          <w:p>
            <w:pPr>
              <w:spacing w:after="0"/>
            </w:pPr>
            <w:r>
              <w:t xml:space="preserve">0.5</w:t>
            </w:r>
          </w:p>
        </w:tc>
        <w:tc>
          <w:tcPr/>
          <w:p>
            <w:pPr>
              <w:spacing w:after="0"/>
            </w:pPr>
            <w:r>
              <w:t xml:space="preserve">0.0885</w:t>
            </w:r>
          </w:p>
        </w:tc>
        <w:tc>
          <w:tcPr/>
          <w:p>
            <w:pPr>
              <w:spacing w:after="0"/>
            </w:pPr>
            <w:r>
              <w:t xml:space="preserve">1.8712</w:t>
            </w:r>
          </w:p>
        </w:tc>
        <w:tc>
          <w:tcPr/>
          <w:p>
            <w:pPr>
              <w:spacing w:after="0"/>
            </w:pPr>
            <w:r>
              <w:t xml:space="preserve">0.5805</w:t>
            </w:r>
          </w:p>
        </w:tc>
      </w:tr>
      <w:tr>
        <w:tc>
          <w:tcPr/>
          <w:p>
            <w:pPr>
              <w:spacing w:after="0"/>
            </w:pPr>
            <w:r>
              <w:t xml:space="preserve">K</w:t>
            </w:r>
          </w:p>
        </w:tc>
        <w:tc>
          <w:tcPr/>
          <w:p>
            <w:pPr>
              <w:spacing w:after="0"/>
            </w:pPr>
            <w:r>
              <w:t xml:space="preserve">1.5</w:t>
            </w:r>
          </w:p>
        </w:tc>
        <w:tc>
          <w:tcPr/>
          <w:p>
            <w:pPr>
              <w:spacing w:after="0"/>
            </w:pPr>
            <w:r>
              <w:t xml:space="preserve">0.0885</w:t>
            </w:r>
          </w:p>
        </w:tc>
        <w:tc>
          <w:tcPr/>
          <w:p>
            <w:pPr>
              <w:spacing w:after="0"/>
            </w:pPr>
            <w:r>
              <w:t xml:space="preserve">1.9653</w:t>
            </w:r>
          </w:p>
        </w:tc>
        <w:tc>
          <w:tcPr/>
          <w:p>
            <w:pPr>
              <w:spacing w:after="0"/>
            </w:pPr>
            <w:r>
              <w:t xml:space="preserve">0.5001</w:t>
            </w:r>
          </w:p>
        </w:tc>
      </w:tr>
    </w:tbl>
    <w:p/>
    <w:p>
      <w:r>
        <w:rPr>
          <w:b/>
        </w:rPr>
        <w:t xml:space="preserve">Table 5. N_s and Be at η = 0 (provisional — computed with the earlier entropy formulation; to be regenerated from the corrected Eq. 36).</w:t>
      </w:r>
      <w:r>
        <w:t xml:space="preserve"> Present numerical solution.</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Br</w:t>
            </w:r>
          </w:p>
        </w:tc>
        <w:tc>
          <w:tcPr>
            <w:shd w:val="clear" w:color="auto" w:fill="D9E2F3"/>
          </w:tcPr>
          <w:p>
            <w:pPr>
              <w:spacing w:after="0"/>
            </w:pPr>
            <w:r>
              <w:rPr>
                <w:b/>
              </w:rPr>
              <w:t xml:space="preserve">M</w:t>
            </w:r>
          </w:p>
        </w:tc>
        <w:tc>
          <w:tcPr>
            <w:shd w:val="clear" w:color="auto" w:fill="D9E2F3"/>
          </w:tcPr>
          <w:p>
            <w:pPr>
              <w:spacing w:after="0"/>
            </w:pPr>
            <w:r>
              <w:rPr>
                <w:b/>
              </w:rPr>
              <w:t xml:space="preserve">Rd</w:t>
            </w:r>
          </w:p>
        </w:tc>
        <w:tc>
          <w:tcPr>
            <w:shd w:val="clear" w:color="auto" w:fill="D9E2F3"/>
          </w:tcPr>
          <w:p>
            <w:pPr>
              <w:spacing w:after="0"/>
            </w:pPr>
            <w:r>
              <w:rPr>
                <w:b/>
              </w:rPr>
              <w:t xml:space="preserve">Ω</w:t>
            </w:r>
          </w:p>
        </w:tc>
        <w:tc>
          <w:tcPr>
            <w:shd w:val="clear" w:color="auto" w:fill="D9E2F3"/>
          </w:tcPr>
          <w:p>
            <w:pPr>
              <w:spacing w:after="0"/>
            </w:pPr>
            <w:r>
              <w:rPr>
                <w:b/>
              </w:rPr>
              <w:t xml:space="preserve">N_s(0)</w:t>
            </w:r>
          </w:p>
        </w:tc>
        <w:tc>
          <w:tcPr>
            <w:shd w:val="clear" w:color="auto" w:fill="D9E2F3"/>
          </w:tcPr>
          <w:p>
            <w:pPr>
              <w:spacing w:after="0"/>
            </w:pPr>
            <w:r>
              <w:rPr>
                <w:b/>
              </w:rPr>
              <w:t xml:space="preserve">Be(0)</w:t>
            </w:r>
          </w:p>
        </w:tc>
      </w:tr>
      <w:tr>
        <w:tc>
          <w:tcPr/>
          <w:p>
            <w:pPr>
              <w:spacing w:after="0"/>
            </w:pPr>
            <w:r>
              <w:t xml:space="preserve">0.5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4.4484</w:t>
            </w:r>
          </w:p>
        </w:tc>
        <w:tc>
          <w:tcPr/>
          <w:p>
            <w:pPr>
              <w:spacing w:after="0"/>
            </w:pPr>
            <w:r>
              <w:t xml:space="preserve">0.2918</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7.5988</w:t>
            </w:r>
          </w:p>
        </w:tc>
        <w:tc>
          <w:tcPr/>
          <w:p>
            <w:pPr>
              <w:spacing w:after="0"/>
            </w:pPr>
            <w:r>
              <w:t xml:space="preserve">0.1708</w:t>
            </w:r>
          </w:p>
        </w:tc>
      </w:tr>
      <w:tr>
        <w:tc>
          <w:tcPr/>
          <w:p>
            <w:pPr>
              <w:spacing w:after="0"/>
            </w:pPr>
            <w:r>
              <w:t xml:space="preserve">1.5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10.7492</w:t>
            </w:r>
          </w:p>
        </w:tc>
        <w:tc>
          <w:tcPr/>
          <w:p>
            <w:pPr>
              <w:spacing w:after="0"/>
            </w:pPr>
            <w:r>
              <w:t xml:space="preserve">0.1207</w:t>
            </w:r>
          </w:p>
        </w:tc>
      </w:tr>
      <w:tr>
        <w:tc>
          <w:tcPr/>
          <w:p>
            <w:pPr>
              <w:spacing w:after="0"/>
            </w:pPr>
            <w:r>
              <w:t xml:space="preserve">1.0</w:t>
            </w:r>
          </w:p>
        </w:tc>
        <w:tc>
          <w:tcPr/>
          <w:p>
            <w:pPr>
              <w:spacing w:after="0"/>
            </w:pPr>
            <w:r>
              <w:t xml:space="preserve">0.5</w:t>
            </w:r>
          </w:p>
        </w:tc>
        <w:tc>
          <w:tcPr/>
          <w:p>
            <w:pPr>
              <w:spacing w:after="0"/>
            </w:pPr>
            <w:r>
              <w:t xml:space="preserve">0.5</w:t>
            </w:r>
          </w:p>
        </w:tc>
        <w:tc>
          <w:tcPr/>
          <w:p>
            <w:pPr>
              <w:spacing w:after="0"/>
            </w:pPr>
            <w:r>
              <w:t xml:space="preserve">1.0</w:t>
            </w:r>
          </w:p>
        </w:tc>
        <w:tc>
          <w:tcPr/>
          <w:p>
            <w:pPr>
              <w:spacing w:after="0"/>
            </w:pPr>
            <w:r>
              <w:t xml:space="preserve">7.2590</w:t>
            </w:r>
          </w:p>
        </w:tc>
        <w:tc>
          <w:tcPr/>
          <w:p>
            <w:pPr>
              <w:spacing w:after="0"/>
            </w:pPr>
            <w:r>
              <w:t xml:space="preserve">0.1801</w:t>
            </w:r>
          </w:p>
        </w:tc>
      </w:tr>
      <w:tr>
        <w:tc>
          <w:tcPr/>
          <w:p>
            <w:pPr>
              <w:spacing w:after="0"/>
            </w:pPr>
            <w:r>
              <w:t xml:space="preserve">1.0</w:t>
            </w:r>
          </w:p>
        </w:tc>
        <w:tc>
          <w:tcPr/>
          <w:p>
            <w:pPr>
              <w:spacing w:after="0"/>
            </w:pPr>
            <w:r>
              <w:t xml:space="preserve">2.0</w:t>
            </w:r>
          </w:p>
        </w:tc>
        <w:tc>
          <w:tcPr/>
          <w:p>
            <w:pPr>
              <w:spacing w:after="0"/>
            </w:pPr>
            <w:r>
              <w:t xml:space="preserve">0.5</w:t>
            </w:r>
          </w:p>
        </w:tc>
        <w:tc>
          <w:tcPr/>
          <w:p>
            <w:pPr>
              <w:spacing w:after="0"/>
            </w:pPr>
            <w:r>
              <w:t xml:space="preserve">1.0</w:t>
            </w:r>
          </w:p>
        </w:tc>
        <w:tc>
          <w:tcPr/>
          <w:p>
            <w:pPr>
              <w:spacing w:after="0"/>
            </w:pPr>
            <w:r>
              <w:t xml:space="preserve">8.2714</w:t>
            </w:r>
          </w:p>
        </w:tc>
        <w:tc>
          <w:tcPr/>
          <w:p>
            <w:pPr>
              <w:spacing w:after="0"/>
            </w:pPr>
            <w:r>
              <w:t xml:space="preserve">0.1549</w:t>
            </w:r>
          </w:p>
        </w:tc>
      </w:tr>
      <w:tr>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7.7121</w:t>
            </w:r>
          </w:p>
        </w:tc>
        <w:tc>
          <w:tcPr/>
          <w:p>
            <w:pPr>
              <w:spacing w:after="0"/>
            </w:pPr>
            <w:r>
              <w:t xml:space="preserve">0.1830</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2.0</w:t>
            </w:r>
          </w:p>
        </w:tc>
        <w:tc>
          <w:tcPr/>
          <w:p>
            <w:pPr>
              <w:spacing w:after="0"/>
            </w:pPr>
            <w:r>
              <w:t xml:space="preserve">3.5495</w:t>
            </w:r>
          </w:p>
        </w:tc>
        <w:tc>
          <w:tcPr/>
          <w:p>
            <w:pPr>
              <w:spacing w:after="0"/>
            </w:pPr>
            <w:r>
              <w:t xml:space="preserve">0.1124</w:t>
            </w:r>
          </w:p>
        </w:tc>
      </w:tr>
    </w:tbl>
    <w:p/>
    <w:p>
      <w:r>
        <w:rPr>
          <w:b/>
        </w:rPr>
        <w:t xml:space="preserve">Table 6. Effect of volume fraction.</w:t>
      </w:r>
      <w:r>
        <w:t xml:space="preserve"> Present numerical solution. The equal-split convention φ₁ = φ₂ is used; the total nanoparticle loading is φ = φ₁ + φ₂, so the final row corresponds to a total loading of φ = 0.10. The average entropy-generation number is the channel-averaged value N_s,avg = ∫₀¹ N_s(η) dη (the averaging domain 0 ≤ η ≤ 1 has unit length, so this equals the arithmetic mean over the gap). The N_s,avg column is provisional and must be regenerated from the corrected entropy model (Eq. 36); the Nu and Sh columns are unaffected by the entropy reformulation.</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φ₁</w:t>
            </w:r>
          </w:p>
        </w:tc>
        <w:tc>
          <w:tcPr>
            <w:shd w:val="clear" w:color="auto" w:fill="D9E2F3"/>
          </w:tcPr>
          <w:p>
            <w:pPr>
              <w:spacing w:after="0"/>
            </w:pPr>
            <w:r>
              <w:rPr>
                <w:b/>
              </w:rPr>
              <w:t xml:space="preserve">φ₂</w:t>
            </w:r>
          </w:p>
        </w:tc>
        <w:tc>
          <w:tcPr>
            <w:shd w:val="clear" w:color="auto" w:fill="D9E2F3"/>
          </w:tcPr>
          <w:p>
            <w:pPr>
              <w:spacing w:after="0"/>
            </w:pPr>
            <w:r>
              <w:rPr>
                <w:b/>
              </w:rPr>
              <w:t xml:space="preserve">φ = φ₁ + φ₂</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c>
          <w:tcPr>
            <w:shd w:val="clear" w:color="auto" w:fill="D9E2F3"/>
          </w:tcPr>
          <w:p>
            <w:pPr>
              <w:spacing w:after="0"/>
            </w:pPr>
            <w:r>
              <w:rPr>
                <w:b/>
              </w:rPr>
              <w:t xml:space="preserve">N_s,avg</w:t>
            </w:r>
          </w:p>
        </w:tc>
      </w:tr>
      <w:tr>
        <w:tc>
          <w:tcPr/>
          <w:p>
            <w:pPr>
              <w:spacing w:after="0"/>
            </w:pPr>
            <w:r>
              <w:t xml:space="preserve">0.00</w:t>
            </w:r>
          </w:p>
        </w:tc>
        <w:tc>
          <w:tcPr/>
          <w:p>
            <w:pPr>
              <w:spacing w:after="0"/>
            </w:pPr>
            <w:r>
              <w:t xml:space="preserve">0.00</w:t>
            </w:r>
          </w:p>
        </w:tc>
        <w:tc>
          <w:tcPr/>
          <w:p>
            <w:pPr>
              <w:spacing w:after="0"/>
            </w:pPr>
            <w:r>
              <w:t xml:space="preserve">0.00</w:t>
            </w:r>
          </w:p>
        </w:tc>
        <w:tc>
          <w:tcPr/>
          <w:p>
            <w:pPr>
              <w:spacing w:after="0"/>
            </w:pPr>
            <w:r>
              <w:t xml:space="preserve">1.4267</w:t>
            </w:r>
          </w:p>
        </w:tc>
        <w:tc>
          <w:tcPr/>
          <w:p>
            <w:pPr>
              <w:spacing w:after="0"/>
            </w:pPr>
            <w:r>
              <w:t xml:space="preserve">0.6371</w:t>
            </w:r>
          </w:p>
        </w:tc>
        <w:tc>
          <w:tcPr/>
          <w:p>
            <w:pPr>
              <w:spacing w:after="0"/>
            </w:pPr>
            <w:r>
              <w:t xml:space="preserve">3.1844</w:t>
            </w:r>
          </w:p>
        </w:tc>
      </w:tr>
      <w:tr>
        <w:tc>
          <w:tcPr/>
          <w:p>
            <w:pPr>
              <w:spacing w:after="0"/>
            </w:pPr>
            <w:r>
              <w:t xml:space="preserve">0.02</w:t>
            </w:r>
          </w:p>
        </w:tc>
        <w:tc>
          <w:tcPr/>
          <w:p>
            <w:pPr>
              <w:spacing w:after="0"/>
            </w:pPr>
            <w:r>
              <w:t xml:space="preserve">0.02</w:t>
            </w:r>
          </w:p>
        </w:tc>
        <w:tc>
          <w:tcPr/>
          <w:p>
            <w:pPr>
              <w:spacing w:after="0"/>
            </w:pPr>
            <w:r>
              <w:t xml:space="preserve">0.04</w:t>
            </w:r>
          </w:p>
        </w:tc>
        <w:tc>
          <w:tcPr/>
          <w:p>
            <w:pPr>
              <w:spacing w:after="0"/>
            </w:pPr>
            <w:r>
              <w:t xml:space="preserve">1.6394</w:t>
            </w:r>
          </w:p>
        </w:tc>
        <w:tc>
          <w:tcPr/>
          <w:p>
            <w:pPr>
              <w:spacing w:after="0"/>
            </w:pPr>
            <w:r>
              <w:t xml:space="preserve">0.6314</w:t>
            </w:r>
          </w:p>
        </w:tc>
        <w:tc>
          <w:tcPr/>
          <w:p>
            <w:pPr>
              <w:spacing w:after="0"/>
            </w:pPr>
            <w:r>
              <w:t xml:space="preserve">3.5458</w:t>
            </w:r>
          </w:p>
        </w:tc>
      </w:tr>
      <w:tr>
        <w:tc>
          <w:tcPr/>
          <w:p>
            <w:pPr>
              <w:spacing w:after="0"/>
            </w:pPr>
            <w:r>
              <w:t xml:space="preserve">0.03</w:t>
            </w:r>
          </w:p>
        </w:tc>
        <w:tc>
          <w:tcPr/>
          <w:p>
            <w:pPr>
              <w:spacing w:after="0"/>
            </w:pPr>
            <w:r>
              <w:t xml:space="preserve">0.03</w:t>
            </w:r>
          </w:p>
        </w:tc>
        <w:tc>
          <w:tcPr/>
          <w:p>
            <w:pPr>
              <w:spacing w:after="0"/>
            </w:pPr>
            <w:r>
              <w:t xml:space="preserve">0.06</w:t>
            </w:r>
          </w:p>
        </w:tc>
        <w:tc>
          <w:tcPr/>
          <w:p>
            <w:pPr>
              <w:spacing w:after="0"/>
            </w:pPr>
            <w:r>
              <w:t xml:space="preserve">1.7565</w:t>
            </w:r>
          </w:p>
        </w:tc>
        <w:tc>
          <w:tcPr/>
          <w:p>
            <w:pPr>
              <w:spacing w:after="0"/>
            </w:pPr>
            <w:r>
              <w:t xml:space="preserve">0.6284</w:t>
            </w:r>
          </w:p>
        </w:tc>
        <w:tc>
          <w:tcPr/>
          <w:p>
            <w:pPr>
              <w:spacing w:after="0"/>
            </w:pPr>
            <w:r>
              <w:t xml:space="preserve">3.7466</w:t>
            </w:r>
          </w:p>
        </w:tc>
      </w:tr>
      <w:tr>
        <w:tc>
          <w:tcPr/>
          <w:p>
            <w:pPr>
              <w:spacing w:after="0"/>
            </w:pPr>
            <w:r>
              <w:t xml:space="preserve">0.04</w:t>
            </w:r>
          </w:p>
        </w:tc>
        <w:tc>
          <w:tcPr/>
          <w:p>
            <w:pPr>
              <w:spacing w:after="0"/>
            </w:pPr>
            <w:r>
              <w:t xml:space="preserve">0.04</w:t>
            </w:r>
          </w:p>
        </w:tc>
        <w:tc>
          <w:tcPr/>
          <w:p>
            <w:pPr>
              <w:spacing w:after="0"/>
            </w:pPr>
            <w:r>
              <w:t xml:space="preserve">0.08</w:t>
            </w:r>
          </w:p>
        </w:tc>
        <w:tc>
          <w:tcPr/>
          <w:p>
            <w:pPr>
              <w:spacing w:after="0"/>
            </w:pPr>
            <w:r>
              <w:t xml:space="preserve">1.8815</w:t>
            </w:r>
          </w:p>
        </w:tc>
        <w:tc>
          <w:tcPr/>
          <w:p>
            <w:pPr>
              <w:spacing w:after="0"/>
            </w:pPr>
            <w:r>
              <w:t xml:space="preserve">0.6255</w:t>
            </w:r>
          </w:p>
        </w:tc>
        <w:tc>
          <w:tcPr/>
          <w:p>
            <w:pPr>
              <w:spacing w:after="0"/>
            </w:pPr>
            <w:r>
              <w:t xml:space="preserve">3.9623</w:t>
            </w:r>
          </w:p>
        </w:tc>
      </w:tr>
      <w:tr>
        <w:tc>
          <w:tcPr/>
          <w:p>
            <w:pPr>
              <w:spacing w:after="0"/>
            </w:pPr>
            <w:r>
              <w:t xml:space="preserve">0.05</w:t>
            </w:r>
          </w:p>
        </w:tc>
        <w:tc>
          <w:tcPr/>
          <w:p>
            <w:pPr>
              <w:spacing w:after="0"/>
            </w:pPr>
            <w:r>
              <w:t xml:space="preserve">0.05</w:t>
            </w:r>
          </w:p>
        </w:tc>
        <w:tc>
          <w:tcPr/>
          <w:p>
            <w:pPr>
              <w:spacing w:after="0"/>
            </w:pPr>
            <w:r>
              <w:t xml:space="preserve">0.10</w:t>
            </w:r>
          </w:p>
        </w:tc>
        <w:tc>
          <w:tcPr/>
          <w:p>
            <w:pPr>
              <w:spacing w:after="0"/>
            </w:pPr>
            <w:r>
              <w:t xml:space="preserve">2.0149</w:t>
            </w:r>
          </w:p>
        </w:tc>
        <w:tc>
          <w:tcPr/>
          <w:p>
            <w:pPr>
              <w:spacing w:after="0"/>
            </w:pPr>
            <w:r>
              <w:t xml:space="preserve">0.6225</w:t>
            </w:r>
          </w:p>
        </w:tc>
        <w:tc>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[α_κ + (4/3)Rd F³]θ″, with F = 1 + (θ_r − 1)θ and the radiation parameter defined as Rd = 4σ*T₀³/(k*κ_f) so that the 4/3 and 4 coefficients follow directly from the Rosseland derivation; the concentration susceptibility c_s is defined explicitly (c_s = (∂C/∂e_sp)_p, units kg J⁻¹), with which a direct unit check verifies that the Soret and Dufour numbers Sr and Df are dimensionless; the Dufour contribution is then reduced step by step to Pr α_c Df φ″, i.e. α_c Df φ″ inside the dissipation source Ξ (Eq. 27). All dimensionless groups are defined explicitly in Section 2.5.</w:t>
      </w:r>
    </w:p>
    <w:p>
      <w:r>
        <w:t xml:space="preserve">3. The entropy-generation model retains the temperature- and concentration-dependent denominators of the Gouy–Stodola/linear-irreversible-thermodynamics form (Eq. 36), with thermal (1/F²), viscous and Joule (1/F) and diffusive (1/(1+ζφ), 1/F) factors; the Soret–Dufour cross term is assigned to N_DD, so that N_s = N_HT + N_FF + N_J + N_DD, and under the stated sign assumptions and the positive-semidefinite condition (Eq. 43) the calculated Bejan number satisfies 0 ≤ Be ≤ 1 over the reported range.</w:t>
      </w:r>
    </w:p>
    <w:p>
      <w:r>
        <w:t xml:space="preserve">4. The solution is grid-independent to the reported precision; the Newtonian clear-fluid limit recovers the Wang squeezing-film equation, with f″(1) agreeing with the benchmark to better than 0.1% (Table 3), while comparison with the Casson model of [23] is restricted to a common Newtonian limit.</w:t>
      </w:r>
    </w:p>
    <w:p>
      <w:r>
        <w:t xml:space="preserve">5. Entropy generation is largest near the walls; under the present scaling, increasing the Brinkman number increases the relative viscous and electromagnetic dissipation contributions to the normalised entropy-generation number, whereas increasing the magnetic parameter chiefly raises the Joule contribution (its effect on friction being indirect, through the velocity field). Within the present effective-property model and parameter range, hybrid loading (total φ up to 0.10) increases the Nusselt number by approximately 41.2% (from 1.4267 to 2.0149); the accompanying change in the average entropy-generation number is to be quantified from the corrected entropy model (Eq. 36).</w:t>
      </w:r>
    </w:p>
    <w:p/>
    <w:p/>
    <w:p>
      <w:pPr>
        <w:pStyle w:val="Heading1"/>
      </w:pPr>
      <w:r>
        <w:t xml:space="preserve">Appendix A. Reduced and Limiting Forms</w:t>
      </w:r>
    </w:p>
    <w:p/>
    <w:p>
      <w:r>
        <w:t xml:space="preserve">In the Newtonian limit (n = 1 or We → 0) under the adopted simplified Carreau model with μ_∞ = 0, the Carreau bracket [1 + We² f″²]^{(n−1)/2} becomes unity and the momentum equation (23) reduces to the Wang [44] squeezing-film form given in Section 5. Because the present model is Carreau-based rather than Casson-based, any comparison with [23] is restricted to quantities evaluated under a common Newtonian limiting configuration.</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Al₂O₃–Cu/water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H. A. Nabwey, G. P. Ashwinkumar, N. Sandeep, 3-D magnetohydrodynamic AA7072-AA7075/methanol hybrid nanofluid flow above an uneven thickness surface with slip effect, Scientific Reports 10 (2020) 4265.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Ashwinkumar, S. Sulochana, C. Sulochana, Effect of the aligned magnetic field on the boundary-layer analysis of the magnetic nanofluid over a stretching sheet,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scrutinization on EMHD Darcy–Forchheimer slip flow of Carreau hybrid nanofluid through a stretchable surface in porous medium with temperature-variant properties,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of blood through an irregular stenotic permeable artery: application of Koo–Kleinstreuer–Li correlations,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p>
      <w:r>
        <w:t xml:space="preserve">[44] C. Y. Wang, The squeezing of a fluid between two plates, ASME Journal of Applied Mechanics 43 (4) (1976) 579–583. https://doi.org/10.1115/1.3423935</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