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xmlns:w="http://schemas.openxmlformats.org/wordprocessingml/2006/main">
      <w:pPr>
        <w:jc w:val="center"/>
        <w:spacing w:after="400"/>
      </w:pPr>
      <w:r>
        <w:rPr>
          <w:sz w:val="24"/>
          <w:szCs w:val="24"/>
        </w:rPr>
        <w:t xml:space="preserve"/>
      </w:r>
    </w:p>
    <w:p xmlns:w="http://schemas.openxmlformats.org/wordprocessingml/2006/main">
      <w:pPr>
        <w:pStyle w:val="Heading1"/>
        <w:jc w:val="center"/>
        <w:spacing w:after="300"/>
      </w:pPr>
      <w:r>
        <w:rPr>
          <w:b/>
          <w:sz w:val="36"/>
          <w:szCs w:val="36"/>
        </w:rPr>
        <w:t xml:space="preserve">Preparing Business Leaders for Smart Healthcare: Integrating AI Competency into Management Education</w:t>
      </w:r>
    </w:p>
    <w:p xmlns:w="http://schemas.openxmlformats.org/wordprocessingml/2006/main">
      <w:pPr>
        <w:jc w:val="center"/>
        <w:spacing w:after="200"/>
      </w:pPr>
      <w:r>
        <w:rPr>
          <w:sz w:val="24"/>
          <w:szCs w:val="24"/>
        </w:rPr>
        <w:t xml:space="preserve"/>
      </w:r>
    </w:p>
    <w:p xmlns:w="http://schemas.openxmlformats.org/wordprocessingml/2006/main">
      <w:pPr>
        <w:pStyle w:val="Heading1"/>
        <w:jc w:val="start"/>
        <w:spacing w:after="240"/>
      </w:pPr>
      <w:r>
        <w:rPr>
          <w:b/>
          <w:sz w:val="32"/>
          <w:szCs w:val="32"/>
        </w:rPr>
        <w:t xml:space="preserve">Abstract</w:t>
      </w:r>
    </w:p>
    <w:p xmlns:w="http://schemas.openxmlformats.org/wordprocessingml/2006/main">
      <w:pPr>
        <w:jc w:val="both"/>
        <w:spacing w:after="300"/>
      </w:pPr>
      <w:r>
        <w:rPr>
          <w:sz w:val="24"/>
          <w:szCs w:val="24"/>
        </w:rPr>
        <w:t xml:space="preserve">The rapid integration of artificial intelligence into healthcare systems demands a new generation of business leaders equipped with technical literacy, strategic vision, and ethical grounding to guide organizations through digital transformation [1, 2]. This chapter presents a comprehensive framework for embedding healthcare AI competency into business management curricula, addressing the critical gap between traditional management education and the technical realities of smart healthcare systems [3, 4]. Beginning with an analysis of the smart healthcare landscape and the evolving mandate for business leaders, the chapter proposes the Data-to-Decision cycle as an organizing pedagogical principle and introduces a three-pillar curriculum framework integrating modern data techniques, healthcare leadership, and ethics and governance [5, 6, 7]. Innovative pedagogical approaches including experiential learning through AI-driven virtual reality simulations, hands-on analytics using low-code platforms, and project-based problem solving are examined in detail [8, 9, 10]. The chapter further addresses implementation challenges related to faculty expertise, resource accessibility, and balancing technical depth with managerial relevance, alongside the ethical dimensions of bias mitigation, privacy protection, and building trustworthy AI systems [11, 12]. Future trajectories including generative AI in education, lifelong learning models, and the imperative for business schools to embed healthcare AI as a core curricular pillar are discussed [13, 14].</w:t>
      </w:r>
    </w:p>
    <w:p xmlns:w="http://schemas.openxmlformats.org/wordprocessingml/2006/main">
      <w:pPr>
        <w:jc w:val="both"/>
        <w:spacing w:after="400"/>
      </w:pPr>
      <w:r>
        <w:rPr>
          <w:i/>
          <w:sz w:val="22"/>
          <w:szCs w:val="22"/>
        </w:rPr>
        <w:t xml:space="preserve">Keywords: Healthcare AI; Business education; Management curriculum; Data literacy; Machine learning; Ethics; Smart healthcare; Experiential learning; Digital transformation; Low-code analytics</w:t>
      </w:r>
    </w:p>
    <w:p xmlns:w="http://schemas.openxmlformats.org/wordprocessingml/2006/main">
      <w:pPr>
        <w:pStyle w:val="Heading1"/>
        <w:jc w:val="start"/>
        <w:spacing w:after="240"/>
      </w:pPr>
      <w:r>
        <w:rPr>
          <w:b/>
          <w:sz w:val="32"/>
          <w:szCs w:val="32"/>
        </w:rPr>
        <w:t xml:space="preserve">1. The AI Imperative in Healthcare Management</w:t>
      </w:r>
    </w:p>
    <w:p xmlns:w="http://schemas.openxmlformats.org/wordprocessingml/2006/main">
      <w:pPr>
        <w:pStyle w:val="Heading2"/>
        <w:jc w:val="start"/>
        <w:spacing w:after="240"/>
      </w:pPr>
      <w:r>
        <w:rPr>
          <w:b/>
          <w:sz w:val="28"/>
          <w:szCs w:val="28"/>
        </w:rPr>
        <w:t xml:space="preserve">1.1. The Smart Healthcare Landscape</w:t>
      </w:r>
    </w:p>
    <w:p xmlns:w="http://schemas.openxmlformats.org/wordprocessingml/2006/main">
      <w:pPr>
        <w:jc w:val="both"/>
        <w:spacing w:after="200"/>
      </w:pPr>
      <w:r>
        <w:rPr>
          <w:sz w:val="24"/>
          <w:szCs w:val="24"/>
        </w:rPr>
        <w:t xml:space="preserve">Smart healthcare represents a paradigm shift from reactive, episode-based care delivery toward proactive, data-driven health systems that leverage artificial intelligence, Internet of Things sensors, electronic health records, and advanced analytics to optimize patient outcomes, operational efficiency, and population health management [1, 15]. Unlike traditional healthcare information technology that focused primarily on digitizing existing workflows and storing records, smart healthcare systems create intelligent feedback loops where data continuously informs and improves clinical decision-making, resource allocation, and organizational strategy [2, 16]. The global smart healthcare market, valued at approximately USD 170 billion in 2023, is projected to exceed USD 530 billion by 2030, reflecting the massive investment flowing into AI-powered diagnostics, precision medicine, robotic surgery, virtual care platforms, and predictive analytics systems [3, 17].</w:t>
      </w:r>
    </w:p>
    <w:p xmlns:w="http://schemas.openxmlformats.org/wordprocessingml/2006/main">
      <w:pPr>
        <w:jc w:val="both"/>
        <w:spacing w:after="200"/>
      </w:pPr>
      <w:r>
        <w:rPr>
          <w:sz w:val="24"/>
          <w:szCs w:val="24"/>
        </w:rPr>
        <w:t xml:space="preserve">As illustrated in Figure 1, the smart healthcare landscape encompasses six interconnected domains of AI application: predictive analytics for patient outcomes (hospital readmission risk, disease progression, adverse events), clinical decision support (diagnostic assistance, treatment recommendation, drug interaction checking), operational optimization (staff scheduling, bed management, supply chain forecasting), patient engagement (personalized health coaching, remote monitoring, conversational AI), population health management (disease surveillance, social determinant analysis, preventive intervention targeting), and administrative automation (coding, billing, prior authorization, regulatory reporting) [4, 18]. Each domain presents distinct opportunities for value creation and requires specific combinations of technical, strategic, and ethical competencies from the business leaders who champion and oversee their implementation [5, 19].</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3"/>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1. The smart healthcare landscape showing six interconnected domains of AI application: predictive analytics, clinical decision support, operational optimization, patient engagement, population health management, and administrative automation, connected through a central data infrastructure.</w:t>
      </w:r>
    </w:p>
    <w:p xmlns:w="http://schemas.openxmlformats.org/wordprocessingml/2006/main">
      <w:pPr>
        <w:jc w:val="both"/>
        <w:spacing w:after="200"/>
      </w:pPr>
      <w:r>
        <w:rPr>
          <w:sz w:val="24"/>
          <w:szCs w:val="24"/>
        </w:rPr>
        <w:t xml:space="preserve">The transformation from traditional to smart healthcare is not merely technological but fundamentally organizational and strategic, requiring leaders who can navigate the complex interplay between clinical workflows, data infrastructure, regulatory compliance, financial sustainability, and workforce adaptation [6, 20]. Healthcare organizations that successfully leverage AI report 15-30% improvements in diagnostic accuracy, 20-40% reductions in administrative costs, and 10-25% improvements in patient satisfaction scores, yet achieving these outcomes requires sophisticated change management, stakeholder alignment, and strategic investment prioritization that are hallmarks of effective business leadership [7, 21]. The business leader's role extends beyond technology procurement to encompass organizational readiness assessment, use case prioritization based on value-complexity matrices, vendor evaluation, implementation governance, performance measurement, and continuous optimization of AI-enabled capabilities [8, 22].</w:t>
      </w:r>
    </w:p>
    <w:p xmlns:w="http://schemas.openxmlformats.org/wordprocessingml/2006/main">
      <w:pPr>
        <w:pStyle w:val="Heading2"/>
        <w:jc w:val="start"/>
        <w:spacing w:after="240"/>
      </w:pPr>
      <w:r>
        <w:rPr>
          <w:b/>
          <w:sz w:val="28"/>
          <w:szCs w:val="28"/>
        </w:rPr>
        <w:t xml:space="preserve">1.2. The Business Leader's New Mandate</w:t>
      </w:r>
    </w:p>
    <w:p xmlns:w="http://schemas.openxmlformats.org/wordprocessingml/2006/main">
      <w:pPr>
        <w:jc w:val="both"/>
        <w:spacing w:after="200"/>
      </w:pPr>
      <w:r>
        <w:rPr>
          <w:sz w:val="24"/>
          <w:szCs w:val="24"/>
        </w:rPr>
        <w:t xml:space="preserve">The integration of AI into healthcare creates a new mandate for business leaders that extends significantly beyond traditional management competencies in finance, operations, and strategy [9, 23]. Leaders must now function as translators between technical and clinical domains, articulating business cases for AI investments in language that resonates with clinical stakeholders, boards of directors, regulators, and patients simultaneously [10, 24]. This translation function requires sufficient technical literacy to evaluate AI capabilities and limitations without being misled by vendor hype, combined with deep understanding of healthcare delivery models, reimbursement mechanisms, and clinical workflow dynamics that determine whether technically sound solutions will achieve meaningful adoption [11, 25].</w:t>
      </w:r>
    </w:p>
    <w:p xmlns:w="http://schemas.openxmlformats.org/wordprocessingml/2006/main">
      <w:pPr>
        <w:jc w:val="both"/>
        <w:spacing w:after="200"/>
      </w:pPr>
      <w:r>
        <w:rPr>
          <w:sz w:val="24"/>
          <w:szCs w:val="24"/>
        </w:rPr>
        <w:t xml:space="preserve">The strategic dimension of the new mandate encompasses several critical responsibilities: developing organizational AI strategies aligned with institutional mission and market positioning; building data governance frameworks that balance innovation enablement with privacy protection; cultivating organizational cultures that embrace evidence-based decision-making while maintaining appropriate skepticism toward algorithmic outputs; managing the workforce transition as AI automates routine tasks while creating demand for new skills; and navigating the evolving regulatory landscape including FDA AI/ML device regulation, CMS AI reimbursement policies, and state-level algorithmic accountability requirements [12, 26]. These responsibilities require leaders who combine analytical rigor with emotional intelligence, as successful AI adoption depends as much on managing human anxieties, professional identities, and organizational politics as on technical implementation quality [13, 27].</w:t>
      </w:r>
    </w:p>
    <w:p xmlns:w="http://schemas.openxmlformats.org/wordprocessingml/2006/main">
      <w:pPr>
        <w:jc w:val="both"/>
        <w:spacing w:after="200"/>
      </w:pPr>
      <w:r>
        <w:rPr>
          <w:sz w:val="24"/>
          <w:szCs w:val="24"/>
        </w:rPr>
        <w:t xml:space="preserve">Change management in healthcare AI adoption presents unique challenges compared to other industries because clinicians possess both the technical expertise to critically evaluate algorithmic outputs and the professional autonomy to reject tools they distrust, making physician engagement and trust-building essential leadership competencies [14, 28]. Leaders must navigate the paradox that AI systems performing best are often least interpretable (deep learning achieving superhuman accuracy on imaging tasks while providing no explanation for individual predictions), creating tension with the medical profession's deeply ingrained requirement for understanding the rationale behind clinical decisions [15, 29]. Successful leaders develop communication strategies that acknowledge legitimate clinical concerns while articulating the evidence base for AI-assisted practice, positioning AI as augmenting rather than replacing professional judgment and demonstrating through pilot programs that algorithmic tools improve rather than undermine clinical autonomy and patient outcomes [16, 30].</w:t>
      </w:r>
    </w:p>
    <w:p xmlns:w="http://schemas.openxmlformats.org/wordprocessingml/2006/main">
      <w:pPr>
        <w:pStyle w:val="Heading2"/>
        <w:jc w:val="start"/>
        <w:spacing w:after="240"/>
      </w:pPr>
      <w:r>
        <w:rPr>
          <w:b/>
          <w:sz w:val="28"/>
          <w:szCs w:val="28"/>
        </w:rPr>
        <w:t xml:space="preserve">1.3. Core Competencies for the AI Era</w:t>
      </w:r>
    </w:p>
    <w:p xmlns:w="http://schemas.openxmlformats.org/wordprocessingml/2006/main">
      <w:pPr>
        <w:jc w:val="both"/>
        <w:spacing w:after="200"/>
      </w:pPr>
      <w:r>
        <w:rPr>
          <w:sz w:val="24"/>
          <w:szCs w:val="24"/>
        </w:rPr>
        <w:t xml:space="preserve">The competency framework for business leaders in smart healthcare spans three interconnected domains: data literacy, machine learning literacy, and translational capability, each building upon the others to create leaders capable of bridging the gap between technical possibility and organizational value creation [14, 28]. Data literacy encompasses understanding of healthcare data sources (EHRs, claims, genomic, wearable, social determinants), data quality challenges (missingness, bias, temporal drift), statistical reasoning (distinguishing correlation from causation, understanding uncertainty quantification), and data governance principles (consent, de-identification, minimum necessary use) [15, 29]. Machine learning literacy, critically, does not require programming expertise but rather conceptual understanding of how algorithms learn from data, the assumptions and limitations of different model families, and the practical implications of model performance characteristics (sensitivity, specificity, positive predictive value) for clinical and operational decisions [16, 30].</w:t>
      </w:r>
    </w:p>
    <w:p xmlns:w="http://schemas.openxmlformats.org/wordprocessingml/2006/main">
      <w:pPr>
        <w:jc w:val="both"/>
        <w:spacing w:after="200"/>
      </w:pPr>
      <w:r>
        <w:rPr>
          <w:sz w:val="24"/>
          <w:szCs w:val="24"/>
        </w:rPr>
        <w:t xml:space="preserve">Translational capability, the highest-order competency, involves converting technical insights into actionable strategies, communicating algorithmic findings to diverse stakeholders in contextually appropriate ways, and making judgment calls about when to trust, override, or augment AI recommendations with human expertise [17, 31]. This competency is inherently experiential, developed through repeated practice with increasingly complex scenarios rather than through passive knowledge acquisition, which explains why traditional lecture-based education is insufficient for developing healthcare AI leaders [18, 32]. The ability to hold productive conversations with data scientists, clinicians, regulators, and board members simultaneously, adapting language, framing, and level of technical detail to each audience while maintaining consistency of strategic direction, represents the distinctive value proposition of well-trained healthcare AI business leaders [19, 33]. Table 1 presents a comprehensive competency matrix mapping specific skills within each domain to their relevance across different healthcare leadership roles, demonstrating that while the relative emphasis varies by position, all leaders require foundational capability across all three domains [14, 18, 28, 32].</w:t>
      </w:r>
    </w:p>
    <w:p xmlns:w="http://schemas.openxmlformats.org/wordprocessingml/2006/main">
      <w:pPr>
        <w:jc w:val="center"/>
        <w:spacing w:before="240" w:after="120"/>
      </w:pPr>
      <w:r>
        <w:rPr>
          <w:b/>
          <w:sz w:val="20"/>
          <w:szCs w:val="20"/>
        </w:rPr>
        <w:t xml:space="preserve">Table 1. Competency matrix for healthcare AI leadership showing required skill levels across different executive roles [14, 18, 28, 32].</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500"/>
        <w:gridCol w:w="1500"/>
        <w:gridCol w:w="1500"/>
        <w:gridCol w:w="1500"/>
        <w:gridCol w:w="1500"/>
        <w:gridCol w:w="1500"/>
      </w:tblGrid>
      <w:tr>
        <w:tc>
          <w:tcPr>
            <w:tcW w:w="1500" w:type="dxa"/>
            <w:shd w:val="clear" w:color="auto" w:fill="D9D9D9"/>
          </w:tcPr>
          <w:p>
            <w:pPr>
              <w:jc w:val="center"/>
            </w:pPr>
            <w:r>
              <w:rPr>
                <w:b/>
                <w:sz w:val="20"/>
                <w:szCs w:val="20"/>
              </w:rPr>
              <w:t>Competency Domain</w:t>
            </w:r>
          </w:p>
        </w:tc>
        <w:tc>
          <w:tcPr>
            <w:tcW w:w="1500" w:type="dxa"/>
            <w:shd w:val="clear" w:color="auto" w:fill="D9D9D9"/>
          </w:tcPr>
          <w:p>
            <w:pPr>
              <w:jc w:val="center"/>
            </w:pPr>
            <w:r>
              <w:rPr>
                <w:b/>
                <w:sz w:val="20"/>
                <w:szCs w:val="20"/>
              </w:rPr>
              <w:t>Specific Skills</w:t>
            </w:r>
          </w:p>
        </w:tc>
        <w:tc>
          <w:tcPr>
            <w:tcW w:w="1500" w:type="dxa"/>
            <w:shd w:val="clear" w:color="auto" w:fill="D9D9D9"/>
          </w:tcPr>
          <w:p>
            <w:pPr>
              <w:jc w:val="center"/>
            </w:pPr>
            <w:r>
              <w:rPr>
                <w:b/>
                <w:sz w:val="20"/>
                <w:szCs w:val="20"/>
              </w:rPr>
              <w:t>Hospital CEO</w:t>
            </w:r>
          </w:p>
        </w:tc>
        <w:tc>
          <w:tcPr>
            <w:tcW w:w="1500" w:type="dxa"/>
            <w:shd w:val="clear" w:color="auto" w:fill="D9D9D9"/>
          </w:tcPr>
          <w:p>
            <w:pPr>
              <w:jc w:val="center"/>
            </w:pPr>
            <w:r>
              <w:rPr>
                <w:b/>
                <w:sz w:val="20"/>
                <w:szCs w:val="20"/>
              </w:rPr>
              <w:t>CMO/CMIO</w:t>
            </w:r>
          </w:p>
        </w:tc>
        <w:tc>
          <w:tcPr>
            <w:tcW w:w="1500" w:type="dxa"/>
            <w:shd w:val="clear" w:color="auto" w:fill="D9D9D9"/>
          </w:tcPr>
          <w:p>
            <w:pPr>
              <w:jc w:val="center"/>
            </w:pPr>
            <w:r>
              <w:rPr>
                <w:b/>
                <w:sz w:val="20"/>
                <w:szCs w:val="20"/>
              </w:rPr>
              <w:t>COO</w:t>
            </w:r>
          </w:p>
        </w:tc>
        <w:tc>
          <w:tcPr>
            <w:tcW w:w="1500" w:type="dxa"/>
            <w:shd w:val="clear" w:color="auto" w:fill="D9D9D9"/>
          </w:tcPr>
          <w:p>
            <w:pPr>
              <w:jc w:val="center"/>
            </w:pPr>
            <w:r>
              <w:rPr>
                <w:b/>
                <w:sz w:val="20"/>
                <w:szCs w:val="20"/>
              </w:rPr>
              <w:t>VP Strategy</w:t>
            </w:r>
          </w:p>
        </w:tc>
      </w:tr>
      <w:tr>
        <w:tc>
          <w:tcPr>
            <w:tcW w:w="1500" w:type="dxa"/>
          </w:tcPr>
          <w:p>
            <w:pPr>
              <w:jc w:val="center"/>
            </w:pPr>
            <w:r>
              <w:rPr>
                <w:sz w:val="20"/>
                <w:szCs w:val="20"/>
              </w:rPr>
              <w:t>Data Literacy</w:t>
            </w:r>
          </w:p>
        </w:tc>
        <w:tc>
          <w:tcPr>
            <w:tcW w:w="1500" w:type="dxa"/>
          </w:tcPr>
          <w:p>
            <w:pPr>
              <w:jc w:val="center"/>
            </w:pPr>
            <w:r>
              <w:rPr>
                <w:sz w:val="20"/>
                <w:szCs w:val="20"/>
              </w:rPr>
              <w:t>Data source understanding, quality assessment</w:t>
            </w:r>
          </w:p>
        </w:tc>
        <w:tc>
          <w:tcPr>
            <w:tcW w:w="1500" w:type="dxa"/>
          </w:tcPr>
          <w:p>
            <w:pPr>
              <w:jc w:val="center"/>
            </w:pPr>
            <w:r>
              <w:rPr>
                <w:sz w:val="20"/>
                <w:szCs w:val="20"/>
              </w:rPr>
              <w:t>Moderate</w:t>
            </w:r>
          </w:p>
        </w:tc>
        <w:tc>
          <w:tcPr>
            <w:tcW w:w="1500" w:type="dxa"/>
          </w:tcPr>
          <w:p>
            <w:pPr>
              <w:jc w:val="center"/>
            </w:pPr>
            <w:r>
              <w:rPr>
                <w:sz w:val="20"/>
                <w:szCs w:val="20"/>
              </w:rPr>
              <w:t>High</w:t>
            </w:r>
          </w:p>
        </w:tc>
        <w:tc>
          <w:tcPr>
            <w:tcW w:w="1500" w:type="dxa"/>
          </w:tcPr>
          <w:p>
            <w:pPr>
              <w:jc w:val="center"/>
            </w:pPr>
            <w:r>
              <w:rPr>
                <w:sz w:val="20"/>
                <w:szCs w:val="20"/>
              </w:rPr>
              <w:t>Moderate</w:t>
            </w:r>
          </w:p>
        </w:tc>
        <w:tc>
          <w:tcPr>
            <w:tcW w:w="1500" w:type="dxa"/>
          </w:tcPr>
          <w:p>
            <w:pPr>
              <w:jc w:val="center"/>
            </w:pPr>
            <w:r>
              <w:rPr>
                <w:sz w:val="20"/>
                <w:szCs w:val="20"/>
              </w:rPr>
              <w:t>High</w:t>
            </w:r>
          </w:p>
        </w:tc>
      </w:tr>
      <w:tr>
        <w:tc>
          <w:tcPr>
            <w:tcW w:w="1500" w:type="dxa"/>
          </w:tcPr>
          <w:p>
            <w:pPr>
              <w:jc w:val="center"/>
            </w:pPr>
            <w:r>
              <w:rPr>
                <w:sz w:val="20"/>
                <w:szCs w:val="20"/>
              </w:rPr>
              <w:t>Data Literacy</w:t>
            </w:r>
          </w:p>
        </w:tc>
        <w:tc>
          <w:tcPr>
            <w:tcW w:w="1500" w:type="dxa"/>
          </w:tcPr>
          <w:p>
            <w:pPr>
              <w:jc w:val="center"/>
            </w:pPr>
            <w:r>
              <w:rPr>
                <w:sz w:val="20"/>
                <w:szCs w:val="20"/>
              </w:rPr>
              <w:t>Statistical reasoning, bias recognition</w:t>
            </w:r>
          </w:p>
        </w:tc>
        <w:tc>
          <w:tcPr>
            <w:tcW w:w="1500" w:type="dxa"/>
          </w:tcPr>
          <w:p>
            <w:pPr>
              <w:jc w:val="center"/>
            </w:pPr>
            <w:r>
              <w:rPr>
                <w:sz w:val="20"/>
                <w:szCs w:val="20"/>
              </w:rPr>
              <w:t>Moderate</w:t>
            </w:r>
          </w:p>
        </w:tc>
        <w:tc>
          <w:tcPr>
            <w:tcW w:w="1500" w:type="dxa"/>
          </w:tcPr>
          <w:p>
            <w:pPr>
              <w:jc w:val="center"/>
            </w:pPr>
            <w:r>
              <w:rPr>
                <w:sz w:val="20"/>
                <w:szCs w:val="20"/>
              </w:rPr>
              <w:t>High</w:t>
            </w:r>
          </w:p>
        </w:tc>
        <w:tc>
          <w:tcPr>
            <w:tcW w:w="1500" w:type="dxa"/>
          </w:tcPr>
          <w:p>
            <w:pPr>
              <w:jc w:val="center"/>
            </w:pPr>
            <w:r>
              <w:rPr>
                <w:sz w:val="20"/>
                <w:szCs w:val="20"/>
              </w:rPr>
              <w:t>Moderate</w:t>
            </w:r>
          </w:p>
        </w:tc>
        <w:tc>
          <w:tcPr>
            <w:tcW w:w="1500" w:type="dxa"/>
          </w:tcPr>
          <w:p>
            <w:pPr>
              <w:jc w:val="center"/>
            </w:pPr>
            <w:r>
              <w:rPr>
                <w:sz w:val="20"/>
                <w:szCs w:val="20"/>
              </w:rPr>
              <w:t>High</w:t>
            </w:r>
          </w:p>
        </w:tc>
      </w:tr>
      <w:tr>
        <w:tc>
          <w:tcPr>
            <w:tcW w:w="1500" w:type="dxa"/>
          </w:tcPr>
          <w:p>
            <w:pPr>
              <w:jc w:val="center"/>
            </w:pPr>
            <w:r>
              <w:rPr>
                <w:sz w:val="20"/>
                <w:szCs w:val="20"/>
              </w:rPr>
              <w:t>ML Literacy</w:t>
            </w:r>
          </w:p>
        </w:tc>
        <w:tc>
          <w:tcPr>
            <w:tcW w:w="1500" w:type="dxa"/>
          </w:tcPr>
          <w:p>
            <w:pPr>
              <w:jc w:val="center"/>
            </w:pPr>
            <w:r>
              <w:rPr>
                <w:sz w:val="20"/>
                <w:szCs w:val="20"/>
              </w:rPr>
              <w:t>Algorithm concepts, model evaluation</w:t>
            </w:r>
          </w:p>
        </w:tc>
        <w:tc>
          <w:tcPr>
            <w:tcW w:w="1500" w:type="dxa"/>
          </w:tcPr>
          <w:p>
            <w:pPr>
              <w:jc w:val="center"/>
            </w:pPr>
            <w:r>
              <w:rPr>
                <w:sz w:val="20"/>
                <w:szCs w:val="20"/>
              </w:rPr>
              <w:t>Low-Moderate</w:t>
            </w:r>
          </w:p>
        </w:tc>
        <w:tc>
          <w:tcPr>
            <w:tcW w:w="1500" w:type="dxa"/>
          </w:tcPr>
          <w:p>
            <w:pPr>
              <w:jc w:val="center"/>
            </w:pPr>
            <w:r>
              <w:rPr>
                <w:sz w:val="20"/>
                <w:szCs w:val="20"/>
              </w:rPr>
              <w:t>High</w:t>
            </w:r>
          </w:p>
        </w:tc>
        <w:tc>
          <w:tcPr>
            <w:tcW w:w="1500" w:type="dxa"/>
          </w:tcPr>
          <w:p>
            <w:pPr>
              <w:jc w:val="center"/>
            </w:pPr>
            <w:r>
              <w:rPr>
                <w:sz w:val="20"/>
                <w:szCs w:val="20"/>
              </w:rPr>
              <w:t>Moderate</w:t>
            </w:r>
          </w:p>
        </w:tc>
        <w:tc>
          <w:tcPr>
            <w:tcW w:w="1500" w:type="dxa"/>
          </w:tcPr>
          <w:p>
            <w:pPr>
              <w:jc w:val="center"/>
            </w:pPr>
            <w:r>
              <w:rPr>
                <w:sz w:val="20"/>
                <w:szCs w:val="20"/>
              </w:rPr>
              <w:t>High</w:t>
            </w:r>
          </w:p>
        </w:tc>
      </w:tr>
      <w:tr>
        <w:tc>
          <w:tcPr>
            <w:tcW w:w="1500" w:type="dxa"/>
          </w:tcPr>
          <w:p>
            <w:pPr>
              <w:jc w:val="center"/>
            </w:pPr>
            <w:r>
              <w:rPr>
                <w:sz w:val="20"/>
                <w:szCs w:val="20"/>
              </w:rPr>
              <w:t>ML Literacy</w:t>
            </w:r>
          </w:p>
        </w:tc>
        <w:tc>
          <w:tcPr>
            <w:tcW w:w="1500" w:type="dxa"/>
          </w:tcPr>
          <w:p>
            <w:pPr>
              <w:jc w:val="center"/>
            </w:pPr>
            <w:r>
              <w:rPr>
                <w:sz w:val="20"/>
                <w:szCs w:val="20"/>
              </w:rPr>
              <w:t>Performance metrics interpretation</w:t>
            </w:r>
          </w:p>
        </w:tc>
        <w:tc>
          <w:tcPr>
            <w:tcW w:w="1500" w:type="dxa"/>
          </w:tcPr>
          <w:p>
            <w:pPr>
              <w:jc w:val="center"/>
            </w:pPr>
            <w:r>
              <w:rPr>
                <w:sz w:val="20"/>
                <w:szCs w:val="20"/>
              </w:rPr>
              <w:t>Moderate</w:t>
            </w:r>
          </w:p>
        </w:tc>
        <w:tc>
          <w:tcPr>
            <w:tcW w:w="1500" w:type="dxa"/>
          </w:tcPr>
          <w:p>
            <w:pPr>
              <w:jc w:val="center"/>
            </w:pPr>
            <w:r>
              <w:rPr>
                <w:sz w:val="20"/>
                <w:szCs w:val="20"/>
              </w:rPr>
              <w:t>High</w:t>
            </w:r>
          </w:p>
        </w:tc>
        <w:tc>
          <w:tcPr>
            <w:tcW w:w="1500" w:type="dxa"/>
          </w:tcPr>
          <w:p>
            <w:pPr>
              <w:jc w:val="center"/>
            </w:pPr>
            <w:r>
              <w:rPr>
                <w:sz w:val="20"/>
                <w:szCs w:val="20"/>
              </w:rPr>
              <w:t>High</w:t>
            </w:r>
          </w:p>
        </w:tc>
        <w:tc>
          <w:tcPr>
            <w:tcW w:w="1500" w:type="dxa"/>
          </w:tcPr>
          <w:p>
            <w:pPr>
              <w:jc w:val="center"/>
            </w:pPr>
            <w:r>
              <w:rPr>
                <w:sz w:val="20"/>
                <w:szCs w:val="20"/>
              </w:rPr>
              <w:t>High</w:t>
            </w:r>
          </w:p>
        </w:tc>
      </w:tr>
      <w:tr>
        <w:tc>
          <w:tcPr>
            <w:tcW w:w="1500" w:type="dxa"/>
          </w:tcPr>
          <w:p>
            <w:pPr>
              <w:jc w:val="center"/>
            </w:pPr>
            <w:r>
              <w:rPr>
                <w:sz w:val="20"/>
                <w:szCs w:val="20"/>
              </w:rPr>
              <w:t>Translational</w:t>
            </w:r>
          </w:p>
        </w:tc>
        <w:tc>
          <w:tcPr>
            <w:tcW w:w="1500" w:type="dxa"/>
          </w:tcPr>
          <w:p>
            <w:pPr>
              <w:jc w:val="center"/>
            </w:pPr>
            <w:r>
              <w:rPr>
                <w:sz w:val="20"/>
                <w:szCs w:val="20"/>
              </w:rPr>
              <w:t>Business case development for AI</w:t>
            </w:r>
          </w:p>
        </w:tc>
        <w:tc>
          <w:tcPr>
            <w:tcW w:w="1500" w:type="dxa"/>
          </w:tcPr>
          <w:p>
            <w:pPr>
              <w:jc w:val="center"/>
            </w:pPr>
            <w:r>
              <w:rPr>
                <w:sz w:val="20"/>
                <w:szCs w:val="20"/>
              </w:rPr>
              <w:t>High</w:t>
            </w:r>
          </w:p>
        </w:tc>
        <w:tc>
          <w:tcPr>
            <w:tcW w:w="1500" w:type="dxa"/>
          </w:tcPr>
          <w:p>
            <w:pPr>
              <w:jc w:val="center"/>
            </w:pPr>
            <w:r>
              <w:rPr>
                <w:sz w:val="20"/>
                <w:szCs w:val="20"/>
              </w:rPr>
              <w:t>Moderate</w:t>
            </w:r>
          </w:p>
        </w:tc>
        <w:tc>
          <w:tcPr>
            <w:tcW w:w="1500" w:type="dxa"/>
          </w:tcPr>
          <w:p>
            <w:pPr>
              <w:jc w:val="center"/>
            </w:pPr>
            <w:r>
              <w:rPr>
                <w:sz w:val="20"/>
                <w:szCs w:val="20"/>
              </w:rPr>
              <w:t>High</w:t>
            </w:r>
          </w:p>
        </w:tc>
        <w:tc>
          <w:tcPr>
            <w:tcW w:w="1500" w:type="dxa"/>
          </w:tcPr>
          <w:p>
            <w:pPr>
              <w:jc w:val="center"/>
            </w:pPr>
            <w:r>
              <w:rPr>
                <w:sz w:val="20"/>
                <w:szCs w:val="20"/>
              </w:rPr>
              <w:t>High</w:t>
            </w:r>
          </w:p>
        </w:tc>
      </w:tr>
      <w:tr>
        <w:tc>
          <w:tcPr>
            <w:tcW w:w="1500" w:type="dxa"/>
          </w:tcPr>
          <w:p>
            <w:pPr>
              <w:jc w:val="center"/>
            </w:pPr>
            <w:r>
              <w:rPr>
                <w:sz w:val="20"/>
                <w:szCs w:val="20"/>
              </w:rPr>
              <w:t>Translational</w:t>
            </w:r>
          </w:p>
        </w:tc>
        <w:tc>
          <w:tcPr>
            <w:tcW w:w="1500" w:type="dxa"/>
          </w:tcPr>
          <w:p>
            <w:pPr>
              <w:jc w:val="center"/>
            </w:pPr>
            <w:r>
              <w:rPr>
                <w:sz w:val="20"/>
                <w:szCs w:val="20"/>
              </w:rPr>
              <w:t>Stakeholder communication</w:t>
            </w:r>
          </w:p>
        </w:tc>
        <w:tc>
          <w:tcPr>
            <w:tcW w:w="1500" w:type="dxa"/>
          </w:tcPr>
          <w:p>
            <w:pPr>
              <w:jc w:val="center"/>
            </w:pPr>
            <w:r>
              <w:rPr>
                <w:sz w:val="20"/>
                <w:szCs w:val="20"/>
              </w:rPr>
              <w:t>High</w:t>
            </w:r>
          </w:p>
        </w:tc>
        <w:tc>
          <w:tcPr>
            <w:tcW w:w="1500" w:type="dxa"/>
          </w:tcPr>
          <w:p>
            <w:pPr>
              <w:jc w:val="center"/>
            </w:pPr>
            <w:r>
              <w:rPr>
                <w:sz w:val="20"/>
                <w:szCs w:val="20"/>
              </w:rPr>
              <w:t>High</w:t>
            </w:r>
          </w:p>
        </w:tc>
        <w:tc>
          <w:tcPr>
            <w:tcW w:w="1500" w:type="dxa"/>
          </w:tcPr>
          <w:p>
            <w:pPr>
              <w:jc w:val="center"/>
            </w:pPr>
            <w:r>
              <w:rPr>
                <w:sz w:val="20"/>
                <w:szCs w:val="20"/>
              </w:rPr>
              <w:t>Moderate</w:t>
            </w:r>
          </w:p>
        </w:tc>
        <w:tc>
          <w:tcPr>
            <w:tcW w:w="1500" w:type="dxa"/>
          </w:tcPr>
          <w:p>
            <w:pPr>
              <w:jc w:val="center"/>
            </w:pPr>
            <w:r>
              <w:rPr>
                <w:sz w:val="20"/>
                <w:szCs w:val="20"/>
              </w:rPr>
              <w:t>High</w:t>
            </w:r>
          </w:p>
        </w:tc>
      </w:tr>
      <w:tr>
        <w:tc>
          <w:tcPr>
            <w:tcW w:w="1500" w:type="dxa"/>
          </w:tcPr>
          <w:p>
            <w:pPr>
              <w:jc w:val="center"/>
            </w:pPr>
            <w:r>
              <w:rPr>
                <w:sz w:val="20"/>
                <w:szCs w:val="20"/>
              </w:rPr>
              <w:t>Translational</w:t>
            </w:r>
          </w:p>
        </w:tc>
        <w:tc>
          <w:tcPr>
            <w:tcW w:w="1500" w:type="dxa"/>
          </w:tcPr>
          <w:p>
            <w:pPr>
              <w:jc w:val="center"/>
            </w:pPr>
            <w:r>
              <w:rPr>
                <w:sz w:val="20"/>
                <w:szCs w:val="20"/>
              </w:rPr>
              <w:t>AI governance and oversight</w:t>
            </w:r>
          </w:p>
        </w:tc>
        <w:tc>
          <w:tcPr>
            <w:tcW w:w="1500" w:type="dxa"/>
          </w:tcPr>
          <w:p>
            <w:pPr>
              <w:jc w:val="center"/>
            </w:pPr>
            <w:r>
              <w:rPr>
                <w:sz w:val="20"/>
                <w:szCs w:val="20"/>
              </w:rPr>
              <w:t>High</w:t>
            </w:r>
          </w:p>
        </w:tc>
        <w:tc>
          <w:tcPr>
            <w:tcW w:w="1500" w:type="dxa"/>
          </w:tcPr>
          <w:p>
            <w:pPr>
              <w:jc w:val="center"/>
            </w:pPr>
            <w:r>
              <w:rPr>
                <w:sz w:val="20"/>
                <w:szCs w:val="20"/>
              </w:rPr>
              <w:t>High</w:t>
            </w:r>
          </w:p>
        </w:tc>
        <w:tc>
          <w:tcPr>
            <w:tcW w:w="1500" w:type="dxa"/>
          </w:tcPr>
          <w:p>
            <w:pPr>
              <w:jc w:val="center"/>
            </w:pPr>
            <w:r>
              <w:rPr>
                <w:sz w:val="20"/>
                <w:szCs w:val="20"/>
              </w:rPr>
              <w:t>Moderate</w:t>
            </w:r>
          </w:p>
        </w:tc>
        <w:tc>
          <w:tcPr>
            <w:tcW w:w="1500" w:type="dxa"/>
          </w:tcPr>
          <w:p>
            <w:pPr>
              <w:jc w:val="center"/>
            </w:pPr>
            <w:r>
              <w:rPr>
                <w:sz w:val="20"/>
                <w:szCs w:val="20"/>
              </w:rPr>
              <w:t>High</w:t>
            </w:r>
          </w:p>
        </w:tc>
      </w:tr>
    </w:tbl>
    <w:p xmlns:w="http://schemas.openxmlformats.org/wordprocessingml/2006/main">
      <w:pPr>
        <w:spacing w:after="200"/>
      </w:pPr>
    </w:p>
    <w:p xmlns:w="http://schemas.openxmlformats.org/wordprocessingml/2006/main">
      <w:pPr>
        <w:pStyle w:val="Heading1"/>
        <w:jc w:val="start"/>
        <w:spacing w:after="240"/>
      </w:pPr>
      <w:r>
        <w:rPr>
          <w:b/>
          <w:sz w:val="32"/>
          <w:szCs w:val="32"/>
        </w:rPr>
        <w:t xml:space="preserve">2. Curriculum Design: An Integrated Pedagogical Framework</w:t>
      </w:r>
    </w:p>
    <w:p xmlns:w="http://schemas.openxmlformats.org/wordprocessingml/2006/main">
      <w:pPr>
        <w:pStyle w:val="Heading2"/>
        <w:jc w:val="start"/>
        <w:spacing w:after="240"/>
      </w:pPr>
      <w:r>
        <w:rPr>
          <w:b/>
          <w:sz w:val="28"/>
          <w:szCs w:val="28"/>
        </w:rPr>
        <w:t xml:space="preserve">2.1. The Data-to-Decision Cycle</w:t>
      </w:r>
    </w:p>
    <w:p xmlns:w="http://schemas.openxmlformats.org/wordprocessingml/2006/main">
      <w:pPr>
        <w:jc w:val="both"/>
        <w:spacing w:after="200"/>
      </w:pPr>
      <w:r>
        <w:rPr>
          <w:sz w:val="24"/>
          <w:szCs w:val="24"/>
        </w:rPr>
        <w:t xml:space="preserve">The Data-to-Decision cycle provides the organizing pedagogical principle for healthcare AI education, ensuring that all technical learning remains anchored in managerial relevance and real-world business problem solving [19, 33]. As illustrated in Figure 2, the cycle comprises five interconnected stages: problem identification (defining the business question and success criteria), data acquisition and preparation (sourcing, cleaning, and structuring relevant data), analysis and modeling (applying appropriate analytical techniques), interpretation and insight generation (translating results into actionable knowledge), and decision implementation and monitoring (executing strategies and measuring outcomes) [20, 34]. This cyclical framework emphasizes that data analysis is never an end in itself but rather a means of improving organizational decision-making, with each cycle generating feedback that informs subsequent iterations [21, 35].</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4"/>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2. The Data-to-Decision cycle as an organizing pedagogical principle showing five stages: problem identification, data acquisition, analysis and modeling, interpretation, and decision implementation, connected by continuous feedback loops.</w:t>
      </w:r>
    </w:p>
    <w:p xmlns:w="http://schemas.openxmlformats.org/wordprocessingml/2006/main">
      <w:pPr>
        <w:jc w:val="both"/>
        <w:spacing w:after="200"/>
      </w:pPr>
      <w:r>
        <w:rPr>
          <w:sz w:val="24"/>
          <w:szCs w:val="24"/>
        </w:rPr>
        <w:t xml:space="preserve">The pedagogical power of the Data-to-Decision cycle lies in its ability to contextualize technical skills within managerial responsibility at every stage [22, 36]. During problem identification, students learn to translate vague organizational pain points into analytically tractable questions with measurable outcomes. During data preparation, they confront the messy reality of healthcare data including missing values, inconsistent coding, temporal misalignment, and selection biases that can fundamentally distort analytical conclusions if unaddressed [23, 37]. During analysis, students apply both traditional statistical methods and machine learning algorithms, developing judgment about which approaches are appropriate for different problem structures and data characteristics. During interpretation, they practice communicating uncertainty, distinguishing statistical significance from clinical significance, and identifying the boundary conditions within which model predictions remain valid [24, 38]. During implementation, they grapple with change management, workflow integration, monitoring for performance degradation, and the organizational learning that emerges from systematic evaluation of AI-assisted decisions [25, 39].</w:t>
      </w:r>
    </w:p>
    <w:p xmlns:w="http://schemas.openxmlformats.org/wordprocessingml/2006/main">
      <w:pPr>
        <w:jc w:val="both"/>
        <w:spacing w:after="200"/>
      </w:pPr>
      <w:r>
        <w:rPr>
          <w:sz w:val="24"/>
          <w:szCs w:val="24"/>
        </w:rPr>
        <w:t xml:space="preserve">The cycle's iterative nature mirrors the reality of AI deployment in healthcare organizations, where initial models rarely achieve production-ready performance without multiple refinement cycles, stakeholder feedback loops, and progressive enhancement of training data quality and volume [26, 40]. Students learn that AI implementation is not a one-time project but an ongoing organizational capability requiring sustained attention to model maintenance, data pipeline reliability, performance monitoring, and adaptation to evolving clinical practices, patient populations, and regulatory requirements [27, 41]. Each revolution of the cycle generates organizational learning that improves subsequent iterations, building institutional competency in AI-enabled decision-making that compounds over time as teams develop shared understanding of what works, what fails, and why [28, 42]. This understanding of AI as an organizational capability rather than a technology purchase fundamentally shapes how business leaders approach investment decisions, talent development, and strategic planning for healthcare AI initiatives [29, 43].</w:t>
      </w:r>
    </w:p>
    <w:p xmlns:w="http://schemas.openxmlformats.org/wordprocessingml/2006/main">
      <w:pPr>
        <w:pStyle w:val="Heading2"/>
        <w:jc w:val="start"/>
        <w:spacing w:after="240"/>
      </w:pPr>
      <w:r>
        <w:rPr>
          <w:b/>
          <w:sz w:val="28"/>
          <w:szCs w:val="28"/>
        </w:rPr>
        <w:t xml:space="preserve">2.2. A Modular Curriculum Framework</w:t>
      </w:r>
    </w:p>
    <w:p xmlns:w="http://schemas.openxmlformats.org/wordprocessingml/2006/main">
      <w:pPr>
        <w:jc w:val="both"/>
        <w:spacing w:after="200"/>
      </w:pPr>
      <w:r>
        <w:rPr>
          <w:sz w:val="24"/>
          <w:szCs w:val="24"/>
        </w:rPr>
        <w:t xml:space="preserve">The three-pillar curriculum framework, shown schematically in Figure 3, provides a structured approach to course design that balances technical education, strategic leadership development, and ethical grounding within an integrated learning experience [26, 40]. The first pillar, Modern Data Techniques, covers machine learning fundamentals (supervised and unsupervised learning, model selection, validation), natural language processing applications (clinical note mining, sentiment analysis, chatbot design), and predictive modeling techniques (survival analysis, time-series forecasting, deep learning for imaging) [27, 41]. The second pillar, Healthcare Leadership, addresses healthcare institutions and policy, value-based care models, provider operations, payer dynamics, life sciences strategy, and the specific organizational challenges of AI adoption in regulated environments [28, 42]. The third pillar, Ethics and Governance, encompasses patient privacy (HIPAA, GDPR), algorithmic bias and health disparities, intellectual property in AI-generated insights, regulatory compliance (FDA, CE marking), and responsible AI frameworks including explainability, fairness, and accountability [29, 43].</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5"/>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3. Three-pillar curriculum framework for healthcare AI business education: Modern Data Techniques, Healthcare Leadership, and Ethics and Governance, united by a foundational Data-to-Decision methodology and connected through an overarching integration layer.</w:t>
      </w:r>
    </w:p>
    <w:p xmlns:w="http://schemas.openxmlformats.org/wordprocessingml/2006/main">
      <w:pPr>
        <w:jc w:val="both"/>
        <w:spacing w:after="200"/>
      </w:pPr>
      <w:r>
        <w:rPr>
          <w:sz w:val="24"/>
          <w:szCs w:val="24"/>
        </w:rPr>
        <w:t xml:space="preserve">Table 2 presents the detailed modular curriculum framework showing the core topics, learning objectives, and sample activities for each pillar, demonstrating how technical, strategic, and ethical dimensions are woven together throughout the program rather than treated as isolated modules [26, 30, 40, 44].</w:t>
      </w:r>
    </w:p>
    <w:p xmlns:w="http://schemas.openxmlformats.org/wordprocessingml/2006/main">
      <w:pPr>
        <w:jc w:val="center"/>
        <w:spacing w:before="240" w:after="120"/>
      </w:pPr>
      <w:r>
        <w:rPr>
          <w:b/>
          <w:sz w:val="20"/>
          <w:szCs w:val="20"/>
        </w:rPr>
        <w:t xml:space="preserve">Table 2. Modular curriculum framework detailing core topics, learning objectives, and sample activities across the three educational pillars [26, 30, 40, 44].</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50"/>
        <w:gridCol w:w="2250"/>
        <w:gridCol w:w="2250"/>
        <w:gridCol w:w="2250"/>
      </w:tblGrid>
      <w:tr>
        <w:tc>
          <w:tcPr>
            <w:tcW w:w="2250" w:type="dxa"/>
            <w:shd w:val="clear" w:color="auto" w:fill="D9D9D9"/>
          </w:tcPr>
          <w:p>
            <w:pPr>
              <w:jc w:val="center"/>
            </w:pPr>
            <w:r>
              <w:rPr>
                <w:b/>
                <w:sz w:val="20"/>
                <w:szCs w:val="20"/>
              </w:rPr>
              <w:t>Pillar</w:t>
            </w:r>
          </w:p>
        </w:tc>
        <w:tc>
          <w:tcPr>
            <w:tcW w:w="2250" w:type="dxa"/>
            <w:shd w:val="clear" w:color="auto" w:fill="D9D9D9"/>
          </w:tcPr>
          <w:p>
            <w:pPr>
              <w:jc w:val="center"/>
            </w:pPr>
            <w:r>
              <w:rPr>
                <w:b/>
                <w:sz w:val="20"/>
                <w:szCs w:val="20"/>
              </w:rPr>
              <w:t>Core Topics</w:t>
            </w:r>
          </w:p>
        </w:tc>
        <w:tc>
          <w:tcPr>
            <w:tcW w:w="2250" w:type="dxa"/>
            <w:shd w:val="clear" w:color="auto" w:fill="D9D9D9"/>
          </w:tcPr>
          <w:p>
            <w:pPr>
              <w:jc w:val="center"/>
            </w:pPr>
            <w:r>
              <w:rPr>
                <w:b/>
                <w:sz w:val="20"/>
                <w:szCs w:val="20"/>
              </w:rPr>
              <w:t>Learning Objectives</w:t>
            </w:r>
          </w:p>
        </w:tc>
        <w:tc>
          <w:tcPr>
            <w:tcW w:w="2250" w:type="dxa"/>
            <w:shd w:val="clear" w:color="auto" w:fill="D9D9D9"/>
          </w:tcPr>
          <w:p>
            <w:pPr>
              <w:jc w:val="center"/>
            </w:pPr>
            <w:r>
              <w:rPr>
                <w:b/>
                <w:sz w:val="20"/>
                <w:szCs w:val="20"/>
              </w:rPr>
              <w:t>Sample Activities</w:t>
            </w:r>
          </w:p>
        </w:tc>
      </w:tr>
      <w:tr>
        <w:tc>
          <w:tcPr>
            <w:tcW w:w="2250" w:type="dxa"/>
          </w:tcPr>
          <w:p>
            <w:pPr>
              <w:jc w:val="center"/>
            </w:pPr>
            <w:r>
              <w:rPr>
                <w:sz w:val="20"/>
                <w:szCs w:val="20"/>
              </w:rPr>
              <w:t>Modern Data Techniques</w:t>
            </w:r>
          </w:p>
        </w:tc>
        <w:tc>
          <w:tcPr>
            <w:tcW w:w="2250" w:type="dxa"/>
          </w:tcPr>
          <w:p>
            <w:pPr>
              <w:jc w:val="center"/>
            </w:pPr>
            <w:r>
              <w:rPr>
                <w:sz w:val="20"/>
                <w:szCs w:val="20"/>
              </w:rPr>
              <w:t>ML fundamentals, NLP, predictive modeling</w:t>
            </w:r>
          </w:p>
        </w:tc>
        <w:tc>
          <w:tcPr>
            <w:tcW w:w="2250" w:type="dxa"/>
          </w:tcPr>
          <w:p>
            <w:pPr>
              <w:jc w:val="center"/>
            </w:pPr>
            <w:r>
              <w:rPr>
                <w:sz w:val="20"/>
                <w:szCs w:val="20"/>
              </w:rPr>
              <w:t>Build and evaluate predictive models</w:t>
            </w:r>
          </w:p>
        </w:tc>
        <w:tc>
          <w:tcPr>
            <w:tcW w:w="2250" w:type="dxa"/>
          </w:tcPr>
          <w:p>
            <w:pPr>
              <w:jc w:val="center"/>
            </w:pPr>
            <w:r>
              <w:rPr>
                <w:sz w:val="20"/>
                <w:szCs w:val="20"/>
              </w:rPr>
              <w:t>Readmission prediction using KNIME/RapidMiner</w:t>
            </w:r>
          </w:p>
        </w:tc>
      </w:tr>
      <w:tr>
        <w:tc>
          <w:tcPr>
            <w:tcW w:w="2250" w:type="dxa"/>
          </w:tcPr>
          <w:p>
            <w:pPr>
              <w:jc w:val="center"/>
            </w:pPr>
            <w:r>
              <w:rPr>
                <w:sz w:val="20"/>
                <w:szCs w:val="20"/>
              </w:rPr>
              <w:t>Modern Data Techniques</w:t>
            </w:r>
          </w:p>
        </w:tc>
        <w:tc>
          <w:tcPr>
            <w:tcW w:w="2250" w:type="dxa"/>
          </w:tcPr>
          <w:p>
            <w:pPr>
              <w:jc w:val="center"/>
            </w:pPr>
            <w:r>
              <w:rPr>
                <w:sz w:val="20"/>
                <w:szCs w:val="20"/>
              </w:rPr>
              <w:t>Computer vision, time-series analysis</w:t>
            </w:r>
          </w:p>
        </w:tc>
        <w:tc>
          <w:tcPr>
            <w:tcW w:w="2250" w:type="dxa"/>
          </w:tcPr>
          <w:p>
            <w:pPr>
              <w:jc w:val="center"/>
            </w:pPr>
            <w:r>
              <w:rPr>
                <w:sz w:val="20"/>
                <w:szCs w:val="20"/>
              </w:rPr>
              <w:t>Interpret medical imaging AI outputs</w:t>
            </w:r>
          </w:p>
        </w:tc>
        <w:tc>
          <w:tcPr>
            <w:tcW w:w="2250" w:type="dxa"/>
          </w:tcPr>
          <w:p>
            <w:pPr>
              <w:jc w:val="center"/>
            </w:pPr>
            <w:r>
              <w:rPr>
                <w:sz w:val="20"/>
                <w:szCs w:val="20"/>
              </w:rPr>
              <w:t>Analyzing radiology AI performance reports</w:t>
            </w:r>
          </w:p>
        </w:tc>
      </w:tr>
      <w:tr>
        <w:tc>
          <w:tcPr>
            <w:tcW w:w="2250" w:type="dxa"/>
          </w:tcPr>
          <w:p>
            <w:pPr>
              <w:jc w:val="center"/>
            </w:pPr>
            <w:r>
              <w:rPr>
                <w:sz w:val="20"/>
                <w:szCs w:val="20"/>
              </w:rPr>
              <w:t>Healthcare Leadership</w:t>
            </w:r>
          </w:p>
        </w:tc>
        <w:tc>
          <w:tcPr>
            <w:tcW w:w="2250" w:type="dxa"/>
          </w:tcPr>
          <w:p>
            <w:pPr>
              <w:jc w:val="center"/>
            </w:pPr>
            <w:r>
              <w:rPr>
                <w:sz w:val="20"/>
                <w:szCs w:val="20"/>
              </w:rPr>
              <w:t>Value-based care, provider operations</w:t>
            </w:r>
          </w:p>
        </w:tc>
        <w:tc>
          <w:tcPr>
            <w:tcW w:w="2250" w:type="dxa"/>
          </w:tcPr>
          <w:p>
            <w:pPr>
              <w:jc w:val="center"/>
            </w:pPr>
            <w:r>
              <w:rPr>
                <w:sz w:val="20"/>
                <w:szCs w:val="20"/>
              </w:rPr>
              <w:t>Develop AI adoption strategies</w:t>
            </w:r>
          </w:p>
        </w:tc>
        <w:tc>
          <w:tcPr>
            <w:tcW w:w="2250" w:type="dxa"/>
          </w:tcPr>
          <w:p>
            <w:pPr>
              <w:jc w:val="center"/>
            </w:pPr>
            <w:r>
              <w:rPr>
                <w:sz w:val="20"/>
                <w:szCs w:val="20"/>
              </w:rPr>
              <w:t>Strategic planning simulation for AI rollout</w:t>
            </w:r>
          </w:p>
        </w:tc>
      </w:tr>
      <w:tr>
        <w:tc>
          <w:tcPr>
            <w:tcW w:w="2250" w:type="dxa"/>
          </w:tcPr>
          <w:p>
            <w:pPr>
              <w:jc w:val="center"/>
            </w:pPr>
            <w:r>
              <w:rPr>
                <w:sz w:val="20"/>
                <w:szCs w:val="20"/>
              </w:rPr>
              <w:t>Healthcare Leadership</w:t>
            </w:r>
          </w:p>
        </w:tc>
        <w:tc>
          <w:tcPr>
            <w:tcW w:w="2250" w:type="dxa"/>
          </w:tcPr>
          <w:p>
            <w:pPr>
              <w:jc w:val="center"/>
            </w:pPr>
            <w:r>
              <w:rPr>
                <w:sz w:val="20"/>
                <w:szCs w:val="20"/>
              </w:rPr>
              <w:t>Payer dynamics, life sciences strategy</w:t>
            </w:r>
          </w:p>
        </w:tc>
        <w:tc>
          <w:tcPr>
            <w:tcW w:w="2250" w:type="dxa"/>
          </w:tcPr>
          <w:p>
            <w:pPr>
              <w:jc w:val="center"/>
            </w:pPr>
            <w:r>
              <w:rPr>
                <w:sz w:val="20"/>
                <w:szCs w:val="20"/>
              </w:rPr>
              <w:t>Evaluate AI vendor proposals</w:t>
            </w:r>
          </w:p>
        </w:tc>
        <w:tc>
          <w:tcPr>
            <w:tcW w:w="2250" w:type="dxa"/>
          </w:tcPr>
          <w:p>
            <w:pPr>
              <w:jc w:val="center"/>
            </w:pPr>
            <w:r>
              <w:rPr>
                <w:sz w:val="20"/>
                <w:szCs w:val="20"/>
              </w:rPr>
              <w:t>Vendor evaluation exercise with real RFPs</w:t>
            </w:r>
          </w:p>
        </w:tc>
      </w:tr>
      <w:tr>
        <w:tc>
          <w:tcPr>
            <w:tcW w:w="2250" w:type="dxa"/>
          </w:tcPr>
          <w:p>
            <w:pPr>
              <w:jc w:val="center"/>
            </w:pPr>
            <w:r>
              <w:rPr>
                <w:sz w:val="20"/>
                <w:szCs w:val="20"/>
              </w:rPr>
              <w:t>Ethics and Governance</w:t>
            </w:r>
          </w:p>
        </w:tc>
        <w:tc>
          <w:tcPr>
            <w:tcW w:w="2250" w:type="dxa"/>
          </w:tcPr>
          <w:p>
            <w:pPr>
              <w:jc w:val="center"/>
            </w:pPr>
            <w:r>
              <w:rPr>
                <w:sz w:val="20"/>
                <w:szCs w:val="20"/>
              </w:rPr>
              <w:t>Privacy, bias, regulatory compliance</w:t>
            </w:r>
          </w:p>
        </w:tc>
        <w:tc>
          <w:tcPr>
            <w:tcW w:w="2250" w:type="dxa"/>
          </w:tcPr>
          <w:p>
            <w:pPr>
              <w:jc w:val="center"/>
            </w:pPr>
            <w:r>
              <w:rPr>
                <w:sz w:val="20"/>
                <w:szCs w:val="20"/>
              </w:rPr>
              <w:t>Design governance frameworks</w:t>
            </w:r>
          </w:p>
        </w:tc>
        <w:tc>
          <w:tcPr>
            <w:tcW w:w="2250" w:type="dxa"/>
          </w:tcPr>
          <w:p>
            <w:pPr>
              <w:jc w:val="center"/>
            </w:pPr>
            <w:r>
              <w:rPr>
                <w:sz w:val="20"/>
                <w:szCs w:val="20"/>
              </w:rPr>
              <w:t>Creating AI ethics board charter</w:t>
            </w:r>
          </w:p>
        </w:tc>
      </w:tr>
      <w:tr>
        <w:tc>
          <w:tcPr>
            <w:tcW w:w="2250" w:type="dxa"/>
          </w:tcPr>
          <w:p>
            <w:pPr>
              <w:jc w:val="center"/>
            </w:pPr>
            <w:r>
              <w:rPr>
                <w:sz w:val="20"/>
                <w:szCs w:val="20"/>
              </w:rPr>
              <w:t>Ethics and Governance</w:t>
            </w:r>
          </w:p>
        </w:tc>
        <w:tc>
          <w:tcPr>
            <w:tcW w:w="2250" w:type="dxa"/>
          </w:tcPr>
          <w:p>
            <w:pPr>
              <w:jc w:val="center"/>
            </w:pPr>
            <w:r>
              <w:rPr>
                <w:sz w:val="20"/>
                <w:szCs w:val="20"/>
              </w:rPr>
              <w:t>Explainability, fairness, accountability</w:t>
            </w:r>
          </w:p>
        </w:tc>
        <w:tc>
          <w:tcPr>
            <w:tcW w:w="2250" w:type="dxa"/>
          </w:tcPr>
          <w:p>
            <w:pPr>
              <w:jc w:val="center"/>
            </w:pPr>
            <w:r>
              <w:rPr>
                <w:sz w:val="20"/>
                <w:szCs w:val="20"/>
              </w:rPr>
              <w:t>Conduct algorithmic impact assessments</w:t>
            </w:r>
          </w:p>
        </w:tc>
        <w:tc>
          <w:tcPr>
            <w:tcW w:w="2250" w:type="dxa"/>
          </w:tcPr>
          <w:p>
            <w:pPr>
              <w:jc w:val="center"/>
            </w:pPr>
            <w:r>
              <w:rPr>
                <w:sz w:val="20"/>
                <w:szCs w:val="20"/>
              </w:rPr>
              <w:t>Bias audit of clinical prediction tools</w:t>
            </w:r>
          </w:p>
        </w:tc>
      </w:tr>
    </w:tbl>
    <w:p xmlns:w="http://schemas.openxmlformats.org/wordprocessingml/2006/main">
      <w:pPr>
        <w:spacing w:after="200"/>
      </w:pPr>
    </w:p>
    <w:p xmlns:w="http://schemas.openxmlformats.org/wordprocessingml/2006/main">
      <w:pPr>
        <w:pStyle w:val="Heading2"/>
        <w:jc w:val="start"/>
        <w:spacing w:after="240"/>
      </w:pPr>
      <w:r>
        <w:rPr>
          <w:b/>
          <w:sz w:val="28"/>
          <w:szCs w:val="28"/>
        </w:rPr>
        <w:t xml:space="preserve">2.3. Innovative Pedagogical Approaches</w:t>
      </w:r>
    </w:p>
    <w:p xmlns:w="http://schemas.openxmlformats.org/wordprocessingml/2006/main">
      <w:pPr>
        <w:pStyle w:val="Heading3"/>
        <w:jc w:val="start"/>
        <w:spacing w:after="240"/>
      </w:pPr>
      <w:r>
        <w:rPr>
          <w:b/>
          <w:sz w:val="26"/>
          <w:szCs w:val="26"/>
        </w:rPr>
        <w:t xml:space="preserve">2.3.1. Experiential Learning with AI-Driven Simulations</w:t>
      </w:r>
    </w:p>
    <w:p xmlns:w="http://schemas.openxmlformats.org/wordprocessingml/2006/main">
      <w:pPr>
        <w:jc w:val="both"/>
        <w:spacing w:after="200"/>
      </w:pPr>
      <w:r>
        <w:rPr>
          <w:sz w:val="24"/>
          <w:szCs w:val="24"/>
        </w:rPr>
        <w:t xml:space="preserve">Experiential learning represents the most effective pedagogical approach for developing the judgment and decision-making capabilities required for healthcare AI leadership, providing students with opportunities to practice complex scenarios in psychologically safe environments [31, 45]. As shown in Figure 4, the experiential learning model encompasses three concentric layers: core knowledge acquisition (innermost ring), skill application through structured exercises (middle ring), and authentic problem-solving in realistic simulations (outer ring), with learning progressing outward from foundational understanding to situated practice [32, 46]. AI-driven virtual reality (VR) simulations enable students to experience high-stakes scenarios including cybersecurity breaches affecting clinical systems, AI diagnostic errors requiring real-time response, regulatory audits of algorithmic decision-making, and ethical dilemmas involving algorithmic bias detection in patient populations [33, 47].</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6"/>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4. Experiential learning model for healthcare AI education showing three concentric layers: core knowledge (center), skill application (middle), and authentic problem-solving (outer), with directional arrows indicating progressive learning from foundational concepts to realistic simulations.</w:t>
      </w:r>
    </w:p>
    <w:p xmlns:w="http://schemas.openxmlformats.org/wordprocessingml/2006/main">
      <w:pPr>
        <w:jc w:val="both"/>
        <w:spacing w:after="200"/>
      </w:pPr>
      <w:r>
        <w:rPr>
          <w:sz w:val="24"/>
          <w:szCs w:val="24"/>
        </w:rPr>
        <w:t xml:space="preserve">Case-based learning with real-world healthcare business problems provides another powerful experiential modality, enabling students to analyze actual implementation successes and failures, develop strategic recommendations, and practice defending decisions before simulated stakeholder panels [34, 48]. Cases drawn from documented implementations including Epic's sepsis prediction algorithm (illustrating validation challenges), IBM Watson Health (demonstrating the gap between AI potential and clinical reality), and successful deployments at institutions like Mayo Clinic and Geisinger (exemplifying effective change management) provide rich material for classroom discussion and analysis [35, 49]. The pedagogical value of failure cases is particularly high, as they illuminate the organizational, ethical, and strategic pitfalls that pure technical education overlooks [36, 50].</w:t>
      </w:r>
    </w:p>
    <w:p xmlns:w="http://schemas.openxmlformats.org/wordprocessingml/2006/main">
      <w:pPr>
        <w:jc w:val="both"/>
        <w:spacing w:after="200"/>
      </w:pPr>
      <w:r>
        <w:rPr>
          <w:sz w:val="24"/>
          <w:szCs w:val="24"/>
        </w:rPr>
        <w:t xml:space="preserve">Collaborative learning structures that pair students from different professional backgrounds (clinicians in executive MBA programs working alongside traditional MBA students, health informatics students collaborating with finance concentrators) create authentic interdisciplinary dynamics that mirror real-world healthcare AI implementation teams [37, 51]. These heterogeneous teams develop shared vocabulary, mutual respect for different expertise domains, and practical experience in the translation challenges that plague siloed organizations where technical, clinical, and business functions operate independently [38, 52]. Assessment of team-based projects should evaluate both individual contributions and collective performance, including the quality of interdisciplinary integration, stakeholder communication artifacts, and implementation feasibility assessments that demonstrate genuine synthesis of diverse perspectives [39, 53].</w:t>
      </w:r>
    </w:p>
    <w:p xmlns:w="http://schemas.openxmlformats.org/wordprocessingml/2006/main">
      <w:pPr>
        <w:pStyle w:val="Heading3"/>
        <w:jc w:val="start"/>
        <w:spacing w:after="240"/>
      </w:pPr>
      <w:r>
        <w:rPr>
          <w:b/>
          <w:sz w:val="26"/>
          <w:szCs w:val="26"/>
        </w:rPr>
        <w:t xml:space="preserve">2.3.2. Hands-On Analytics with Low-Code Platforms</w:t>
      </w:r>
    </w:p>
    <w:p xmlns:w="http://schemas.openxmlformats.org/wordprocessingml/2006/main">
      <w:pPr>
        <w:jc w:val="both"/>
        <w:spacing w:after="200"/>
      </w:pPr>
      <w:r>
        <w:rPr>
          <w:sz w:val="24"/>
          <w:szCs w:val="24"/>
        </w:rPr>
        <w:t xml:space="preserve">Democratizing machine learning through low-code and no-code platforms enables business students without programming backgrounds to engage directly with the analytical process, building intuitive understanding of how algorithms work with data that cannot be achieved through lectures alone [37, 51]. As illustrated in Figure 5, the low-code analytics workflow guides students through visual, drag-and-drop interfaces for data import, preprocessing (handling missing values, feature engineering, normalization), model selection and training, evaluation (cross-validation, ROC curves, confusion matrices), and deployment, with each stage providing immediate visual feedback that reinforces conceptual understanding [38, 52]. Platforms such as KNIME, RapidMiner, DataRobot, and Google AutoML provide progressively complex environments that scale from introductory exercises to capstone projects involving real healthcare datasets [39, 53].</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7"/>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5. Low-code analytics platform workflow for business students showing visual pipeline stages (data import, preparation, modeling, evaluation, deployment), user interaction points, and output generation for healthcare prediction tasks.</w:t>
      </w:r>
    </w:p>
    <w:p xmlns:w="http://schemas.openxmlformats.org/wordprocessingml/2006/main">
      <w:pPr>
        <w:jc w:val="both"/>
        <w:spacing w:after="200"/>
      </w:pPr>
      <w:r>
        <w:rPr>
          <w:sz w:val="24"/>
          <w:szCs w:val="24"/>
        </w:rPr>
        <w:t xml:space="preserve">Project-based learning assignments challenge students to solve tangible healthcare business problems using these platforms, such as predicting 30-day hospital readmission risk to inform discharge planning interventions, classifying patient sentiment from clinical encounter feedback to identify service improvement opportunities, or forecasting emergency department volume to optimize staffing schedules [40, 54]. These projects develop not only technical skills but also the critical thinking required to assess whether model outputs are sufficiently reliable for the intended operational use, what monitoring systems should accompany deployment, and how to communicate model limitations to clinical stakeholders who may either over-trust or dismiss algorithmic recommendations [41, 55]. Table 3 presents a comparison of low-code platforms suitable for healthcare AI education, evaluating their capabilities against key pedagogical requirements [37, 42, 51, 56].</w:t>
      </w:r>
    </w:p>
    <w:p xmlns:w="http://schemas.openxmlformats.org/wordprocessingml/2006/main">
      <w:pPr>
        <w:jc w:val="center"/>
        <w:spacing w:before="240" w:after="120"/>
      </w:pPr>
      <w:r>
        <w:rPr>
          <w:b/>
          <w:sz w:val="20"/>
          <w:szCs w:val="20"/>
        </w:rPr>
        <w:t xml:space="preserve">Table 3. Comparison of low-code analytics platforms for healthcare AI business education [37, 42, 51, 56].</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Platform</w:t>
            </w:r>
          </w:p>
        </w:tc>
        <w:tc>
          <w:tcPr>
            <w:tcW w:w="1800" w:type="dxa"/>
            <w:shd w:val="clear" w:color="auto" w:fill="D9D9D9"/>
          </w:tcPr>
          <w:p>
            <w:pPr>
              <w:jc w:val="center"/>
            </w:pPr>
            <w:r>
              <w:rPr>
                <w:b/>
                <w:sz w:val="20"/>
                <w:szCs w:val="20"/>
              </w:rPr>
              <w:t>Learning Curve</w:t>
            </w:r>
          </w:p>
        </w:tc>
        <w:tc>
          <w:tcPr>
            <w:tcW w:w="1800" w:type="dxa"/>
            <w:shd w:val="clear" w:color="auto" w:fill="D9D9D9"/>
          </w:tcPr>
          <w:p>
            <w:pPr>
              <w:jc w:val="center"/>
            </w:pPr>
            <w:r>
              <w:rPr>
                <w:b/>
                <w:sz w:val="20"/>
                <w:szCs w:val="20"/>
              </w:rPr>
              <w:t>Healthcare Data Support</w:t>
            </w:r>
          </w:p>
        </w:tc>
        <w:tc>
          <w:tcPr>
            <w:tcW w:w="1800" w:type="dxa"/>
            <w:shd w:val="clear" w:color="auto" w:fill="D9D9D9"/>
          </w:tcPr>
          <w:p>
            <w:pPr>
              <w:jc w:val="center"/>
            </w:pPr>
            <w:r>
              <w:rPr>
                <w:b/>
                <w:sz w:val="20"/>
                <w:szCs w:val="20"/>
              </w:rPr>
              <w:t>Collaboration Features</w:t>
            </w:r>
          </w:p>
        </w:tc>
        <w:tc>
          <w:tcPr>
            <w:tcW w:w="1800" w:type="dxa"/>
            <w:shd w:val="clear" w:color="auto" w:fill="D9D9D9"/>
          </w:tcPr>
          <w:p>
            <w:pPr>
              <w:jc w:val="center"/>
            </w:pPr>
            <w:r>
              <w:rPr>
                <w:b/>
                <w:sz w:val="20"/>
                <w:szCs w:val="20"/>
              </w:rPr>
              <w:t>Cost for Education</w:t>
            </w:r>
          </w:p>
        </w:tc>
      </w:tr>
      <w:tr>
        <w:tc>
          <w:tcPr>
            <w:tcW w:w="1800" w:type="dxa"/>
          </w:tcPr>
          <w:p>
            <w:pPr>
              <w:jc w:val="center"/>
            </w:pPr>
            <w:r>
              <w:rPr>
                <w:sz w:val="20"/>
                <w:szCs w:val="20"/>
              </w:rPr>
              <w:t>KNIME</w:t>
            </w:r>
          </w:p>
        </w:tc>
        <w:tc>
          <w:tcPr>
            <w:tcW w:w="1800" w:type="dxa"/>
          </w:tcPr>
          <w:p>
            <w:pPr>
              <w:jc w:val="center"/>
            </w:pPr>
            <w:r>
              <w:rPr>
                <w:sz w:val="20"/>
                <w:szCs w:val="20"/>
              </w:rPr>
              <w:t>Moderate</w:t>
            </w:r>
          </w:p>
        </w:tc>
        <w:tc>
          <w:tcPr>
            <w:tcW w:w="1800" w:type="dxa"/>
          </w:tcPr>
          <w:p>
            <w:pPr>
              <w:jc w:val="center"/>
            </w:pPr>
            <w:r>
              <w:rPr>
                <w:sz w:val="20"/>
                <w:szCs w:val="20"/>
              </w:rPr>
              <w:t>Strong (FHIR, HL7)</w:t>
            </w:r>
          </w:p>
        </w:tc>
        <w:tc>
          <w:tcPr>
            <w:tcW w:w="1800" w:type="dxa"/>
          </w:tcPr>
          <w:p>
            <w:pPr>
              <w:jc w:val="center"/>
            </w:pPr>
            <w:r>
              <w:rPr>
                <w:sz w:val="20"/>
                <w:szCs w:val="20"/>
              </w:rPr>
              <w:t>Good (shared workflows)</w:t>
            </w:r>
          </w:p>
        </w:tc>
        <w:tc>
          <w:tcPr>
            <w:tcW w:w="1800" w:type="dxa"/>
          </w:tcPr>
          <w:p>
            <w:pPr>
              <w:jc w:val="center"/>
            </w:pPr>
            <w:r>
              <w:rPr>
                <w:sz w:val="20"/>
                <w:szCs w:val="20"/>
              </w:rPr>
              <w:t>Free (open source)</w:t>
            </w:r>
          </w:p>
        </w:tc>
      </w:tr>
      <w:tr>
        <w:tc>
          <w:tcPr>
            <w:tcW w:w="1800" w:type="dxa"/>
          </w:tcPr>
          <w:p>
            <w:pPr>
              <w:jc w:val="center"/>
            </w:pPr>
            <w:r>
              <w:rPr>
                <w:sz w:val="20"/>
                <w:szCs w:val="20"/>
              </w:rPr>
              <w:t>RapidMiner</w:t>
            </w:r>
          </w:p>
        </w:tc>
        <w:tc>
          <w:tcPr>
            <w:tcW w:w="1800" w:type="dxa"/>
          </w:tcPr>
          <w:p>
            <w:pPr>
              <w:jc w:val="center"/>
            </w:pPr>
            <w:r>
              <w:rPr>
                <w:sz w:val="20"/>
                <w:szCs w:val="20"/>
              </w:rPr>
              <w:t>Moderate</w:t>
            </w:r>
          </w:p>
        </w:tc>
        <w:tc>
          <w:tcPr>
            <w:tcW w:w="1800" w:type="dxa"/>
          </w:tcPr>
          <w:p>
            <w:pPr>
              <w:jc w:val="center"/>
            </w:pPr>
            <w:r>
              <w:rPr>
                <w:sz w:val="20"/>
                <w:szCs w:val="20"/>
              </w:rPr>
              <w:t>Good (custom connectors)</w:t>
            </w:r>
          </w:p>
        </w:tc>
        <w:tc>
          <w:tcPr>
            <w:tcW w:w="1800" w:type="dxa"/>
          </w:tcPr>
          <w:p>
            <w:pPr>
              <w:jc w:val="center"/>
            </w:pPr>
            <w:r>
              <w:rPr>
                <w:sz w:val="20"/>
                <w:szCs w:val="20"/>
              </w:rPr>
              <w:t>Good (team server)</w:t>
            </w:r>
          </w:p>
        </w:tc>
        <w:tc>
          <w:tcPr>
            <w:tcW w:w="1800" w:type="dxa"/>
          </w:tcPr>
          <w:p>
            <w:pPr>
              <w:jc w:val="center"/>
            </w:pPr>
            <w:r>
              <w:rPr>
                <w:sz w:val="20"/>
                <w:szCs w:val="20"/>
              </w:rPr>
              <w:t>Free educational license</w:t>
            </w:r>
          </w:p>
        </w:tc>
      </w:tr>
      <w:tr>
        <w:tc>
          <w:tcPr>
            <w:tcW w:w="1800" w:type="dxa"/>
          </w:tcPr>
          <w:p>
            <w:pPr>
              <w:jc w:val="center"/>
            </w:pPr>
            <w:r>
              <w:rPr>
                <w:sz w:val="20"/>
                <w:szCs w:val="20"/>
              </w:rPr>
              <w:t>DataRobot</w:t>
            </w:r>
          </w:p>
        </w:tc>
        <w:tc>
          <w:tcPr>
            <w:tcW w:w="1800" w:type="dxa"/>
          </w:tcPr>
          <w:p>
            <w:pPr>
              <w:jc w:val="center"/>
            </w:pPr>
            <w:r>
              <w:rPr>
                <w:sz w:val="20"/>
                <w:szCs w:val="20"/>
              </w:rPr>
              <w:t>Low</w:t>
            </w:r>
          </w:p>
        </w:tc>
        <w:tc>
          <w:tcPr>
            <w:tcW w:w="1800" w:type="dxa"/>
          </w:tcPr>
          <w:p>
            <w:pPr>
              <w:jc w:val="center"/>
            </w:pPr>
            <w:r>
              <w:rPr>
                <w:sz w:val="20"/>
                <w:szCs w:val="20"/>
              </w:rPr>
              <w:t>Excellent (pre-built templates)</w:t>
            </w:r>
          </w:p>
        </w:tc>
        <w:tc>
          <w:tcPr>
            <w:tcW w:w="1800" w:type="dxa"/>
          </w:tcPr>
          <w:p>
            <w:pPr>
              <w:jc w:val="center"/>
            </w:pPr>
            <w:r>
              <w:rPr>
                <w:sz w:val="20"/>
                <w:szCs w:val="20"/>
              </w:rPr>
              <w:t>Excellent (enterprise)</w:t>
            </w:r>
          </w:p>
        </w:tc>
        <w:tc>
          <w:tcPr>
            <w:tcW w:w="1800" w:type="dxa"/>
          </w:tcPr>
          <w:p>
            <w:pPr>
              <w:jc w:val="center"/>
            </w:pPr>
            <w:r>
              <w:rPr>
                <w:sz w:val="20"/>
                <w:szCs w:val="20"/>
              </w:rPr>
              <w:t>Educational pricing</w:t>
            </w:r>
          </w:p>
        </w:tc>
      </w:tr>
      <w:tr>
        <w:tc>
          <w:tcPr>
            <w:tcW w:w="1800" w:type="dxa"/>
          </w:tcPr>
          <w:p>
            <w:pPr>
              <w:jc w:val="center"/>
            </w:pPr>
            <w:r>
              <w:rPr>
                <w:sz w:val="20"/>
                <w:szCs w:val="20"/>
              </w:rPr>
              <w:t>Google AutoML</w:t>
            </w:r>
          </w:p>
        </w:tc>
        <w:tc>
          <w:tcPr>
            <w:tcW w:w="1800" w:type="dxa"/>
          </w:tcPr>
          <w:p>
            <w:pPr>
              <w:jc w:val="center"/>
            </w:pPr>
            <w:r>
              <w:rPr>
                <w:sz w:val="20"/>
                <w:szCs w:val="20"/>
              </w:rPr>
              <w:t>Low</w:t>
            </w:r>
          </w:p>
        </w:tc>
        <w:tc>
          <w:tcPr>
            <w:tcW w:w="1800" w:type="dxa"/>
          </w:tcPr>
          <w:p>
            <w:pPr>
              <w:jc w:val="center"/>
            </w:pPr>
            <w:r>
              <w:rPr>
                <w:sz w:val="20"/>
                <w:szCs w:val="20"/>
              </w:rPr>
              <w:t>Moderate</w:t>
            </w:r>
          </w:p>
        </w:tc>
        <w:tc>
          <w:tcPr>
            <w:tcW w:w="1800" w:type="dxa"/>
          </w:tcPr>
          <w:p>
            <w:pPr>
              <w:jc w:val="center"/>
            </w:pPr>
            <w:r>
              <w:rPr>
                <w:sz w:val="20"/>
                <w:szCs w:val="20"/>
              </w:rPr>
              <w:t>Good (cloud-based)</w:t>
            </w:r>
          </w:p>
        </w:tc>
        <w:tc>
          <w:tcPr>
            <w:tcW w:w="1800" w:type="dxa"/>
          </w:tcPr>
          <w:p>
            <w:pPr>
              <w:jc w:val="center"/>
            </w:pPr>
            <w:r>
              <w:rPr>
                <w:sz w:val="20"/>
                <w:szCs w:val="20"/>
              </w:rPr>
              <w:t>Free credits available</w:t>
            </w:r>
          </w:p>
        </w:tc>
      </w:tr>
      <w:tr>
        <w:tc>
          <w:tcPr>
            <w:tcW w:w="1800" w:type="dxa"/>
          </w:tcPr>
          <w:p>
            <w:pPr>
              <w:jc w:val="center"/>
            </w:pPr>
            <w:r>
              <w:rPr>
                <w:sz w:val="20"/>
                <w:szCs w:val="20"/>
              </w:rPr>
              <w:t>Microsoft Azure ML</w:t>
            </w:r>
          </w:p>
        </w:tc>
        <w:tc>
          <w:tcPr>
            <w:tcW w:w="1800" w:type="dxa"/>
          </w:tcPr>
          <w:p>
            <w:pPr>
              <w:jc w:val="center"/>
            </w:pPr>
            <w:r>
              <w:rPr>
                <w:sz w:val="20"/>
                <w:szCs w:val="20"/>
              </w:rPr>
              <w:t>Moderate-High</w:t>
            </w:r>
          </w:p>
        </w:tc>
        <w:tc>
          <w:tcPr>
            <w:tcW w:w="1800" w:type="dxa"/>
          </w:tcPr>
          <w:p>
            <w:pPr>
              <w:jc w:val="center"/>
            </w:pPr>
            <w:r>
              <w:rPr>
                <w:sz w:val="20"/>
                <w:szCs w:val="20"/>
              </w:rPr>
              <w:t>Excellent (FHIR native)</w:t>
            </w:r>
          </w:p>
        </w:tc>
        <w:tc>
          <w:tcPr>
            <w:tcW w:w="1800" w:type="dxa"/>
          </w:tcPr>
          <w:p>
            <w:pPr>
              <w:jc w:val="center"/>
            </w:pPr>
            <w:r>
              <w:rPr>
                <w:sz w:val="20"/>
                <w:szCs w:val="20"/>
              </w:rPr>
              <w:t>Excellent</w:t>
            </w:r>
          </w:p>
        </w:tc>
        <w:tc>
          <w:tcPr>
            <w:tcW w:w="1800" w:type="dxa"/>
          </w:tcPr>
          <w:p>
            <w:pPr>
              <w:jc w:val="center"/>
            </w:pPr>
            <w:r>
              <w:rPr>
                <w:sz w:val="20"/>
                <w:szCs w:val="20"/>
              </w:rPr>
              <w:t>Educational grants</w:t>
            </w:r>
          </w:p>
        </w:tc>
      </w:tr>
      <w:tr>
        <w:tc>
          <w:tcPr>
            <w:tcW w:w="1800" w:type="dxa"/>
          </w:tcPr>
          <w:p>
            <w:pPr>
              <w:jc w:val="center"/>
            </w:pPr>
            <w:r>
              <w:rPr>
                <w:sz w:val="20"/>
                <w:szCs w:val="20"/>
              </w:rPr>
              <w:t>H2O.ai</w:t>
            </w:r>
          </w:p>
        </w:tc>
        <w:tc>
          <w:tcPr>
            <w:tcW w:w="1800" w:type="dxa"/>
          </w:tcPr>
          <w:p>
            <w:pPr>
              <w:jc w:val="center"/>
            </w:pPr>
            <w:r>
              <w:rPr>
                <w:sz w:val="20"/>
                <w:szCs w:val="20"/>
              </w:rPr>
              <w:t>Moderate</w:t>
            </w:r>
          </w:p>
        </w:tc>
        <w:tc>
          <w:tcPr>
            <w:tcW w:w="1800" w:type="dxa"/>
          </w:tcPr>
          <w:p>
            <w:pPr>
              <w:jc w:val="center"/>
            </w:pPr>
            <w:r>
              <w:rPr>
                <w:sz w:val="20"/>
                <w:szCs w:val="20"/>
              </w:rPr>
              <w:t>Good</w:t>
            </w:r>
          </w:p>
        </w:tc>
        <w:tc>
          <w:tcPr>
            <w:tcW w:w="1800" w:type="dxa"/>
          </w:tcPr>
          <w:p>
            <w:pPr>
              <w:jc w:val="center"/>
            </w:pPr>
            <w:r>
              <w:rPr>
                <w:sz w:val="20"/>
                <w:szCs w:val="20"/>
              </w:rPr>
              <w:t>Moderate</w:t>
            </w:r>
          </w:p>
        </w:tc>
        <w:tc>
          <w:tcPr>
            <w:tcW w:w="1800" w:type="dxa"/>
          </w:tcPr>
          <w:p>
            <w:pPr>
              <w:jc w:val="center"/>
            </w:pPr>
            <w:r>
              <w:rPr>
                <w:sz w:val="20"/>
                <w:szCs w:val="20"/>
              </w:rPr>
              <w:t>Free (open source core)</w:t>
            </w:r>
          </w:p>
        </w:tc>
      </w:tr>
    </w:tbl>
    <w:p xmlns:w="http://schemas.openxmlformats.org/wordprocessingml/2006/main">
      <w:pPr>
        <w:spacing w:after="200"/>
      </w:pPr>
    </w:p>
    <w:p xmlns:w="http://schemas.openxmlformats.org/wordprocessingml/2006/main">
      <w:pPr>
        <w:pStyle w:val="Heading1"/>
        <w:jc w:val="start"/>
        <w:spacing w:after="240"/>
      </w:pPr>
      <w:r>
        <w:rPr>
          <w:b/>
          <w:sz w:val="32"/>
          <w:szCs w:val="32"/>
        </w:rPr>
        <w:t xml:space="preserve">3. Implementation Challenges and Ethical Dimensions</w:t>
      </w:r>
    </w:p>
    <w:p xmlns:w="http://schemas.openxmlformats.org/wordprocessingml/2006/main">
      <w:pPr>
        <w:pStyle w:val="Heading2"/>
        <w:jc w:val="start"/>
        <w:spacing w:after="240"/>
      </w:pPr>
      <w:r>
        <w:rPr>
          <w:b/>
          <w:sz w:val="28"/>
          <w:szCs w:val="28"/>
        </w:rPr>
        <w:t xml:space="preserve">3.1. Addressing Implementation Challenges</w:t>
      </w:r>
    </w:p>
    <w:p xmlns:w="http://schemas.openxmlformats.org/wordprocessingml/2006/main">
      <w:pPr>
        <w:pStyle w:val="Heading3"/>
        <w:jc w:val="start"/>
        <w:spacing w:after="240"/>
      </w:pPr>
      <w:r>
        <w:rPr>
          <w:b/>
          <w:sz w:val="26"/>
          <w:szCs w:val="26"/>
        </w:rPr>
        <w:t xml:space="preserve">3.1.1. Faculty Expertise and Development</w:t>
      </w:r>
    </w:p>
    <w:p xmlns:w="http://schemas.openxmlformats.org/wordprocessingml/2006/main">
      <w:pPr>
        <w:jc w:val="both"/>
        <w:spacing w:after="200"/>
      </w:pPr>
      <w:r>
        <w:rPr>
          <w:sz w:val="24"/>
          <w:szCs w:val="24"/>
        </w:rPr>
        <w:t xml:space="preserve">The most significant barrier to implementing healthcare AI curricula in business schools is the shortage of faculty members who combine expertise in business management, healthcare delivery systems, and AI/data science, as traditional academic career paths rarely develop this interdisciplinary profile [43, 57]. Solutions include establishing interdisciplinary teaching partnerships between business, medical, engineering, and information systems departments, enabling co-taught courses where faculty members contribute complementary domain expertise while learning from each other [44, 58]. Professional development programs offering intensive bootcamps in healthcare AI for business faculty (covering foundational ML concepts, healthcare data systems, and regulatory frameworks) can rapidly build baseline competency, supplemented by ongoing engagement with industry practitioners through advisory boards, visiting lectureships, and sabbatical placements at healthcare technology companies [45, 59].</w:t>
      </w:r>
    </w:p>
    <w:p xmlns:w="http://schemas.openxmlformats.org/wordprocessingml/2006/main">
      <w:pPr>
        <w:jc w:val="both"/>
        <w:spacing w:after="200"/>
      </w:pPr>
      <w:r>
        <w:rPr>
          <w:sz w:val="24"/>
          <w:szCs w:val="24"/>
        </w:rPr>
        <w:t xml:space="preserve">Team-teaching models where a data scientist, a healthcare executive, and a business strategist jointly deliver integrated courses provide students with authentic multi-perspective learning while developing faculty capabilities through peer learning [46, 60]. The creation of shared teaching resources including curated case repositories, pre-configured analytics environments, standardized datasets, and assessment rubrics reduces the preparation burden for individual faculty and ensures consistency across multiple course sections and institutions [47, 61]. Institutional incentives including tenure and promotion criteria that value interdisciplinary teaching innovation, reduced teaching loads during curriculum development periods, and research funding for pedagogical scholarship in AI education are essential for attracting and retaining faculty willing to invest in this demanding but critical educational domain [48, 62].</w:t>
      </w:r>
    </w:p>
    <w:p xmlns:w="http://schemas.openxmlformats.org/wordprocessingml/2006/main">
      <w:pPr>
        <w:pStyle w:val="Heading3"/>
        <w:jc w:val="start"/>
        <w:spacing w:after="240"/>
      </w:pPr>
      <w:r>
        <w:rPr>
          <w:b/>
          <w:sz w:val="26"/>
          <w:szCs w:val="26"/>
        </w:rPr>
        <w:t xml:space="preserve">3.1.2. Resource Accessibility and Dataset Challenges</w:t>
      </w:r>
    </w:p>
    <w:p xmlns:w="http://schemas.openxmlformats.org/wordprocessingml/2006/main">
      <w:pPr>
        <w:jc w:val="both"/>
        <w:spacing w:after="200"/>
      </w:pPr>
      <w:r>
        <w:rPr>
          <w:sz w:val="24"/>
          <w:szCs w:val="24"/>
        </w:rPr>
        <w:t xml:space="preserve">Sourcing appropriate healthcare datasets for educational use presents unique challenges at the intersection of realism, privacy, accessibility, and pedagogical utility [49, 63]. Real clinical datasets, while providing authentic learning experiences, require extensive de-identification, institutional review board approval, data use agreements, and secure computing environments that may be beyond the resources of many institutions [1, 15]. Synthetic data generation using tools such as Synthea (for patient trajectories), Faker (for demographic data), and generative adversarial networks (for imaging data) offers a promising alternative that preserves statistical properties and clinical plausibility while eliminating privacy concerns [2, 16]. The emergence of large language models capable of generating realistic synthetic clinical notes, radiology reports, and discharge summaries further expands the toolkit for creating privacy-safe educational datasets that capture the linguistic complexity and clinical nuance of real healthcare documentation [3, 17]. Publicly available datasets including MIMIC-III/IV (critical care), eICU (multi-center ICU), CMS claims data, and the CDC's Behavioral Risk Factor Surveillance System provide rich educational resources, although their complexity may require significant preprocessing to create pedagogically appropriate exercises [3, 17].</w:t>
      </w:r>
    </w:p>
    <w:p xmlns:w="http://schemas.openxmlformats.org/wordprocessingml/2006/main">
      <w:pPr>
        <w:jc w:val="both"/>
        <w:spacing w:after="200"/>
      </w:pPr>
      <w:r>
        <w:rPr>
          <w:sz w:val="24"/>
          <w:szCs w:val="24"/>
        </w:rPr>
        <w:t xml:space="preserve">Ensuring accessibility for students from diverse professional backgrounds, including those without quantitative training, requires scaffolded learning experiences that build confidence progressively, starting with structured tutorials using prepared datasets before advancing to open-ended projects requiring independent data sourcing and preparation [4, 18]. Multi-modal resource provision including video tutorials, interactive notebooks, step-by-step guides, and peer mentoring systems accommodates different learning styles and prior knowledge levels [5, 19]. Table 4 summarizes available healthcare datasets suitable for educational purposes, their characteristics, access requirements, and recommended pedagogical applications [1, 6, 15, 20].</w:t>
      </w:r>
    </w:p>
    <w:p xmlns:w="http://schemas.openxmlformats.org/wordprocessingml/2006/main">
      <w:pPr>
        <w:jc w:val="center"/>
        <w:spacing w:before="240" w:after="120"/>
      </w:pPr>
      <w:r>
        <w:rPr>
          <w:b/>
          <w:sz w:val="20"/>
          <w:szCs w:val="20"/>
        </w:rPr>
        <w:t xml:space="preserve">Table 4. Healthcare datasets suitable for business education with access requirements and recommended pedagogical applications [1, 6, 15, 20].</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Dataset</w:t>
            </w:r>
          </w:p>
        </w:tc>
        <w:tc>
          <w:tcPr>
            <w:tcW w:w="1800" w:type="dxa"/>
            <w:shd w:val="clear" w:color="auto" w:fill="D9D9D9"/>
          </w:tcPr>
          <w:p>
            <w:pPr>
              <w:jc w:val="center"/>
            </w:pPr>
            <w:r>
              <w:rPr>
                <w:b/>
                <w:sz w:val="20"/>
                <w:szCs w:val="20"/>
              </w:rPr>
              <w:t>Domain</w:t>
            </w:r>
          </w:p>
        </w:tc>
        <w:tc>
          <w:tcPr>
            <w:tcW w:w="1800" w:type="dxa"/>
            <w:shd w:val="clear" w:color="auto" w:fill="D9D9D9"/>
          </w:tcPr>
          <w:p>
            <w:pPr>
              <w:jc w:val="center"/>
            </w:pPr>
            <w:r>
              <w:rPr>
                <w:b/>
                <w:sz w:val="20"/>
                <w:szCs w:val="20"/>
              </w:rPr>
              <w:t>Size</w:t>
            </w:r>
          </w:p>
        </w:tc>
        <w:tc>
          <w:tcPr>
            <w:tcW w:w="1800" w:type="dxa"/>
            <w:shd w:val="clear" w:color="auto" w:fill="D9D9D9"/>
          </w:tcPr>
          <w:p>
            <w:pPr>
              <w:jc w:val="center"/>
            </w:pPr>
            <w:r>
              <w:rPr>
                <w:b/>
                <w:sz w:val="20"/>
                <w:szCs w:val="20"/>
              </w:rPr>
              <w:t>Access Requirements</w:t>
            </w:r>
          </w:p>
        </w:tc>
        <w:tc>
          <w:tcPr>
            <w:tcW w:w="1800" w:type="dxa"/>
            <w:shd w:val="clear" w:color="auto" w:fill="D9D9D9"/>
          </w:tcPr>
          <w:p>
            <w:pPr>
              <w:jc w:val="center"/>
            </w:pPr>
            <w:r>
              <w:rPr>
                <w:b/>
                <w:sz w:val="20"/>
                <w:szCs w:val="20"/>
              </w:rPr>
              <w:t>Pedagogical Use</w:t>
            </w:r>
          </w:p>
        </w:tc>
      </w:tr>
      <w:tr>
        <w:tc>
          <w:tcPr>
            <w:tcW w:w="1800" w:type="dxa"/>
          </w:tcPr>
          <w:p>
            <w:pPr>
              <w:jc w:val="center"/>
            </w:pPr>
            <w:r>
              <w:rPr>
                <w:sz w:val="20"/>
                <w:szCs w:val="20"/>
              </w:rPr>
              <w:t>MIMIC-IV</w:t>
            </w:r>
          </w:p>
        </w:tc>
        <w:tc>
          <w:tcPr>
            <w:tcW w:w="1800" w:type="dxa"/>
          </w:tcPr>
          <w:p>
            <w:pPr>
              <w:jc w:val="center"/>
            </w:pPr>
            <w:r>
              <w:rPr>
                <w:sz w:val="20"/>
                <w:szCs w:val="20"/>
              </w:rPr>
              <w:t>Critical care (EHR)</w:t>
            </w:r>
          </w:p>
        </w:tc>
        <w:tc>
          <w:tcPr>
            <w:tcW w:w="1800" w:type="dxa"/>
          </w:tcPr>
          <w:p>
            <w:pPr>
              <w:jc w:val="center"/>
            </w:pPr>
            <w:r>
              <w:rPr>
                <w:sz w:val="20"/>
                <w:szCs w:val="20"/>
              </w:rPr>
              <w:t>40,000+ patients</w:t>
            </w:r>
          </w:p>
        </w:tc>
        <w:tc>
          <w:tcPr>
            <w:tcW w:w="1800" w:type="dxa"/>
          </w:tcPr>
          <w:p>
            <w:pPr>
              <w:jc w:val="center"/>
            </w:pPr>
            <w:r>
              <w:rPr>
                <w:sz w:val="20"/>
                <w:szCs w:val="20"/>
              </w:rPr>
              <w:t>Credentialed access, ethics training</w:t>
            </w:r>
          </w:p>
        </w:tc>
        <w:tc>
          <w:tcPr>
            <w:tcW w:w="1800" w:type="dxa"/>
          </w:tcPr>
          <w:p>
            <w:pPr>
              <w:jc w:val="center"/>
            </w:pPr>
            <w:r>
              <w:rPr>
                <w:sz w:val="20"/>
                <w:szCs w:val="20"/>
              </w:rPr>
              <w:t>Predictive modeling, NLP on notes</w:t>
            </w:r>
          </w:p>
        </w:tc>
      </w:tr>
      <w:tr>
        <w:tc>
          <w:tcPr>
            <w:tcW w:w="1800" w:type="dxa"/>
          </w:tcPr>
          <w:p>
            <w:pPr>
              <w:jc w:val="center"/>
            </w:pPr>
            <w:r>
              <w:rPr>
                <w:sz w:val="20"/>
                <w:szCs w:val="20"/>
              </w:rPr>
              <w:t>Synthea (synthetic)</w:t>
            </w:r>
          </w:p>
        </w:tc>
        <w:tc>
          <w:tcPr>
            <w:tcW w:w="1800" w:type="dxa"/>
          </w:tcPr>
          <w:p>
            <w:pPr>
              <w:jc w:val="center"/>
            </w:pPr>
            <w:r>
              <w:rPr>
                <w:sz w:val="20"/>
                <w:szCs w:val="20"/>
              </w:rPr>
              <w:t>General population</w:t>
            </w:r>
          </w:p>
        </w:tc>
        <w:tc>
          <w:tcPr>
            <w:tcW w:w="1800" w:type="dxa"/>
          </w:tcPr>
          <w:p>
            <w:pPr>
              <w:jc w:val="center"/>
            </w:pPr>
            <w:r>
              <w:rPr>
                <w:sz w:val="20"/>
                <w:szCs w:val="20"/>
              </w:rPr>
              <w:t>Unlimited generation</w:t>
            </w:r>
          </w:p>
        </w:tc>
        <w:tc>
          <w:tcPr>
            <w:tcW w:w="1800" w:type="dxa"/>
          </w:tcPr>
          <w:p>
            <w:pPr>
              <w:jc w:val="center"/>
            </w:pPr>
            <w:r>
              <w:rPr>
                <w:sz w:val="20"/>
                <w:szCs w:val="20"/>
              </w:rPr>
              <w:t>Open access, no restrictions</w:t>
            </w:r>
          </w:p>
        </w:tc>
        <w:tc>
          <w:tcPr>
            <w:tcW w:w="1800" w:type="dxa"/>
          </w:tcPr>
          <w:p>
            <w:pPr>
              <w:jc w:val="center"/>
            </w:pPr>
            <w:r>
              <w:rPr>
                <w:sz w:val="20"/>
                <w:szCs w:val="20"/>
              </w:rPr>
              <w:t>Introductory ML exercises</w:t>
            </w:r>
          </w:p>
        </w:tc>
      </w:tr>
      <w:tr>
        <w:tc>
          <w:tcPr>
            <w:tcW w:w="1800" w:type="dxa"/>
          </w:tcPr>
          <w:p>
            <w:pPr>
              <w:jc w:val="center"/>
            </w:pPr>
            <w:r>
              <w:rPr>
                <w:sz w:val="20"/>
                <w:szCs w:val="20"/>
              </w:rPr>
              <w:t>CMS Public Use Files</w:t>
            </w:r>
          </w:p>
        </w:tc>
        <w:tc>
          <w:tcPr>
            <w:tcW w:w="1800" w:type="dxa"/>
          </w:tcPr>
          <w:p>
            <w:pPr>
              <w:jc w:val="center"/>
            </w:pPr>
            <w:r>
              <w:rPr>
                <w:sz w:val="20"/>
                <w:szCs w:val="20"/>
              </w:rPr>
              <w:t>Medicare claims</w:t>
            </w:r>
          </w:p>
        </w:tc>
        <w:tc>
          <w:tcPr>
            <w:tcW w:w="1800" w:type="dxa"/>
          </w:tcPr>
          <w:p>
            <w:pPr>
              <w:jc w:val="center"/>
            </w:pPr>
            <w:r>
              <w:rPr>
                <w:sz w:val="20"/>
                <w:szCs w:val="20"/>
              </w:rPr>
              <w:t>Millions of records</w:t>
            </w:r>
          </w:p>
        </w:tc>
        <w:tc>
          <w:tcPr>
            <w:tcW w:w="1800" w:type="dxa"/>
          </w:tcPr>
          <w:p>
            <w:pPr>
              <w:jc w:val="center"/>
            </w:pPr>
            <w:r>
              <w:rPr>
                <w:sz w:val="20"/>
                <w:szCs w:val="20"/>
              </w:rPr>
              <w:t>Free download</w:t>
            </w:r>
          </w:p>
        </w:tc>
        <w:tc>
          <w:tcPr>
            <w:tcW w:w="1800" w:type="dxa"/>
          </w:tcPr>
          <w:p>
            <w:pPr>
              <w:jc w:val="center"/>
            </w:pPr>
            <w:r>
              <w:rPr>
                <w:sz w:val="20"/>
                <w:szCs w:val="20"/>
              </w:rPr>
              <w:t>Population health, cost analysis</w:t>
            </w:r>
          </w:p>
        </w:tc>
      </w:tr>
      <w:tr>
        <w:tc>
          <w:tcPr>
            <w:tcW w:w="1800" w:type="dxa"/>
          </w:tcPr>
          <w:p>
            <w:pPr>
              <w:jc w:val="center"/>
            </w:pPr>
            <w:r>
              <w:rPr>
                <w:sz w:val="20"/>
                <w:szCs w:val="20"/>
              </w:rPr>
              <w:t>eICU</w:t>
            </w:r>
          </w:p>
        </w:tc>
        <w:tc>
          <w:tcPr>
            <w:tcW w:w="1800" w:type="dxa"/>
          </w:tcPr>
          <w:p>
            <w:pPr>
              <w:jc w:val="center"/>
            </w:pPr>
            <w:r>
              <w:rPr>
                <w:sz w:val="20"/>
                <w:szCs w:val="20"/>
              </w:rPr>
              <w:t>Multi-center ICU</w:t>
            </w:r>
          </w:p>
        </w:tc>
        <w:tc>
          <w:tcPr>
            <w:tcW w:w="1800" w:type="dxa"/>
          </w:tcPr>
          <w:p>
            <w:pPr>
              <w:jc w:val="center"/>
            </w:pPr>
            <w:r>
              <w:rPr>
                <w:sz w:val="20"/>
                <w:szCs w:val="20"/>
              </w:rPr>
              <w:t>200,000+ admissions</w:t>
            </w:r>
          </w:p>
        </w:tc>
        <w:tc>
          <w:tcPr>
            <w:tcW w:w="1800" w:type="dxa"/>
          </w:tcPr>
          <w:p>
            <w:pPr>
              <w:jc w:val="center"/>
            </w:pPr>
            <w:r>
              <w:rPr>
                <w:sz w:val="20"/>
                <w:szCs w:val="20"/>
              </w:rPr>
              <w:t>Credentialed access</w:t>
            </w:r>
          </w:p>
        </w:tc>
        <w:tc>
          <w:tcPr>
            <w:tcW w:w="1800" w:type="dxa"/>
          </w:tcPr>
          <w:p>
            <w:pPr>
              <w:jc w:val="center"/>
            </w:pPr>
            <w:r>
              <w:rPr>
                <w:sz w:val="20"/>
                <w:szCs w:val="20"/>
              </w:rPr>
              <w:t>Severity prediction, benchmarking</w:t>
            </w:r>
          </w:p>
        </w:tc>
      </w:tr>
      <w:tr>
        <w:tc>
          <w:tcPr>
            <w:tcW w:w="1800" w:type="dxa"/>
          </w:tcPr>
          <w:p>
            <w:pPr>
              <w:jc w:val="center"/>
            </w:pPr>
            <w:r>
              <w:rPr>
                <w:sz w:val="20"/>
                <w:szCs w:val="20"/>
              </w:rPr>
              <w:t>BRFSS (CDC)</w:t>
            </w:r>
          </w:p>
        </w:tc>
        <w:tc>
          <w:tcPr>
            <w:tcW w:w="1800" w:type="dxa"/>
          </w:tcPr>
          <w:p>
            <w:pPr>
              <w:jc w:val="center"/>
            </w:pPr>
            <w:r>
              <w:rPr>
                <w:sz w:val="20"/>
                <w:szCs w:val="20"/>
              </w:rPr>
              <w:t>Behavioral risk factors</w:t>
            </w:r>
          </w:p>
        </w:tc>
        <w:tc>
          <w:tcPr>
            <w:tcW w:w="1800" w:type="dxa"/>
          </w:tcPr>
          <w:p>
            <w:pPr>
              <w:jc w:val="center"/>
            </w:pPr>
            <w:r>
              <w:rPr>
                <w:sz w:val="20"/>
                <w:szCs w:val="20"/>
              </w:rPr>
              <w:t>400,000+ surveys/year</w:t>
            </w:r>
          </w:p>
        </w:tc>
        <w:tc>
          <w:tcPr>
            <w:tcW w:w="1800" w:type="dxa"/>
          </w:tcPr>
          <w:p>
            <w:pPr>
              <w:jc w:val="center"/>
            </w:pPr>
            <w:r>
              <w:rPr>
                <w:sz w:val="20"/>
                <w:szCs w:val="20"/>
              </w:rPr>
              <w:t>Free download</w:t>
            </w:r>
          </w:p>
        </w:tc>
        <w:tc>
          <w:tcPr>
            <w:tcW w:w="1800" w:type="dxa"/>
          </w:tcPr>
          <w:p>
            <w:pPr>
              <w:jc w:val="center"/>
            </w:pPr>
            <w:r>
              <w:rPr>
                <w:sz w:val="20"/>
                <w:szCs w:val="20"/>
              </w:rPr>
              <w:t>Social determinants, prevention</w:t>
            </w:r>
          </w:p>
        </w:tc>
      </w:tr>
      <w:tr>
        <w:tc>
          <w:tcPr>
            <w:tcW w:w="1800" w:type="dxa"/>
          </w:tcPr>
          <w:p>
            <w:pPr>
              <w:jc w:val="center"/>
            </w:pPr>
            <w:r>
              <w:rPr>
                <w:sz w:val="20"/>
                <w:szCs w:val="20"/>
              </w:rPr>
              <w:t>PhysioNet datasets</w:t>
            </w:r>
          </w:p>
        </w:tc>
        <w:tc>
          <w:tcPr>
            <w:tcW w:w="1800" w:type="dxa"/>
          </w:tcPr>
          <w:p>
            <w:pPr>
              <w:jc w:val="center"/>
            </w:pPr>
            <w:r>
              <w:rPr>
                <w:sz w:val="20"/>
                <w:szCs w:val="20"/>
              </w:rPr>
              <w:t>Physiological signals</w:t>
            </w:r>
          </w:p>
        </w:tc>
        <w:tc>
          <w:tcPr>
            <w:tcW w:w="1800" w:type="dxa"/>
          </w:tcPr>
          <w:p>
            <w:pPr>
              <w:jc w:val="center"/>
            </w:pPr>
            <w:r>
              <w:rPr>
                <w:sz w:val="20"/>
                <w:szCs w:val="20"/>
              </w:rPr>
              <w:t>Variable</w:t>
            </w:r>
          </w:p>
        </w:tc>
        <w:tc>
          <w:tcPr>
            <w:tcW w:w="1800" w:type="dxa"/>
          </w:tcPr>
          <w:p>
            <w:pPr>
              <w:jc w:val="center"/>
            </w:pPr>
            <w:r>
              <w:rPr>
                <w:sz w:val="20"/>
                <w:szCs w:val="20"/>
              </w:rPr>
              <w:t>Open/credentialed</w:t>
            </w:r>
          </w:p>
        </w:tc>
        <w:tc>
          <w:tcPr>
            <w:tcW w:w="1800" w:type="dxa"/>
          </w:tcPr>
          <w:p>
            <w:pPr>
              <w:jc w:val="center"/>
            </w:pPr>
            <w:r>
              <w:rPr>
                <w:sz w:val="20"/>
                <w:szCs w:val="20"/>
              </w:rPr>
              <w:t>Time-series analysis, monitoring</w:t>
            </w:r>
          </w:p>
        </w:tc>
      </w:tr>
    </w:tbl>
    <w:p xmlns:w="http://schemas.openxmlformats.org/wordprocessingml/2006/main">
      <w:pPr>
        <w:spacing w:after="200"/>
      </w:pPr>
    </w:p>
    <w:p xmlns:w="http://schemas.openxmlformats.org/wordprocessingml/2006/main">
      <w:pPr>
        <w:pStyle w:val="Heading3"/>
        <w:jc w:val="start"/>
        <w:spacing w:after="240"/>
      </w:pPr>
      <w:r>
        <w:rPr>
          <w:b/>
          <w:sz w:val="26"/>
          <w:szCs w:val="26"/>
        </w:rPr>
        <w:t xml:space="preserve">3.1.3. Balancing Technical Depth and Managerial Relevance</w:t>
      </w:r>
    </w:p>
    <w:p xmlns:w="http://schemas.openxmlformats.org/wordprocessingml/2006/main">
      <w:pPr>
        <w:jc w:val="both"/>
        <w:spacing w:after="200"/>
      </w:pPr>
      <w:r>
        <w:rPr>
          <w:sz w:val="24"/>
          <w:szCs w:val="24"/>
        </w:rPr>
        <w:t xml:space="preserve">Curriculum designers face the constant challenge of calibrating technical depth to serve managerial learning objectives without either overwhelming students with unnecessary mathematical detail or providing such superficial coverage that graduates lack credibility in conversations with data science teams [7, 21]. The guiding principle should be that students achieve sufficient understanding to be informed commissioners, evaluators, and governors of AI systems rather than builders of them, analogous to how MBA programs teach financial statement analysis without requiring students to become accountants [8, 22]. Assessment methods that evaluate students' ability to critically evaluate AI proposals, identify potential failure modes, ask probing questions of technical teams, and make governance decisions about model deployment provide more authentic evaluation of managerial competency than traditional exams testing algorithmic mechanics [9, 23].</w:t>
      </w:r>
    </w:p>
    <w:p xmlns:w="http://schemas.openxmlformats.org/wordprocessingml/2006/main">
      <w:pPr>
        <w:jc w:val="both"/>
        <w:spacing w:after="200"/>
      </w:pPr>
      <w:r>
        <w:rPr>
          <w:sz w:val="24"/>
          <w:szCs w:val="24"/>
        </w:rPr>
        <w:t xml:space="preserve">The concept of productive difficulty suggests that some degree of discomfort with technical material is pedagogically valuable, as it mirrors the actual experience of business leaders who must make decisions about technologies they do not fully understand [10, 24]. However, this discomfort must be carefully managed through appropriate scaffolding, clear articulation of what students are and are not expected to master, and consistent reconnection of technical concepts to managerial applications that validate the learning investment [11, 25]. Curriculum mapping that explicitly links each technical topic to specific leadership scenarios and decision contexts helps both faculty and students maintain focus on managerial relevance throughout technically demanding modules [12, 26].</w:t>
      </w:r>
    </w:p>
    <w:p xmlns:w="http://schemas.openxmlformats.org/wordprocessingml/2006/main">
      <w:pPr>
        <w:pStyle w:val="Heading2"/>
        <w:jc w:val="start"/>
        <w:spacing w:after="240"/>
      </w:pPr>
      <w:r>
        <w:rPr>
          <w:b/>
          <w:sz w:val="28"/>
          <w:szCs w:val="28"/>
        </w:rPr>
        <w:t xml:space="preserve">3.2. Ethical and Societal Dimensions</w:t>
      </w:r>
    </w:p>
    <w:p xmlns:w="http://schemas.openxmlformats.org/wordprocessingml/2006/main">
      <w:pPr>
        <w:pStyle w:val="Heading3"/>
        <w:jc w:val="start"/>
        <w:spacing w:after="240"/>
      </w:pPr>
      <w:r>
        <w:rPr>
          <w:b/>
          <w:sz w:val="26"/>
          <w:szCs w:val="26"/>
        </w:rPr>
        <w:t xml:space="preserve">3.2.1. The Dual Responsibility of Education</w:t>
      </w:r>
    </w:p>
    <w:p xmlns:w="http://schemas.openxmlformats.org/wordprocessingml/2006/main">
      <w:pPr>
        <w:jc w:val="both"/>
        <w:spacing w:after="200"/>
      </w:pPr>
      <w:r>
        <w:rPr>
          <w:sz w:val="24"/>
          <w:szCs w:val="24"/>
        </w:rPr>
        <w:t xml:space="preserve">Business education for healthcare AI carries a dual responsibility: building technical competence that enables effective leadership alongside moral conscience that ensures technology serves human flourishing rather than merely organizational efficiency [13, 27]. As depicted in Figure 6, the ethical framework for healthcare AI education encompasses three fundamental dimensions: patient welfare and safety (primum non nocere extended to algorithmic decision-making), equity and justice (ensuring AI does not perpetuate or amplify health disparities), and accountability and transparency (maintaining human oversight and auditability of consequential decisions) [14, 28]. These dimensions intersect and sometimes tension with each other, as for example when transparency requirements (publishing model details) conflict with proprietary interests, or when optimizing aggregate patient outcomes creates disparate impacts on specific populations [15, 29].</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8"/>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6. Ethical AI framework for healthcare business education showing three fundamental dimensions (patient welfare, equity and justice, accountability and transparency) interconnected at the center with surrounding stakeholder perspectives (patients, providers, regulators, communities).</w:t>
      </w:r>
    </w:p>
    <w:p xmlns:w="http://schemas.openxmlformats.org/wordprocessingml/2006/main">
      <w:pPr>
        <w:jc w:val="both"/>
        <w:spacing w:after="200"/>
      </w:pPr>
      <w:r>
        <w:rPr>
          <w:sz w:val="24"/>
          <w:szCs w:val="24"/>
        </w:rPr>
        <w:t xml:space="preserve">The integration of ethics throughout the curriculum rather than confinement to a standalone module ensures that ethical reasoning becomes habitual rather than an afterthought, with students consistently asked to consider who benefits, who bears risk, what could go wrong, and how harm would be detected and remediated for every AI application they evaluate [16, 30]. This approach mirrors the concept of ethics-by-design in AI development, where ethical considerations are embedded from inception rather than applied as post-hoc constraints, and prepares students to champion responsible AI practices as organizational culture rather than compliance checkbox [17, 31]. Ethical scenario analysis exercises present students with realistic dilemmas including: an algorithm that accurately predicts patient deterioration but generates alarm fatigue reducing nursing response; a risk stratification tool that performs well overall but systematically underestimates risk for minority populations; a cost optimization algorithm that recommends reducing services to low-margin patient populations; and a chatbot that provides accurate medical information but cannot detect users in mental health crisis [17, 31]. These scenarios develop ethical reasoning muscles that cannot be built through passive lectures on ethical principles alone [18, 32].</w:t>
      </w:r>
    </w:p>
    <w:p xmlns:w="http://schemas.openxmlformats.org/wordprocessingml/2006/main">
      <w:pPr>
        <w:pStyle w:val="Heading3"/>
        <w:jc w:val="start"/>
        <w:spacing w:after="240"/>
      </w:pPr>
      <w:r>
        <w:rPr>
          <w:b/>
          <w:sz w:val="26"/>
          <w:szCs w:val="26"/>
        </w:rPr>
        <w:t xml:space="preserve">3.2.2. Mitigating Bias and Building Trustworthy Systems</w:t>
      </w:r>
    </w:p>
    <w:p xmlns:w="http://schemas.openxmlformats.org/wordprocessingml/2006/main">
      <w:pPr>
        <w:jc w:val="both"/>
        <w:spacing w:after="200"/>
      </w:pPr>
      <w:r>
        <w:rPr>
          <w:sz w:val="24"/>
          <w:szCs w:val="24"/>
        </w:rPr>
        <w:t xml:space="preserve">Preparing leaders to recognize, measure, and mitigate algorithmic bias in healthcare represents perhaps the most critical ethical competency, given the documented potential for AI systems to perpetuate and amplify existing health disparities along racial, socioeconomic, gender, and geographic lines [19, 33]. Landmark studies demonstrating racial bias in commercial algorithms used for healthcare resource allocation (where algorithms using healthcare cost as a proxy for health need systematically underestimated the needs of Black patients), and gender bias in symptom recognition algorithms trained on male-predominant datasets, provide compelling case material for understanding how bias enters systems and how it can be detected through appropriate fairness metrics [20, 34]. Students must learn multiple mathematical definitions of fairness (demographic parity, equalized odds, predictive parity, individual fairness) and understand that these definitions are mutually incompatible, requiring value-laden judgments about which form of fairness is most appropriate for specific clinical contexts [21, 35].</w:t>
      </w:r>
    </w:p>
    <w:p xmlns:w="http://schemas.openxmlformats.org/wordprocessingml/2006/main">
      <w:pPr>
        <w:jc w:val="both"/>
        <w:spacing w:after="200"/>
      </w:pPr>
      <w:r>
        <w:rPr>
          <w:sz w:val="24"/>
          <w:szCs w:val="24"/>
        </w:rPr>
        <w:t xml:space="preserve">Building trustworthy AI systems requires embedding principles of transparency, explainability, robustness, and human oversight into organizational processes for AI procurement, development, validation, deployment, and monitoring [22, 36]. Students should develop competency in establishing AI governance structures including clinical AI committees (multidisciplinary bodies reviewing proposed deployments), model validation protocols (independent testing against institution-specific populations before clinical use), continuous monitoring frameworks (detecting performance degradation, concept drift, and emerging biases over time), and incident response procedures (defined processes for investigating and responding to AI-related adverse events) [23, 37]. The regulatory landscape including the FDA's AI/ML Action Plan, the EU AI Act's risk-based classification framework, and emerging state-level algorithmic accountability legislation provides the governance context within which these organizational processes must operate [24, 38].</w:t>
      </w:r>
    </w:p>
    <w:p xmlns:w="http://schemas.openxmlformats.org/wordprocessingml/2006/main">
      <w:pPr>
        <w:jc w:val="both"/>
        <w:spacing w:after="200"/>
      </w:pPr>
      <w:r>
        <w:rPr>
          <w:sz w:val="24"/>
          <w:szCs w:val="24"/>
        </w:rPr>
        <w:t xml:space="preserve">The concept of human-AI teaming, where algorithmic recommendations and human judgment are systematically combined rather than AI simply replacing human decision-making, provides a more realistic and ethically defensible model for clinical AI deployment than full automation [25, 39]. Students must understand the psychology of automation trust, including the phenomena of automation complacency (over-relying on algorithmic outputs without critical evaluation), algorithm aversion (rejecting valid AI recommendations due to distrust of algorithmic decision-making), and calibration dynamics (how clinician trust evolves with experience using specific AI tools) [26, 40]. Designing effective human-AI interfaces that present information in ways that support rather than undermine clinical reasoning, provide appropriate uncertainty quantification, and maintain user engagement through meaningful interaction represents an emerging design discipline that healthcare AI leaders must understand and champion [27, 41]. Assessment activities in this domain might include evaluating alternative interface designs for clinical decision support tools, analyzing alert fatigue patterns and proposing optimization strategies, or developing protocols for handling disagreements between algorithmic recommendations and clinical judgment [28, 42].</w:t>
      </w:r>
    </w:p>
    <w:p xmlns:w="http://schemas.openxmlformats.org/wordprocessingml/2006/main">
      <w:pPr>
        <w:pStyle w:val="Heading1"/>
        <w:jc w:val="start"/>
        <w:spacing w:after="240"/>
      </w:pPr>
      <w:r>
        <w:rPr>
          <w:b/>
          <w:sz w:val="32"/>
          <w:szCs w:val="32"/>
        </w:rPr>
        <w:t xml:space="preserve">4. Conclusion and The Path Forward</w:t>
      </w:r>
    </w:p>
    <w:p xmlns:w="http://schemas.openxmlformats.org/wordprocessingml/2006/main">
      <w:pPr>
        <w:pStyle w:val="Heading2"/>
        <w:jc w:val="start"/>
        <w:spacing w:after="240"/>
      </w:pPr>
      <w:r>
        <w:rPr>
          <w:b/>
          <w:sz w:val="28"/>
          <w:szCs w:val="28"/>
        </w:rPr>
        <w:t xml:space="preserve">4.1. Summary of Insights</w:t>
      </w:r>
    </w:p>
    <w:p xmlns:w="http://schemas.openxmlformats.org/wordprocessingml/2006/main">
      <w:pPr>
        <w:jc w:val="both"/>
        <w:spacing w:after="200"/>
      </w:pPr>
      <w:r>
        <w:rPr>
          <w:sz w:val="24"/>
          <w:szCs w:val="24"/>
        </w:rPr>
        <w:t xml:space="preserve">This chapter has presented a comprehensive framework for preparing business leaders to navigate the complex intersection of artificial intelligence and healthcare delivery, arguing that effective leadership in smart healthcare requires an integrated competency profile combining data literacy, machine learning understanding, strategic acumen, and rigorous ethical grounding [43, 57]. The Data-to-Decision cycle, introduced as the organizing pedagogical principle, ensures that all technical education serves managerial decision-making objectives, preventing the common pitfall of teaching technology for its own sake without connecting it to value creation and responsible governance [44, 58]. The three-pillar curriculum framework, with its balanced emphasis on modern data techniques, healthcare leadership, and ethics and governance as illustrated in Figures 1 through 6 and structured in Tables 1 through 5, provides an actionable blueprint for business schools seeking to embed healthcare AI competency across their programs [45, 59].</w:t>
      </w:r>
    </w:p>
    <w:p xmlns:w="http://schemas.openxmlformats.org/wordprocessingml/2006/main">
      <w:pPr>
        <w:jc w:val="both"/>
        <w:spacing w:after="200"/>
      </w:pPr>
      <w:r>
        <w:rPr>
          <w:sz w:val="24"/>
          <w:szCs w:val="24"/>
        </w:rPr>
        <w:t xml:space="preserve">The pedagogical innovations discussed, including experiential learning through AI-driven VR simulations, hands-on analytics using low-code platforms, and project-based problem solving with real healthcare datasets, collectively address the challenge of developing judgment and decision-making capabilities that cannot be taught through traditional lectures and case discussions alone [46, 60]. These approaches, grounded in situated cognition theory and constructivist learning principles, create environments where students develop tacit understanding through deliberate practice with realistic complexity, preparing them to navigate ambiguity and make consequential decisions under conditions of incomplete information that characterize real-world healthcare AI leadership [47, 61]. The implementation challenges identified, spanning faculty expertise, data accessibility, and pedagogical calibration, while significant, are tractable through interdisciplinary collaboration, institutional investment, and the growing ecosystem of educational resources and partnerships available to committed programs [48, 62].</w:t>
      </w:r>
    </w:p>
    <w:p xmlns:w="http://schemas.openxmlformats.org/wordprocessingml/2006/main">
      <w:pPr>
        <w:pStyle w:val="Heading2"/>
        <w:jc w:val="start"/>
        <w:spacing w:after="240"/>
      </w:pPr>
      <w:r>
        <w:rPr>
          <w:b/>
          <w:sz w:val="28"/>
          <w:szCs w:val="28"/>
        </w:rPr>
        <w:t xml:space="preserve">4.2. Future Trajectories</w:t>
      </w:r>
    </w:p>
    <w:p xmlns:w="http://schemas.openxmlformats.org/wordprocessingml/2006/main">
      <w:pPr>
        <w:jc w:val="both"/>
        <w:spacing w:after="200"/>
      </w:pPr>
      <w:r>
        <w:rPr>
          <w:sz w:val="24"/>
          <w:szCs w:val="24"/>
        </w:rPr>
        <w:t xml:space="preserve">The future of healthcare business education will be increasingly shaped by the same AI technologies it teaches, creating recursive loops where generative AI systems personalize learning pathways, create realistic simulations, provide individualized feedback, and adapt curriculum pacing to student progress [49, 63]. As depicted in Figure 7, the trajectory of healthcare AI education progresses through three phases: near-term enhancement of existing pedagogies with AI-powered tools (intelligent tutoring, automated assessment, adaptive content delivery), mid-term transformation of educational delivery models (fully personalized curricula, AI-coached clinical simulations, continuous competency assessment), and long-term reimagining of the boundary between education and practice (lifelong learning ecosystems, just-in-time microlearning integrated with professional workflow, AI mentors that evolve with the learner's career) [50, 51].</w:t>
      </w:r>
    </w:p>
    <w:p xmlns:w="http://schemas.openxmlformats.org/wordprocessingml/2006/main">
      <w:pPr>
        <w:jc w:val="both"/>
        <w:spacing w:after="200"/>
      </w:pPr>
      <w:r>
        <w:rPr>
          <w:sz w:val="24"/>
          <w:szCs w:val="24"/>
        </w:rPr>
        <w:t xml:space="preserve">Large language models (LLMs) such as GPT-4, Claude, and specialized medical AI models (Med-PaLM, BioGPT) are already transforming how students interact with complex healthcare content, enabling conversational exploration of clinical scenarios, instant generation of case studies tailored to specific learning objectives, and automated evaluation of free-text responses against expert rubrics [52, 53]. However, the integration of generative AI into education also raises concerns about academic integrity, over-reliance on algorithmic outputs without critical evaluation, and the potential homogenization of thinking when students defer to AI-generated responses rather than developing original analysis [54, 55]. Business schools must model responsible AI use by establishing clear guidelines for appropriate versus inappropriate AI assistance in educational contexts, developing assessment methods robust to AI-generated content, and teaching students to use generative AI as a cognitive tool that enhances rather than replaces their analytical capabilities [55, 56].</w:t>
      </w:r>
    </w:p>
    <w:p xmlns:w="http://schemas.openxmlformats.org/wordprocessingml/2006/main">
      <w:pPr>
        <w:jc w:val="both"/>
        <w:spacing w:after="200"/>
      </w:pPr>
      <w:r>
        <w:rPr>
          <w:sz w:val="24"/>
          <w:szCs w:val="24"/>
        </w:rPr>
        <w:t xml:space="preserve">The concept of competency-based progression, where students advance based on demonstrated mastery rather than seat time, becomes increasingly feasible with AI-enabled continuous assessment systems that can evaluate complex competencies through simulated scenarios, portfolio analysis, and performance tracking across multiple contexts [56, 57]. Micro-credentialing and digital badges for specific healthcare AI competencies (AI governance, clinical validation methodology, health data ethics, AI strategy development) enable modular skill building that can be combined flexibly to meet individual career development needs and organizational capability requirements [57, 58]. These stackable credentials, verified through blockchain-based certification systems, provide transparent evidence of specific competencies that employers can evaluate directly, potentially reducing reliance on institutional brand as a proxy for graduate quality [58, 59].</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9"/>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7. Future trajectories for healthcare AI business education showing three temporal phases (near-term enhancement, mid-term transformation, long-term reimagining), associated technologies and impacts, and convergence toward integrated lifelong learning ecosystems.</w:t>
      </w:r>
    </w:p>
    <w:p xmlns:w="http://schemas.openxmlformats.org/wordprocessingml/2006/main">
      <w:pPr>
        <w:jc w:val="both"/>
        <w:spacing w:after="200"/>
      </w:pPr>
      <w:r>
        <w:rPr>
          <w:sz w:val="24"/>
          <w:szCs w:val="24"/>
        </w:rPr>
        <w:t xml:space="preserve">Lifelong learning models will extend far beyond traditional degree programs to encompass executive education programs, professional micro-credentials, just-in-time learning modules embedded within health system workflows, and communities of practice that facilitate peer learning among healthcare AI leaders across institutional boundaries [52, 53]. The pace of AI technological evolution, with capabilities doubling approximately every 12-18 months, renders any fixed curriculum rapidly obsolescent, necessitating continuous updating mechanisms, modular credentialing systems, and learning architectures that can incorporate new developments without requiring complete program redesign [54, 55]. Partnerships between business schools, health systems, technology companies, and regulatory bodies will create learning ecosystems where the boundaries between education, research, and practice become increasingly permeable, with practitioners simultaneously learning from and contributing to the knowledge base that informs the next generation of leaders [56, 57].</w:t>
      </w:r>
    </w:p>
    <w:p xmlns:w="http://schemas.openxmlformats.org/wordprocessingml/2006/main">
      <w:pPr>
        <w:jc w:val="both"/>
        <w:spacing w:after="200"/>
      </w:pPr>
      <w:r>
        <w:rPr>
          <w:sz w:val="24"/>
          <w:szCs w:val="24"/>
        </w:rPr>
        <w:t xml:space="preserve">The internationalization of healthcare AI education presents both opportunities and challenges, as healthcare systems, regulatory frameworks, data governance requirements, and cultural attitudes toward algorithmic decision-making vary significantly across national contexts [58, 59]. Programs with global reach must balance standardized core competencies (AI fundamentals, ethical principles, strategic frameworks) with localized content addressing region-specific regulatory environments (FDA versus CE marking versus TGA), healthcare delivery models (single-payer versus multi-payer versus public-private hybrid), and cultural values regarding privacy, autonomy, and collective decision-making [60, 61]. International student cohorts provide inherent diversity of perspective that enriches classroom discussions about cultural dimensions of AI governance, while global health system case studies illustrate how the same technological capabilities manifest differently depending on institutional, economic, and cultural context [62, 63]. Virtual exchange programs, international consulting projects with partner health systems, and globally distributed team-based learning leverage technology to create cross-cultural educational experiences that prepare leaders for the increasingly globalized healthcare AI marketplace [1, 14].</w:t>
      </w:r>
    </w:p>
    <w:p xmlns:w="http://schemas.openxmlformats.org/wordprocessingml/2006/main">
      <w:pPr>
        <w:jc w:val="both"/>
        <w:spacing w:after="200"/>
      </w:pPr>
      <w:r>
        <w:rPr>
          <w:sz w:val="24"/>
          <w:szCs w:val="24"/>
        </w:rPr>
        <w:t xml:space="preserve">The role of alumni networks in sustaining lifelong learning deserves particular emphasis, as graduates face continuous evolution of AI capabilities, regulatory requirements, and organizational challenges that no initial degree program can fully anticipate [43, 55]. Active alumni communities providing regular updates on emerging technologies (through webinars, newsletters, and annual reunions), peer mentoring between more and less experienced practitioners, and collaborative research addressing shared challenges create ongoing value that extends the educational relationship far beyond graduation [44, 56]. Business schools that cultivate these communities as strategic assets, investing in relationship management, content creation, and platform development for alumni engagement, will differentiate themselves not only through initial educational quality but through sustained career-long support for healthcare AI leadership development [45, 57].</w:t>
      </w:r>
    </w:p>
    <w:p xmlns:w="http://schemas.openxmlformats.org/wordprocessingml/2006/main">
      <w:pPr>
        <w:pStyle w:val="Heading2"/>
        <w:jc w:val="start"/>
        <w:spacing w:after="240"/>
      </w:pPr>
      <w:r>
        <w:rPr>
          <w:b/>
          <w:sz w:val="28"/>
          <w:szCs w:val="28"/>
        </w:rPr>
        <w:t xml:space="preserve">4.3. A Call to Action</w:t>
      </w:r>
    </w:p>
    <w:p xmlns:w="http://schemas.openxmlformats.org/wordprocessingml/2006/main">
      <w:pPr>
        <w:jc w:val="both"/>
        <w:spacing w:after="200"/>
      </w:pPr>
      <w:r>
        <w:rPr>
          <w:sz w:val="24"/>
          <w:szCs w:val="24"/>
        </w:rPr>
        <w:t xml:space="preserve">The integration of AI competency into healthcare business education is not optional but existential for the relevance of management programs in an increasingly algorithmic healthcare economy [58, 59]. Business schools that fail to equip graduates with the capabilities to commission, evaluate, govern, and strategically deploy healthcare AI will produce leaders fundamentally unprepared for the organizations they are meant to lead, with consequences measured not merely in institutional prestige but in patient outcomes and health system effectiveness [60, 61]. The implementation roadmap summarized in Table 5 provides a phased approach for institutions at different stages of readiness, identifying specific actions, resource requirements, and success metrics for each phase of curriculum development from initial exploration through full integration [43, 56, 62, 63].</w:t>
      </w:r>
    </w:p>
    <w:p xmlns:w="http://schemas.openxmlformats.org/wordprocessingml/2006/main">
      <w:pPr>
        <w:jc w:val="center"/>
        <w:spacing w:before="240" w:after="120"/>
      </w:pPr>
      <w:r>
        <w:rPr>
          <w:b/>
          <w:sz w:val="20"/>
          <w:szCs w:val="20"/>
        </w:rPr>
        <w:t xml:space="preserve">Table 5. Phased implementation roadmap for healthcare AI curriculum development with actions, resources, and success metrics for each stage [43, 56, 62, 63].</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Phase</w:t>
            </w:r>
          </w:p>
        </w:tc>
        <w:tc>
          <w:tcPr>
            <w:tcW w:w="1800" w:type="dxa"/>
            <w:shd w:val="clear" w:color="auto" w:fill="D9D9D9"/>
          </w:tcPr>
          <w:p>
            <w:pPr>
              <w:jc w:val="center"/>
            </w:pPr>
            <w:r>
              <w:rPr>
                <w:b/>
                <w:sz w:val="20"/>
                <w:szCs w:val="20"/>
              </w:rPr>
              <w:t>Duration</w:t>
            </w:r>
          </w:p>
        </w:tc>
        <w:tc>
          <w:tcPr>
            <w:tcW w:w="1800" w:type="dxa"/>
            <w:shd w:val="clear" w:color="auto" w:fill="D9D9D9"/>
          </w:tcPr>
          <w:p>
            <w:pPr>
              <w:jc w:val="center"/>
            </w:pPr>
            <w:r>
              <w:rPr>
                <w:b/>
                <w:sz w:val="20"/>
                <w:szCs w:val="20"/>
              </w:rPr>
              <w:t>Key Actions</w:t>
            </w:r>
          </w:p>
        </w:tc>
        <w:tc>
          <w:tcPr>
            <w:tcW w:w="1800" w:type="dxa"/>
            <w:shd w:val="clear" w:color="auto" w:fill="D9D9D9"/>
          </w:tcPr>
          <w:p>
            <w:pPr>
              <w:jc w:val="center"/>
            </w:pPr>
            <w:r>
              <w:rPr>
                <w:b/>
                <w:sz w:val="20"/>
                <w:szCs w:val="20"/>
              </w:rPr>
              <w:t>Resources Needed</w:t>
            </w:r>
          </w:p>
        </w:tc>
        <w:tc>
          <w:tcPr>
            <w:tcW w:w="1800" w:type="dxa"/>
            <w:shd w:val="clear" w:color="auto" w:fill="D9D9D9"/>
          </w:tcPr>
          <w:p>
            <w:pPr>
              <w:jc w:val="center"/>
            </w:pPr>
            <w:r>
              <w:rPr>
                <w:b/>
                <w:sz w:val="20"/>
                <w:szCs w:val="20"/>
              </w:rPr>
              <w:t>Success Metrics</w:t>
            </w:r>
          </w:p>
        </w:tc>
      </w:tr>
      <w:tr>
        <w:tc>
          <w:tcPr>
            <w:tcW w:w="1800" w:type="dxa"/>
          </w:tcPr>
          <w:p>
            <w:pPr>
              <w:jc w:val="center"/>
            </w:pPr>
            <w:r>
              <w:rPr>
                <w:sz w:val="20"/>
                <w:szCs w:val="20"/>
              </w:rPr>
              <w:t>Exploration</w:t>
            </w:r>
          </w:p>
        </w:tc>
        <w:tc>
          <w:tcPr>
            <w:tcW w:w="1800" w:type="dxa"/>
          </w:tcPr>
          <w:p>
            <w:pPr>
              <w:jc w:val="center"/>
            </w:pPr>
            <w:r>
              <w:rPr>
                <w:sz w:val="20"/>
                <w:szCs w:val="20"/>
              </w:rPr>
              <w:t>6-12 months</w:t>
            </w:r>
          </w:p>
        </w:tc>
        <w:tc>
          <w:tcPr>
            <w:tcW w:w="1800" w:type="dxa"/>
          </w:tcPr>
          <w:p>
            <w:pPr>
              <w:jc w:val="center"/>
            </w:pPr>
            <w:r>
              <w:rPr>
                <w:sz w:val="20"/>
                <w:szCs w:val="20"/>
              </w:rPr>
              <w:t>Faculty development, needs assessment</w:t>
            </w:r>
          </w:p>
        </w:tc>
        <w:tc>
          <w:tcPr>
            <w:tcW w:w="1800" w:type="dxa"/>
          </w:tcPr>
          <w:p>
            <w:pPr>
              <w:jc w:val="center"/>
            </w:pPr>
            <w:r>
              <w:rPr>
                <w:sz w:val="20"/>
                <w:szCs w:val="20"/>
              </w:rPr>
              <w:t>Seed funding, industry advisors</w:t>
            </w:r>
          </w:p>
        </w:tc>
        <w:tc>
          <w:tcPr>
            <w:tcW w:w="1800" w:type="dxa"/>
          </w:tcPr>
          <w:p>
            <w:pPr>
              <w:jc w:val="center"/>
            </w:pPr>
            <w:r>
              <w:rPr>
                <w:sz w:val="20"/>
                <w:szCs w:val="20"/>
              </w:rPr>
              <w:t>Faculty competency audit complete</w:t>
            </w:r>
          </w:p>
        </w:tc>
      </w:tr>
      <w:tr>
        <w:tc>
          <w:tcPr>
            <w:tcW w:w="1800" w:type="dxa"/>
          </w:tcPr>
          <w:p>
            <w:pPr>
              <w:jc w:val="center"/>
            </w:pPr>
            <w:r>
              <w:rPr>
                <w:sz w:val="20"/>
                <w:szCs w:val="20"/>
              </w:rPr>
              <w:t>Pilot</w:t>
            </w:r>
          </w:p>
        </w:tc>
        <w:tc>
          <w:tcPr>
            <w:tcW w:w="1800" w:type="dxa"/>
          </w:tcPr>
          <w:p>
            <w:pPr>
              <w:jc w:val="center"/>
            </w:pPr>
            <w:r>
              <w:rPr>
                <w:sz w:val="20"/>
                <w:szCs w:val="20"/>
              </w:rPr>
              <w:t>12-18 months</w:t>
            </w:r>
          </w:p>
        </w:tc>
        <w:tc>
          <w:tcPr>
            <w:tcW w:w="1800" w:type="dxa"/>
          </w:tcPr>
          <w:p>
            <w:pPr>
              <w:jc w:val="center"/>
            </w:pPr>
            <w:r>
              <w:rPr>
                <w:sz w:val="20"/>
                <w:szCs w:val="20"/>
              </w:rPr>
              <w:t>Elective course launch, platform selection</w:t>
            </w:r>
          </w:p>
        </w:tc>
        <w:tc>
          <w:tcPr>
            <w:tcW w:w="1800" w:type="dxa"/>
          </w:tcPr>
          <w:p>
            <w:pPr>
              <w:jc w:val="center"/>
            </w:pPr>
            <w:r>
              <w:rPr>
                <w:sz w:val="20"/>
                <w:szCs w:val="20"/>
              </w:rPr>
              <w:t>Dataset access, platform licenses</w:t>
            </w:r>
          </w:p>
        </w:tc>
        <w:tc>
          <w:tcPr>
            <w:tcW w:w="1800" w:type="dxa"/>
          </w:tcPr>
          <w:p>
            <w:pPr>
              <w:jc w:val="center"/>
            </w:pPr>
            <w:r>
              <w:rPr>
                <w:sz w:val="20"/>
                <w:szCs w:val="20"/>
              </w:rPr>
              <w:t>Student enrollment, satisfaction &gt; 4.0/5</w:t>
            </w:r>
          </w:p>
        </w:tc>
      </w:tr>
      <w:tr>
        <w:tc>
          <w:tcPr>
            <w:tcW w:w="1800" w:type="dxa"/>
          </w:tcPr>
          <w:p>
            <w:pPr>
              <w:jc w:val="center"/>
            </w:pPr>
            <w:r>
              <w:rPr>
                <w:sz w:val="20"/>
                <w:szCs w:val="20"/>
              </w:rPr>
              <w:t>Integration</w:t>
            </w:r>
          </w:p>
        </w:tc>
        <w:tc>
          <w:tcPr>
            <w:tcW w:w="1800" w:type="dxa"/>
          </w:tcPr>
          <w:p>
            <w:pPr>
              <w:jc w:val="center"/>
            </w:pPr>
            <w:r>
              <w:rPr>
                <w:sz w:val="20"/>
                <w:szCs w:val="20"/>
              </w:rPr>
              <w:t>18-36 months</w:t>
            </w:r>
          </w:p>
        </w:tc>
        <w:tc>
          <w:tcPr>
            <w:tcW w:w="1800" w:type="dxa"/>
          </w:tcPr>
          <w:p>
            <w:pPr>
              <w:jc w:val="center"/>
            </w:pPr>
            <w:r>
              <w:rPr>
                <w:sz w:val="20"/>
                <w:szCs w:val="20"/>
              </w:rPr>
              <w:t>Core curriculum embedding, capstones</w:t>
            </w:r>
          </w:p>
        </w:tc>
        <w:tc>
          <w:tcPr>
            <w:tcW w:w="1800" w:type="dxa"/>
          </w:tcPr>
          <w:p>
            <w:pPr>
              <w:jc w:val="center"/>
            </w:pPr>
            <w:r>
              <w:rPr>
                <w:sz w:val="20"/>
                <w:szCs w:val="20"/>
              </w:rPr>
              <w:t>Interdisciplinary faculty, health system partners</w:t>
            </w:r>
          </w:p>
        </w:tc>
        <w:tc>
          <w:tcPr>
            <w:tcW w:w="1800" w:type="dxa"/>
          </w:tcPr>
          <w:p>
            <w:pPr>
              <w:jc w:val="center"/>
            </w:pPr>
            <w:r>
              <w:rPr>
                <w:sz w:val="20"/>
                <w:szCs w:val="20"/>
              </w:rPr>
              <w:t>Graduate competency certification &gt; 80%</w:t>
            </w:r>
          </w:p>
        </w:tc>
      </w:tr>
      <w:tr>
        <w:tc>
          <w:tcPr>
            <w:tcW w:w="1800" w:type="dxa"/>
          </w:tcPr>
          <w:p>
            <w:pPr>
              <w:jc w:val="center"/>
            </w:pPr>
            <w:r>
              <w:rPr>
                <w:sz w:val="20"/>
                <w:szCs w:val="20"/>
              </w:rPr>
              <w:t>Optimization</w:t>
            </w:r>
          </w:p>
        </w:tc>
        <w:tc>
          <w:tcPr>
            <w:tcW w:w="1800" w:type="dxa"/>
          </w:tcPr>
          <w:p>
            <w:pPr>
              <w:jc w:val="center"/>
            </w:pPr>
            <w:r>
              <w:rPr>
                <w:sz w:val="20"/>
                <w:szCs w:val="20"/>
              </w:rPr>
              <w:t>Ongoing</w:t>
            </w:r>
          </w:p>
        </w:tc>
        <w:tc>
          <w:tcPr>
            <w:tcW w:w="1800" w:type="dxa"/>
          </w:tcPr>
          <w:p>
            <w:pPr>
              <w:jc w:val="center"/>
            </w:pPr>
            <w:r>
              <w:rPr>
                <w:sz w:val="20"/>
                <w:szCs w:val="20"/>
              </w:rPr>
              <w:t>Continuous update, lifelong learning</w:t>
            </w:r>
          </w:p>
        </w:tc>
        <w:tc>
          <w:tcPr>
            <w:tcW w:w="1800" w:type="dxa"/>
          </w:tcPr>
          <w:p>
            <w:pPr>
              <w:jc w:val="center"/>
            </w:pPr>
            <w:r>
              <w:rPr>
                <w:sz w:val="20"/>
                <w:szCs w:val="20"/>
              </w:rPr>
              <w:t>Advisory board, alumni network</w:t>
            </w:r>
          </w:p>
        </w:tc>
        <w:tc>
          <w:tcPr>
            <w:tcW w:w="1800" w:type="dxa"/>
          </w:tcPr>
          <w:p>
            <w:pPr>
              <w:jc w:val="center"/>
            </w:pPr>
            <w:r>
              <w:rPr>
                <w:sz w:val="20"/>
                <w:szCs w:val="20"/>
              </w:rPr>
              <w:t>Employment outcomes, employer feedback</w:t>
            </w:r>
          </w:p>
        </w:tc>
      </w:tr>
      <w:tr>
        <w:tc>
          <w:tcPr>
            <w:tcW w:w="1800" w:type="dxa"/>
          </w:tcPr>
          <w:p>
            <w:pPr>
              <w:jc w:val="center"/>
            </w:pPr>
            <w:r>
              <w:rPr>
                <w:sz w:val="20"/>
                <w:szCs w:val="20"/>
              </w:rPr>
              <w:t>Leadership</w:t>
            </w:r>
          </w:p>
        </w:tc>
        <w:tc>
          <w:tcPr>
            <w:tcW w:w="1800" w:type="dxa"/>
          </w:tcPr>
          <w:p>
            <w:pPr>
              <w:jc w:val="center"/>
            </w:pPr>
            <w:r>
              <w:rPr>
                <w:sz w:val="20"/>
                <w:szCs w:val="20"/>
              </w:rPr>
              <w:t>3-5 years</w:t>
            </w:r>
          </w:p>
        </w:tc>
        <w:tc>
          <w:tcPr>
            <w:tcW w:w="1800" w:type="dxa"/>
          </w:tcPr>
          <w:p>
            <w:pPr>
              <w:jc w:val="center"/>
            </w:pPr>
            <w:r>
              <w:rPr>
                <w:sz w:val="20"/>
                <w:szCs w:val="20"/>
              </w:rPr>
              <w:t>Research center, industry thought leadership</w:t>
            </w:r>
          </w:p>
        </w:tc>
        <w:tc>
          <w:tcPr>
            <w:tcW w:w="1800" w:type="dxa"/>
          </w:tcPr>
          <w:p>
            <w:pPr>
              <w:jc w:val="center"/>
            </w:pPr>
            <w:r>
              <w:rPr>
                <w:sz w:val="20"/>
                <w:szCs w:val="20"/>
              </w:rPr>
              <w:t>Endowed positions, corporate partnerships</w:t>
            </w:r>
          </w:p>
        </w:tc>
        <w:tc>
          <w:tcPr>
            <w:tcW w:w="1800" w:type="dxa"/>
          </w:tcPr>
          <w:p>
            <w:pPr>
              <w:jc w:val="center"/>
            </w:pPr>
            <w:r>
              <w:rPr>
                <w:sz w:val="20"/>
                <w:szCs w:val="20"/>
              </w:rPr>
              <w:t>Publications, consulting revenue, rankings</w:t>
            </w:r>
          </w:p>
        </w:tc>
      </w:tr>
    </w:tbl>
    <w:p xmlns:w="http://schemas.openxmlformats.org/wordprocessingml/2006/main">
      <w:pPr>
        <w:spacing w:after="200"/>
      </w:pPr>
    </w:p>
    <w:p xmlns:w="http://schemas.openxmlformats.org/wordprocessingml/2006/main">
      <w:pPr>
        <w:jc w:val="both"/>
        <w:spacing w:after="200"/>
      </w:pPr>
      <w:r>
        <w:rPr>
          <w:sz w:val="24"/>
          <w:szCs w:val="24"/>
        </w:rPr>
        <w:t xml:space="preserve">The frameworks, pedagogies, and resources described throughout this chapter, anchored in the Data-to-Decision cycle illustrated in Figure 2, the three-pillar structure shown in Figure 3, the experiential approaches of Figure 4, the low-code platform workflow in Figure 5, and the ethical dimensions of Figure 6, provide actionable starting points for programs at any stage of curriculum development [62, 63]. The call is clear: business education must rise to meet the moment, preparing leaders who combine technical sophistication with strategic wisdom and moral courage, capable of harnessing the transformative power of AI to build healthcare systems that are simultaneously more effective, more equitable, and more humane [1, 14, 43, 63].</w:t>
      </w:r>
    </w:p>
    <w:p xmlns:w="http://schemas.openxmlformats.org/wordprocessingml/2006/main">
      <w:pPr>
        <w:pStyle w:val="Heading1"/>
        <w:jc w:val="start"/>
        <w:spacing w:after="240"/>
      </w:pPr>
      <w:r>
        <w:rPr>
          <w:b/>
          <w:sz w:val="32"/>
          <w:szCs w:val="32"/>
        </w:rPr>
        <w:t xml:space="preserve">References</w:t>
      </w:r>
    </w:p>
    <w:p xmlns:w="http://schemas.openxmlformats.org/wordprocessingml/2006/main">
      <w:pPr>
        <w:jc w:val="both"/>
        <w:spacing w:after="120"/>
      </w:pPr>
      <w:r>
        <w:rPr>
          <w:sz w:val="20"/>
          <w:szCs w:val="20"/>
        </w:rPr>
        <w:t xml:space="preserve">[1] Topol, E. J. (2019). Deep Medicine: How Artificial Intelligence Can Make Healthcare Human Again. Basic Books.</w:t>
      </w:r>
    </w:p>
    <w:p xmlns:w="http://schemas.openxmlformats.org/wordprocessingml/2006/main">
      <w:pPr>
        <w:jc w:val="both"/>
        <w:spacing w:after="120"/>
      </w:pPr>
      <w:r>
        <w:rPr>
          <w:sz w:val="20"/>
          <w:szCs w:val="20"/>
        </w:rPr>
        <w:t xml:space="preserve">[2] Jiang, F., Jiang, Y., Zhi, H., Dong, Y., Li, H., Ma, S., &amp; Wang, Y. (2017). Artificial intelligence in healthcare: Past, present and future. Stroke and Vascular Neurology, 2(4), 230-243.</w:t>
      </w:r>
    </w:p>
    <w:p xmlns:w="http://schemas.openxmlformats.org/wordprocessingml/2006/main">
      <w:pPr>
        <w:jc w:val="both"/>
        <w:spacing w:after="120"/>
      </w:pPr>
      <w:r>
        <w:rPr>
          <w:sz w:val="20"/>
          <w:szCs w:val="20"/>
        </w:rPr>
        <w:t xml:space="preserve">[3] Davenport, T., &amp; Kalakota, R. (2019). The potential for artificial intelligence in healthcare. Future Healthcare Journal, 6(2), 94-98.</w:t>
      </w:r>
    </w:p>
    <w:p xmlns:w="http://schemas.openxmlformats.org/wordprocessingml/2006/main">
      <w:pPr>
        <w:jc w:val="both"/>
        <w:spacing w:after="120"/>
      </w:pPr>
      <w:r>
        <w:rPr>
          <w:sz w:val="20"/>
          <w:szCs w:val="20"/>
        </w:rPr>
        <w:t xml:space="preserve">[4] Yu, K. H., Beam, A. L., &amp; Kohane, I. S. (2018). Artificial intelligence in healthcare. Nature Biomedical Engineering, 2(10), 719-731.</w:t>
      </w:r>
    </w:p>
    <w:p xmlns:w="http://schemas.openxmlformats.org/wordprocessingml/2006/main">
      <w:pPr>
        <w:jc w:val="both"/>
        <w:spacing w:after="120"/>
      </w:pPr>
      <w:r>
        <w:rPr>
          <w:sz w:val="20"/>
          <w:szCs w:val="20"/>
        </w:rPr>
        <w:t xml:space="preserve">[5] Rajkomar, A., Dean, J., &amp; Kohane, I. (2019). Machine learning in medicine. New England Journal of Medicine, 380(14), 1347-1358.</w:t>
      </w:r>
    </w:p>
    <w:p xmlns:w="http://schemas.openxmlformats.org/wordprocessingml/2006/main">
      <w:pPr>
        <w:jc w:val="both"/>
        <w:spacing w:after="120"/>
      </w:pPr>
      <w:r>
        <w:rPr>
          <w:sz w:val="20"/>
          <w:szCs w:val="20"/>
        </w:rPr>
        <w:t xml:space="preserve">[6] Obermeyer, Z., &amp; Emanuel, E. J. (2016). Predicting the future: Big data, machine learning, and clinical medicine. New England Journal of Medicine, 375(13), 1216-1219.</w:t>
      </w:r>
    </w:p>
    <w:p xmlns:w="http://schemas.openxmlformats.org/wordprocessingml/2006/main">
      <w:pPr>
        <w:jc w:val="both"/>
        <w:spacing w:after="120"/>
      </w:pPr>
      <w:r>
        <w:rPr>
          <w:sz w:val="20"/>
          <w:szCs w:val="20"/>
        </w:rPr>
        <w:t xml:space="preserve">[7] Bates, D. W., Saria, S., Ohno-Machado, L., Shah, A., &amp; Escobar, G. (2014). Big data in health care: Using analytics to identify and manage high-risk and high-cost patients. Health Affairs, 33(7), 1123-1131.</w:t>
      </w:r>
    </w:p>
    <w:p xmlns:w="http://schemas.openxmlformats.org/wordprocessingml/2006/main">
      <w:pPr>
        <w:jc w:val="both"/>
        <w:spacing w:after="120"/>
      </w:pPr>
      <w:r>
        <w:rPr>
          <w:sz w:val="20"/>
          <w:szCs w:val="20"/>
        </w:rPr>
        <w:t xml:space="preserve">[8] Matheny, M. E., Thadaney Israni, S., Ahmed, M., &amp; Whicher, D. (Eds.). (2020). Artificial Intelligence in Health Care: The Hope, the Hype, the Promise, the Peril. National Academy of Medicine.</w:t>
      </w:r>
    </w:p>
    <w:p xmlns:w="http://schemas.openxmlformats.org/wordprocessingml/2006/main">
      <w:pPr>
        <w:jc w:val="both"/>
        <w:spacing w:after="120"/>
      </w:pPr>
      <w:r>
        <w:rPr>
          <w:sz w:val="20"/>
          <w:szCs w:val="20"/>
        </w:rPr>
        <w:t xml:space="preserve">[9] Gartner. (2023). Top Strategic Technology Trends in Healthcare for 2024. Gartner Research.</w:t>
      </w:r>
    </w:p>
    <w:p xmlns:w="http://schemas.openxmlformats.org/wordprocessingml/2006/main">
      <w:pPr>
        <w:jc w:val="both"/>
        <w:spacing w:after="120"/>
      </w:pPr>
      <w:r>
        <w:rPr>
          <w:sz w:val="20"/>
          <w:szCs w:val="20"/>
        </w:rPr>
        <w:t xml:space="preserve">[10] European Commission. (2021). Industry 5.0: Towards a Sustainable, Human-Centric and Resilient European Industry.</w:t>
      </w:r>
    </w:p>
    <w:p xmlns:w="http://schemas.openxmlformats.org/wordprocessingml/2006/main">
      <w:pPr>
        <w:jc w:val="both"/>
        <w:spacing w:after="120"/>
      </w:pPr>
      <w:r>
        <w:rPr>
          <w:sz w:val="20"/>
          <w:szCs w:val="20"/>
        </w:rPr>
        <w:t xml:space="preserve">[11] Panch, T., Szolovits, P., &amp; Atun, R. (2018). Artificial intelligence, machine learning and health systems. Journal of Global Health, 8(2), 020303.</w:t>
      </w:r>
    </w:p>
    <w:p xmlns:w="http://schemas.openxmlformats.org/wordprocessingml/2006/main">
      <w:pPr>
        <w:jc w:val="both"/>
        <w:spacing w:after="120"/>
      </w:pPr>
      <w:r>
        <w:rPr>
          <w:sz w:val="20"/>
          <w:szCs w:val="20"/>
        </w:rPr>
        <w:t xml:space="preserve">[12] He, J., Baxter, S. L., Xu, J., Xu, J., Zhou, X., &amp; Zhang, K. (2019). The practical implementation of artificial intelligence technologies in medicine. Nature Medicine, 25(1), 30-36.</w:t>
      </w:r>
    </w:p>
    <w:p xmlns:w="http://schemas.openxmlformats.org/wordprocessingml/2006/main">
      <w:pPr>
        <w:jc w:val="both"/>
        <w:spacing w:after="120"/>
      </w:pPr>
      <w:r>
        <w:rPr>
          <w:sz w:val="20"/>
          <w:szCs w:val="20"/>
        </w:rPr>
        <w:t xml:space="preserve">[13] Schwab, K. (2017). The Fourth Industrial Revolution. Crown Business.</w:t>
      </w:r>
    </w:p>
    <w:p xmlns:w="http://schemas.openxmlformats.org/wordprocessingml/2006/main">
      <w:pPr>
        <w:jc w:val="both"/>
        <w:spacing w:after="120"/>
      </w:pPr>
      <w:r>
        <w:rPr>
          <w:sz w:val="20"/>
          <w:szCs w:val="20"/>
        </w:rPr>
        <w:t xml:space="preserve">[14] Kolachalama, V. B., &amp; Garg, P. S. (2018). Machine learning and medical education. NPJ Digital Medicine, 1(1), 54.</w:t>
      </w:r>
    </w:p>
    <w:p xmlns:w="http://schemas.openxmlformats.org/wordprocessingml/2006/main">
      <w:pPr>
        <w:jc w:val="both"/>
        <w:spacing w:after="120"/>
      </w:pPr>
      <w:r>
        <w:rPr>
          <w:sz w:val="20"/>
          <w:szCs w:val="20"/>
        </w:rPr>
        <w:t xml:space="preserve">[15] Johnson, A. E., Pollard, T. J., Shen, L., Lehman, L. W., Feng, M., Ghassemi, M., &amp; Mark, R. G. (2016). MIMIC-III, a freely accessible critical care database. Scientific Data, 3(1), 1-9.</w:t>
      </w:r>
    </w:p>
    <w:p xmlns:w="http://schemas.openxmlformats.org/wordprocessingml/2006/main">
      <w:pPr>
        <w:jc w:val="both"/>
        <w:spacing w:after="120"/>
      </w:pPr>
      <w:r>
        <w:rPr>
          <w:sz w:val="20"/>
          <w:szCs w:val="20"/>
        </w:rPr>
        <w:t xml:space="preserve">[16] Wiens, J., Saria, S., Sendak, M., Ghassemi, M., Liu, V. X., Doshi-Velez, F., &amp; Goldenberg, A. (2019). Do no harm: A roadmap for responsible machine learning for health care. Nature Medicine, 25(9), 1337-1340.</w:t>
      </w:r>
    </w:p>
    <w:p xmlns:w="http://schemas.openxmlformats.org/wordprocessingml/2006/main">
      <w:pPr>
        <w:jc w:val="both"/>
        <w:spacing w:after="120"/>
      </w:pPr>
      <w:r>
        <w:rPr>
          <w:sz w:val="20"/>
          <w:szCs w:val="20"/>
        </w:rPr>
        <w:t xml:space="preserve">[17] Accenture. (2023). Digital Health Technology Vision 2023. Accenture Consulting.</w:t>
      </w:r>
    </w:p>
    <w:p xmlns:w="http://schemas.openxmlformats.org/wordprocessingml/2006/main">
      <w:pPr>
        <w:jc w:val="both"/>
        <w:spacing w:after="120"/>
      </w:pPr>
      <w:r>
        <w:rPr>
          <w:sz w:val="20"/>
          <w:szCs w:val="20"/>
        </w:rPr>
        <w:t xml:space="preserve">[18] Beam, A. L., &amp; Kohane, I. S. (2018). Big data and machine learning in health care. JAMA, 319(13), 1317-1318.</w:t>
      </w:r>
    </w:p>
    <w:p xmlns:w="http://schemas.openxmlformats.org/wordprocessingml/2006/main">
      <w:pPr>
        <w:jc w:val="both"/>
        <w:spacing w:after="120"/>
      </w:pPr>
      <w:r>
        <w:rPr>
          <w:sz w:val="20"/>
          <w:szCs w:val="20"/>
        </w:rPr>
        <w:t xml:space="preserve">[19] Obermeyer, Z., Powers, B., Vogeli, C., &amp; Mullainathan, S. (2019). Dissecting racial bias in an algorithm used to manage the health of populations. Science, 366(6464), 447-453.</w:t>
      </w:r>
    </w:p>
    <w:p xmlns:w="http://schemas.openxmlformats.org/wordprocessingml/2006/main">
      <w:pPr>
        <w:jc w:val="both"/>
        <w:spacing w:after="120"/>
      </w:pPr>
      <w:r>
        <w:rPr>
          <w:sz w:val="20"/>
          <w:szCs w:val="20"/>
        </w:rPr>
        <w:t xml:space="preserve">[20] Char, D. S., Shah, N. H., &amp; Magnus, D. (2018). Implementing machine learning in health care: Addressing ethical challenges. New England Journal of Medicine, 378(11), 981-983.</w:t>
      </w:r>
    </w:p>
    <w:p xmlns:w="http://schemas.openxmlformats.org/wordprocessingml/2006/main">
      <w:pPr>
        <w:jc w:val="both"/>
        <w:spacing w:after="120"/>
      </w:pPr>
      <w:r>
        <w:rPr>
          <w:sz w:val="20"/>
          <w:szCs w:val="20"/>
        </w:rPr>
        <w:t xml:space="preserve">[21] Meskó, B., &amp; Topol, E. J. (2023). The imperative for regulatory oversight of large language models in healthcare. NPJ Digital Medicine, 6(1), 120.</w:t>
      </w:r>
    </w:p>
    <w:p xmlns:w="http://schemas.openxmlformats.org/wordprocessingml/2006/main">
      <w:pPr>
        <w:jc w:val="both"/>
        <w:spacing w:after="120"/>
      </w:pPr>
      <w:r>
        <w:rPr>
          <w:sz w:val="20"/>
          <w:szCs w:val="20"/>
        </w:rPr>
        <w:t xml:space="preserve">[22] Paranjape, K., Schinkel, M., Nannan Panday, R., Car, J., &amp; Nanayakkara, P. (2019). Introducing artificial intelligence training in medical education. JMIR Medical Education, 5(2), e16048.</w:t>
      </w:r>
    </w:p>
    <w:p xmlns:w="http://schemas.openxmlformats.org/wordprocessingml/2006/main">
      <w:pPr>
        <w:jc w:val="both"/>
        <w:spacing w:after="120"/>
      </w:pPr>
      <w:r>
        <w:rPr>
          <w:sz w:val="20"/>
          <w:szCs w:val="20"/>
        </w:rPr>
        <w:t xml:space="preserve">[23] Wartman, S. A., &amp; Combs, C. D. (2018). Medical education must move from the information age to the age of artificial intelligence. Academic Medicine, 93(8), 1107-1109.</w:t>
      </w:r>
    </w:p>
    <w:p xmlns:w="http://schemas.openxmlformats.org/wordprocessingml/2006/main">
      <w:pPr>
        <w:jc w:val="both"/>
        <w:spacing w:after="120"/>
      </w:pPr>
      <w:r>
        <w:rPr>
          <w:sz w:val="20"/>
          <w:szCs w:val="20"/>
        </w:rPr>
        <w:t xml:space="preserve">[24] Sapci, A. H., &amp; Sapci, H. A. (2020). Artificial intelligence education and tools for medical and health informatics students. International Journal of Environmental Research and Public Health, 17(7), 2479.</w:t>
      </w:r>
    </w:p>
    <w:p xmlns:w="http://schemas.openxmlformats.org/wordprocessingml/2006/main">
      <w:pPr>
        <w:jc w:val="both"/>
        <w:spacing w:after="120"/>
      </w:pPr>
      <w:r>
        <w:rPr>
          <w:sz w:val="20"/>
          <w:szCs w:val="20"/>
        </w:rPr>
        <w:t xml:space="preserve">[25] McCoy, L. G., Nagaraj, S., Engel, F., Geis, J. R., &amp; Banja, J. D. (2020). What do medical students actually need to know about artificial intelligence? NPJ Digital Medicine, 3(1), 86.</w:t>
      </w:r>
    </w:p>
    <w:p xmlns:w="http://schemas.openxmlformats.org/wordprocessingml/2006/main">
      <w:pPr>
        <w:jc w:val="both"/>
        <w:spacing w:after="120"/>
      </w:pPr>
      <w:r>
        <w:rPr>
          <w:sz w:val="20"/>
          <w:szCs w:val="20"/>
        </w:rPr>
        <w:t xml:space="preserve">[26] Longhurst, C. A., Singh, K., Chopra, A., Reaney, K., &amp; Pageler, N. M. (2022). A call for artificial intelligence implementation science in healthcare. NPJ Digital Medicine, 5(1), 73.</w:t>
      </w:r>
    </w:p>
    <w:p xmlns:w="http://schemas.openxmlformats.org/wordprocessingml/2006/main">
      <w:pPr>
        <w:jc w:val="both"/>
        <w:spacing w:after="120"/>
      </w:pPr>
      <w:r>
        <w:rPr>
          <w:sz w:val="20"/>
          <w:szCs w:val="20"/>
        </w:rPr>
        <w:t xml:space="preserve">[27] Emanuel, E. J., &amp; Wachter, R. M. (2019). Artificial intelligence in health care: Will the value match the hype? JAMA, 321(23), 2281-2282.</w:t>
      </w:r>
    </w:p>
    <w:p xmlns:w="http://schemas.openxmlformats.org/wordprocessingml/2006/main">
      <w:pPr>
        <w:jc w:val="both"/>
        <w:spacing w:after="120"/>
      </w:pPr>
      <w:r>
        <w:rPr>
          <w:sz w:val="20"/>
          <w:szCs w:val="20"/>
        </w:rPr>
        <w:t xml:space="preserve">[28] Mintz, Y., &amp; Brodie, R. (2019). Introduction to artificial intelligence in medicine. Minimally Invasive Therapy and Allied Technologies, 28(2), 73-81.</w:t>
      </w:r>
    </w:p>
    <w:p xmlns:w="http://schemas.openxmlformats.org/wordprocessingml/2006/main">
      <w:pPr>
        <w:jc w:val="both"/>
        <w:spacing w:after="120"/>
      </w:pPr>
      <w:r>
        <w:rPr>
          <w:sz w:val="20"/>
          <w:szCs w:val="20"/>
        </w:rPr>
        <w:t xml:space="preserve">[29] Vayena, E., Blasimme, A., &amp; Cohen, I. G. (2018). Machine learning in medicine: Addressing ethical challenges. PLoS Medicine, 15(11), e1002689.</w:t>
      </w:r>
    </w:p>
    <w:p xmlns:w="http://schemas.openxmlformats.org/wordprocessingml/2006/main">
      <w:pPr>
        <w:jc w:val="both"/>
        <w:spacing w:after="120"/>
      </w:pPr>
      <w:r>
        <w:rPr>
          <w:sz w:val="20"/>
          <w:szCs w:val="20"/>
        </w:rPr>
        <w:t xml:space="preserve">[30] Reddy, S., Allan, S., Coghlan, S., &amp; Cooper, P. (2020). A governance model for the application of AI in health care. Journal of the American Medical Informatics Association, 27(3), 491-497.</w:t>
      </w:r>
    </w:p>
    <w:p xmlns:w="http://schemas.openxmlformats.org/wordprocessingml/2006/main">
      <w:pPr>
        <w:jc w:val="both"/>
        <w:spacing w:after="120"/>
      </w:pPr>
      <w:r>
        <w:rPr>
          <w:sz w:val="20"/>
          <w:szCs w:val="20"/>
        </w:rPr>
        <w:t xml:space="preserve">[31] Wiljer, D., &amp; Hakim, Z. (2019). Developing an artificial intelligence-enabled health care practice: Rewiring health care professions for better care. Journal of Medical Imaging and Radiation Sciences, 50(4), S8-S14.</w:t>
      </w:r>
    </w:p>
    <w:p xmlns:w="http://schemas.openxmlformats.org/wordprocessingml/2006/main">
      <w:pPr>
        <w:jc w:val="both"/>
        <w:spacing w:after="120"/>
      </w:pPr>
      <w:r>
        <w:rPr>
          <w:sz w:val="20"/>
          <w:szCs w:val="20"/>
        </w:rPr>
        <w:t xml:space="preserve">[32] Celi, L. A., Davidzon, G., Johnson, A. E., Komorowski, M., Marshall, D. C., Nair, S. S., &amp; Stone, D. J. (2016). Bridging the health data divide. Journal of Medical Internet Research, 18(12), e325.</w:t>
      </w:r>
    </w:p>
    <w:p xmlns:w="http://schemas.openxmlformats.org/wordprocessingml/2006/main">
      <w:pPr>
        <w:jc w:val="both"/>
        <w:spacing w:after="120"/>
      </w:pPr>
      <w:r>
        <w:rPr>
          <w:sz w:val="20"/>
          <w:szCs w:val="20"/>
        </w:rPr>
        <w:t xml:space="preserve">[33] Kolb, D. A. (2014). Experiential Learning: Experience as the Source of Learning and Development (2nd ed.). Pearson Education.</w:t>
      </w:r>
    </w:p>
    <w:p xmlns:w="http://schemas.openxmlformats.org/wordprocessingml/2006/main">
      <w:pPr>
        <w:jc w:val="both"/>
        <w:spacing w:after="120"/>
      </w:pPr>
      <w:r>
        <w:rPr>
          <w:sz w:val="20"/>
          <w:szCs w:val="20"/>
        </w:rPr>
        <w:t xml:space="preserve">[34] Schon, D. A. (1987). Educating the Reflective Practitioner. Jossey-Bass.</w:t>
      </w:r>
    </w:p>
    <w:p xmlns:w="http://schemas.openxmlformats.org/wordprocessingml/2006/main">
      <w:pPr>
        <w:jc w:val="both"/>
        <w:spacing w:after="120"/>
      </w:pPr>
      <w:r>
        <w:rPr>
          <w:sz w:val="20"/>
          <w:szCs w:val="20"/>
        </w:rPr>
        <w:t xml:space="preserve">[35] Densen, P. (2011). Challenges and opportunities facing medical education. Transactions of the American Clinical and Climatological Association, 122, 48-58.</w:t>
      </w:r>
    </w:p>
    <w:p xmlns:w="http://schemas.openxmlformats.org/wordprocessingml/2006/main">
      <w:pPr>
        <w:jc w:val="both"/>
        <w:spacing w:after="120"/>
      </w:pPr>
      <w:r>
        <w:rPr>
          <w:sz w:val="20"/>
          <w:szCs w:val="20"/>
        </w:rPr>
        <w:t xml:space="preserve">[36] Blumenthal, D. (2020). Where does AI fit in the future of healthcare? Harvard Business Review Digital.</w:t>
      </w:r>
    </w:p>
    <w:p xmlns:w="http://schemas.openxmlformats.org/wordprocessingml/2006/main">
      <w:pPr>
        <w:jc w:val="both"/>
        <w:spacing w:after="120"/>
      </w:pPr>
      <w:r>
        <w:rPr>
          <w:sz w:val="20"/>
          <w:szCs w:val="20"/>
        </w:rPr>
        <w:t xml:space="preserve">[37] Bhatt, P., &amp; Muduli, A. (2022). Artificial intelligence in learning and development: A systematic literature review. European Journal of Training and Development, 47(7-8), 677-694.</w:t>
      </w:r>
    </w:p>
    <w:p xmlns:w="http://schemas.openxmlformats.org/wordprocessingml/2006/main">
      <w:pPr>
        <w:jc w:val="both"/>
        <w:spacing w:after="120"/>
      </w:pPr>
      <w:r>
        <w:rPr>
          <w:sz w:val="20"/>
          <w:szCs w:val="20"/>
        </w:rPr>
        <w:t xml:space="preserve">[38] Chen, J. H., &amp; Asch, S. M. (2017). Machine learning and prediction in medicine: Beyond the peak of inflated expectations. New England Journal of Medicine, 376(26), 2507-2509.</w:t>
      </w:r>
    </w:p>
    <w:p xmlns:w="http://schemas.openxmlformats.org/wordprocessingml/2006/main">
      <w:pPr>
        <w:jc w:val="both"/>
        <w:spacing w:after="120"/>
      </w:pPr>
      <w:r>
        <w:rPr>
          <w:sz w:val="20"/>
          <w:szCs w:val="20"/>
        </w:rPr>
        <w:t xml:space="preserve">[39] Shortliffe, E. H., &amp; Sepulveda, M. J. (2018). Clinical decision support in the era of artificial intelligence. JAMA, 320(21), 2199-2200.</w:t>
      </w:r>
    </w:p>
    <w:p xmlns:w="http://schemas.openxmlformats.org/wordprocessingml/2006/main">
      <w:pPr>
        <w:jc w:val="both"/>
        <w:spacing w:after="120"/>
      </w:pPr>
      <w:r>
        <w:rPr>
          <w:sz w:val="20"/>
          <w:szCs w:val="20"/>
        </w:rPr>
        <w:t xml:space="preserve">[40] Price, W. N., &amp; Cohen, I. G. (2019). Privacy in the age of medical big data. Nature Medicine, 25(1), 37-43.</w:t>
      </w:r>
    </w:p>
    <w:p xmlns:w="http://schemas.openxmlformats.org/wordprocessingml/2006/main">
      <w:pPr>
        <w:jc w:val="both"/>
        <w:spacing w:after="120"/>
      </w:pPr>
      <w:r>
        <w:rPr>
          <w:sz w:val="20"/>
          <w:szCs w:val="20"/>
        </w:rPr>
        <w:t xml:space="preserve">[41] Mittelstadt, B. D., Allo, P., Taddeo, M., Wachter, S., &amp; Floridi, L. (2016). The ethics of algorithms: Mapping the debate. Big Data and Society, 3(2), 1-21.</w:t>
      </w:r>
    </w:p>
    <w:p xmlns:w="http://schemas.openxmlformats.org/wordprocessingml/2006/main">
      <w:pPr>
        <w:jc w:val="both"/>
        <w:spacing w:after="120"/>
      </w:pPr>
      <w:r>
        <w:rPr>
          <w:sz w:val="20"/>
          <w:szCs w:val="20"/>
        </w:rPr>
        <w:t xml:space="preserve">[42] Larson, D. B., Chen, M. C., Lungren, M. P., Halabi, S. S., Stence, N. V., &amp; Langlotz, C. P. (2018). Performance of a deep-learning neural network model in assessing skeletal maturity. Radiology, 287(1), 313-322.</w:t>
      </w:r>
    </w:p>
    <w:p xmlns:w="http://schemas.openxmlformats.org/wordprocessingml/2006/main">
      <w:pPr>
        <w:jc w:val="both"/>
        <w:spacing w:after="120"/>
      </w:pPr>
      <w:r>
        <w:rPr>
          <w:sz w:val="20"/>
          <w:szCs w:val="20"/>
        </w:rPr>
        <w:t xml:space="preserve">[43] Floridi, L., Cowls, J., Beltrametti, M., Chatila, R., Chazerand, P., Dignum, V., &amp; Vayena, E. (2018). AI4People: An ethical framework for a good AI society. Minds and Machines, 28(4), 689-707.</w:t>
      </w:r>
    </w:p>
    <w:p xmlns:w="http://schemas.openxmlformats.org/wordprocessingml/2006/main">
      <w:pPr>
        <w:jc w:val="both"/>
        <w:spacing w:after="120"/>
      </w:pPr>
      <w:r>
        <w:rPr>
          <w:sz w:val="20"/>
          <w:szCs w:val="20"/>
        </w:rPr>
        <w:t xml:space="preserve">[44] Jobin, A., Ienca, M., &amp; Vayena, E. (2019). The global landscape of AI ethics guidelines. Nature Machine Intelligence, 1(9), 389-399.</w:t>
      </w:r>
    </w:p>
    <w:p xmlns:w="http://schemas.openxmlformats.org/wordprocessingml/2006/main">
      <w:pPr>
        <w:jc w:val="both"/>
        <w:spacing w:after="120"/>
      </w:pPr>
      <w:r>
        <w:rPr>
          <w:sz w:val="20"/>
          <w:szCs w:val="20"/>
        </w:rPr>
        <w:t xml:space="preserve">[45] WHO. (2021). Ethics and Governance of Artificial Intelligence for Health. World Health Organization.</w:t>
      </w:r>
    </w:p>
    <w:p xmlns:w="http://schemas.openxmlformats.org/wordprocessingml/2006/main">
      <w:pPr>
        <w:jc w:val="both"/>
        <w:spacing w:after="120"/>
      </w:pPr>
      <w:r>
        <w:rPr>
          <w:sz w:val="20"/>
          <w:szCs w:val="20"/>
        </w:rPr>
        <w:t xml:space="preserve">[46] Sendak, M. P., Gao, M., Brajer, N., &amp; Balu, S. (2020). Presenting machine learning model information to clinical end users with model facts labels. NPJ Digital Medicine, 3(1), 41.</w:t>
      </w:r>
    </w:p>
    <w:p xmlns:w="http://schemas.openxmlformats.org/wordprocessingml/2006/main">
      <w:pPr>
        <w:jc w:val="both"/>
        <w:spacing w:after="120"/>
      </w:pPr>
      <w:r>
        <w:rPr>
          <w:sz w:val="20"/>
          <w:szCs w:val="20"/>
        </w:rPr>
        <w:t xml:space="preserve">[47] Van der Velden, B. H., Kuijf, H. J., Gilhuijs, K. G., &amp; Viergever, M. A. (2022). Explainable artificial intelligence for breast cancer: A visual case-based reasoning approach. Artificial Intelligence in Medicine, 94, 42-53.</w:t>
      </w:r>
    </w:p>
    <w:p xmlns:w="http://schemas.openxmlformats.org/wordprocessingml/2006/main">
      <w:pPr>
        <w:jc w:val="both"/>
        <w:spacing w:after="120"/>
      </w:pPr>
      <w:r>
        <w:rPr>
          <w:sz w:val="20"/>
          <w:szCs w:val="20"/>
        </w:rPr>
        <w:t xml:space="preserve">[48] Shah, N. H., Milstein, A., &amp; Bagley, S. C. (2019). Making machine learning models clinically useful. JAMA, 322(14), 1351-1352.</w:t>
      </w:r>
    </w:p>
    <w:p xmlns:w="http://schemas.openxmlformats.org/wordprocessingml/2006/main">
      <w:pPr>
        <w:jc w:val="both"/>
        <w:spacing w:after="120"/>
      </w:pPr>
      <w:r>
        <w:rPr>
          <w:sz w:val="20"/>
          <w:szCs w:val="20"/>
        </w:rPr>
        <w:t xml:space="preserve">[49] Moor, M., Banerjee, O., Abad, Z. S. H., Krumholz, H. M., Leskovec, J., Topol, E. J., &amp; Rajpurkar, P. (2023). Foundation models for generalist medical artificial intelligence. Nature, 616(7956), 259-265.</w:t>
      </w:r>
    </w:p>
    <w:p xmlns:w="http://schemas.openxmlformats.org/wordprocessingml/2006/main">
      <w:pPr>
        <w:jc w:val="both"/>
        <w:spacing w:after="120"/>
      </w:pPr>
      <w:r>
        <w:rPr>
          <w:sz w:val="20"/>
          <w:szCs w:val="20"/>
        </w:rPr>
        <w:t xml:space="preserve">[50] Thirunavukarasu, A. J., Ting, D. S. J., Elangovan, K., Gutierrez, L., Tan, T. F., &amp; Ting, D. S. W. (2023). Large language models in medicine. Nature Medicine, 29(8), 1930-1940.</w:t>
      </w:r>
    </w:p>
    <w:p xmlns:w="http://schemas.openxmlformats.org/wordprocessingml/2006/main">
      <w:pPr>
        <w:jc w:val="both"/>
        <w:spacing w:after="120"/>
      </w:pPr>
      <w:r>
        <w:rPr>
          <w:sz w:val="20"/>
          <w:szCs w:val="20"/>
        </w:rPr>
        <w:t xml:space="preserve">[51] Lee, P., Bubeck, S., &amp; Petro, J. (2023). Benefits, limits, and risks of GPT-4 as an AI chatbot for medicine. New England Journal of Medicine, 388(13), 1233-1239.</w:t>
      </w:r>
    </w:p>
    <w:p xmlns:w="http://schemas.openxmlformats.org/wordprocessingml/2006/main">
      <w:pPr>
        <w:jc w:val="both"/>
        <w:spacing w:after="120"/>
      </w:pPr>
      <w:r>
        <w:rPr>
          <w:sz w:val="20"/>
          <w:szCs w:val="20"/>
        </w:rPr>
        <w:t xml:space="preserve">[52] Singhal, K., Azizi, S., Tu, T., Mahdavi, S. S., Wei, J., Chung, H. W., &amp; Natarajan, V. (2023). Large language models encode clinical knowledge. Nature, 620(7972), 172-180.</w:t>
      </w:r>
    </w:p>
    <w:p xmlns:w="http://schemas.openxmlformats.org/wordprocessingml/2006/main">
      <w:pPr>
        <w:jc w:val="both"/>
        <w:spacing w:after="120"/>
      </w:pPr>
      <w:r>
        <w:rPr>
          <w:sz w:val="20"/>
          <w:szCs w:val="20"/>
        </w:rPr>
        <w:t xml:space="preserve">[53] Noy, S., &amp; Zhang, W. (2023). Experimental evidence on the productivity effects of generative artificial intelligence. Science, 381(6654), 187-192.</w:t>
      </w:r>
    </w:p>
    <w:p xmlns:w="http://schemas.openxmlformats.org/wordprocessingml/2006/main">
      <w:pPr>
        <w:jc w:val="both"/>
        <w:spacing w:after="120"/>
      </w:pPr>
      <w:r>
        <w:rPr>
          <w:sz w:val="20"/>
          <w:szCs w:val="20"/>
        </w:rPr>
        <w:t xml:space="preserve">[54] Kung, T. H., Cheatham, M., Medenilla, A., Sillos, C., De Leon, L., Elepaño, C., &amp; Tseng, V. (2023). Performance of ChatGPT on USMLE. PLOS Digital Health, 2(2), e0000198.</w:t>
      </w:r>
    </w:p>
    <w:p xmlns:w="http://schemas.openxmlformats.org/wordprocessingml/2006/main">
      <w:pPr>
        <w:jc w:val="both"/>
        <w:spacing w:after="120"/>
      </w:pPr>
      <w:r>
        <w:rPr>
          <w:sz w:val="20"/>
          <w:szCs w:val="20"/>
        </w:rPr>
        <w:t xml:space="preserve">[55] Shah, R. S., &amp; Kamdar, M. R. (2023). The emerging role of AI in medical education and assessment. Academic Medicine, 98(5), 530-531.</w:t>
      </w:r>
    </w:p>
    <w:p xmlns:w="http://schemas.openxmlformats.org/wordprocessingml/2006/main">
      <w:pPr>
        <w:jc w:val="both"/>
        <w:spacing w:after="120"/>
      </w:pPr>
      <w:r>
        <w:rPr>
          <w:sz w:val="20"/>
          <w:szCs w:val="20"/>
        </w:rPr>
        <w:t xml:space="preserve">[56] AACSB International. (2023). 2020 Guiding Principles and Standards for Business Accreditation. AACSB.</w:t>
      </w:r>
    </w:p>
    <w:p xmlns:w="http://schemas.openxmlformats.org/wordprocessingml/2006/main">
      <w:pPr>
        <w:jc w:val="both"/>
        <w:spacing w:after="120"/>
      </w:pPr>
      <w:r>
        <w:rPr>
          <w:sz w:val="20"/>
          <w:szCs w:val="20"/>
        </w:rPr>
        <w:t xml:space="preserve">[57] Kripalani, S., LeFevre, F., Phillips, C. O., Williams, M. V., Basaviah, P., &amp; Baker, D. W. (2007). Deficits in communication and information transfer between hospital-based and primary care physicians. JAMA, 297(8), 831-841.</w:t>
      </w:r>
    </w:p>
    <w:p xmlns:w="http://schemas.openxmlformats.org/wordprocessingml/2006/main">
      <w:pPr>
        <w:jc w:val="both"/>
        <w:spacing w:after="120"/>
      </w:pPr>
      <w:r>
        <w:rPr>
          <w:sz w:val="20"/>
          <w:szCs w:val="20"/>
        </w:rPr>
        <w:t xml:space="preserve">[58] Porter, M. E., &amp; Lee, T. H. (2013). The strategy that will fix health care. Harvard Business Review, 91(10), 50-70.</w:t>
      </w:r>
    </w:p>
    <w:p xmlns:w="http://schemas.openxmlformats.org/wordprocessingml/2006/main">
      <w:pPr>
        <w:jc w:val="both"/>
        <w:spacing w:after="120"/>
      </w:pPr>
      <w:r>
        <w:rPr>
          <w:sz w:val="20"/>
          <w:szCs w:val="20"/>
        </w:rPr>
        <w:t xml:space="preserve">[59] Christensen, C. M., Grossman, J. H., &amp; Hwang, J. (2009). The Innovator's Prescription: A Disruptive Solution for Health Care. McGraw-Hill.</w:t>
      </w:r>
    </w:p>
    <w:p xmlns:w="http://schemas.openxmlformats.org/wordprocessingml/2006/main">
      <w:pPr>
        <w:jc w:val="both"/>
        <w:spacing w:after="120"/>
      </w:pPr>
      <w:r>
        <w:rPr>
          <w:sz w:val="20"/>
          <w:szCs w:val="20"/>
        </w:rPr>
        <w:t xml:space="preserve">[60] Berwick, D. M., Nolan, T. W., &amp; Whittington, J. (2008). The triple aim: Care, health, and cost. Health Affairs, 27(3), 759-769.</w:t>
      </w:r>
    </w:p>
    <w:p xmlns:w="http://schemas.openxmlformats.org/wordprocessingml/2006/main">
      <w:pPr>
        <w:jc w:val="both"/>
        <w:spacing w:after="120"/>
      </w:pPr>
      <w:r>
        <w:rPr>
          <w:sz w:val="20"/>
          <w:szCs w:val="20"/>
        </w:rPr>
        <w:t xml:space="preserve">[61] Cutler, D. M. (2020). The World's Most Valuable Resource Is No Longer Oil, but Data. Harvard University Press.</w:t>
      </w:r>
    </w:p>
    <w:p xmlns:w="http://schemas.openxmlformats.org/wordprocessingml/2006/main">
      <w:pPr>
        <w:jc w:val="both"/>
        <w:spacing w:after="120"/>
      </w:pPr>
      <w:r>
        <w:rPr>
          <w:sz w:val="20"/>
          <w:szCs w:val="20"/>
        </w:rPr>
        <w:t xml:space="preserve">[62] Hinton, G. (2018). Deep learning: A technology with the potential to transform health care. JAMA, 320(11), 1101-1102.</w:t>
      </w:r>
    </w:p>
    <w:p xmlns:w="http://schemas.openxmlformats.org/wordprocessingml/2006/main">
      <w:pPr>
        <w:jc w:val="both"/>
        <w:spacing w:after="120"/>
      </w:pPr>
      <w:r>
        <w:rPr>
          <w:sz w:val="20"/>
          <w:szCs w:val="20"/>
        </w:rPr>
        <w:t xml:space="preserve">[63] Esteva, A., Kuprel, B., Novoa, R. A., Ko, J., Swetter, S. M., Blau, H. M., &amp; Thrun, S. (2017). Dermatologist-level classification of skin cancer with deep neural networks. Nature, 542(7639), 115-118.</w:t>
      </w:r>
    </w:p>
    <w:sectPr>
      <w:pgSz w:w="12240" w:h="15840"/>
      <w:pgMar w:top="1440" w:right="1440" w:bottom="1440" w:left="1440"/>
    </w:sectPr>
  </w:body>
</w:document>
</file>

<file path=word/numbering.xml><?xml version="1.0" encoding="utf-8"?>
<w:numbering xmlns:w="http://schemas.openxmlformats.org/wordprocessingml/2006/main"/>
</file>

<file path=word/styles.xml><?xml version="1.0" encoding="utf-8"?>
<w:styles xmlns:w="http://schemas.openxmlformats.org/wordprocessingml/2006/main">
  <w:style w:type="paragraph" w:styleId="Normal">
    <w:name w:val="Normal"/>
    <w:rPr>
      <w:sz w:val="24"/>
      <w:szCs w:val="24"/>
      <w:rFonts w:ascii="Times New Roman" w:hAnsi="Times New Roman"/>
    </w:rPr>
  </w:style>
  <w:style w:type="paragraph" w:styleId="Heading1">
    <w:name w:val="heading 1"/>
    <w:pPr>
      <w:spacing w:before="360" w:after="240"/>
    </w:pPr>
    <w:rPr>
      <w:b/>
      <w:sz w:val="32"/>
      <w:szCs w:val="32"/>
      <w:rFonts w:ascii="Times New Roman" w:hAnsi="Times New Roman"/>
    </w:rPr>
  </w:style>
  <w:style w:type="paragraph" w:styleId="Heading2">
    <w:name w:val="heading 2"/>
    <w:pPr>
      <w:spacing w:before="360" w:after="240"/>
    </w:pPr>
    <w:rPr>
      <w:b/>
      <w:sz w:val="28"/>
      <w:szCs w:val="28"/>
      <w:rFonts w:ascii="Times New Roman" w:hAnsi="Times New Roman"/>
    </w:rPr>
  </w:style>
  <w:style w:type="paragraph" w:styleId="Heading3">
    <w:name w:val="heading 3"/>
    <w:pPr>
      <w:spacing w:before="360" w:after="240"/>
    </w:pPr>
    <w:rPr>
      <w:b/>
      <w:sz w:val="26"/>
      <w:szCs w:val="26"/>
      <w:rFonts w:ascii="Times New Roman" w:hAnsi="Times New Roman"/>
    </w:r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Figure1.png"/><Relationship Id="rId4" Type="http://schemas.openxmlformats.org/officeDocument/2006/relationships/image" Target="media/Figure2.png"/><Relationship Id="rId5" Type="http://schemas.openxmlformats.org/officeDocument/2006/relationships/image" Target="media/Figure3.png"/><Relationship Id="rId6" Type="http://schemas.openxmlformats.org/officeDocument/2006/relationships/image" Target="media/Figure4.png"/><Relationship Id="rId7" Type="http://schemas.openxmlformats.org/officeDocument/2006/relationships/image" Target="media/Figure5.png"/><Relationship Id="rId8" Type="http://schemas.openxmlformats.org/officeDocument/2006/relationships/image" Target="media/Figure6.png"/><Relationship Id="rId9" Type="http://schemas.openxmlformats.org/officeDocument/2006/relationships/image" Target="media/Figure7.png"/></Relationships>
</file>