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Machine Learning–Based Prediction of Surface Roughness in Magnetic Abrasive Finishing: Fundamentals, Data-Driven Modelling, and Intelligent Process Optimization</w:t>
      </w:r>
    </w:p>
    <w:p>
      <w:pPr>
        <w:pStyle w:val="Heading1"/>
      </w:pPr>
      <w:r>
        <w:t xml:space="preserve">Abstract</w:t>
      </w:r>
    </w:p>
    <w:p>
      <w:pPr>
        <w:pStyle w:val="Normal"/>
      </w:pPr>
      <w:r>
        <w:t xml:space="preserve">Magnetic abrasive finishing (MAF) has emerged over the past four decades as one of the most versatile precision finishing technologies for the deterministic control of surface integrity on components that are geometrically complex, dimensionally miniature, internally accessible only with difficulty, or fabricated from difficult-to-machine engineering materials. The essential appeal of MAF lies in its flexible magnetic abrasive brush, a self-adapting quasi-tool that conforms to the workpiece topography while transmitting finishing forces that can be regulated through the magnetic field rather than through rigid mechanical contact. Yet the very features that make MAF attractive—its dependence on a large set of coupled magnetic, mechanical, tribological, and material variables—also make it notoriously difficult to model analytically. The relationship between the controllable process parameters (magnetic flux density, rotational speed, working gap, abrasive concentration, abrasive particle size, finishing time, feed rate, lubrication, and workpiece material) and the resulting surface roughness is strongly nonlinear, path dependent, and replete with interaction effects that defy closed-form description. This chapter develops, in comprehensive detail, a systematic framework for the machine learning (ML)–based prediction of surface roughness in MAF and demonstrates how such predictive modelling underpins intelligent, data-driven process optimization. Beginning from the physical fundamentals of the process and the mechanics of material removal, the chapter progresses through the theory of surface metrology, the identification and characterization of the governing process parameters, the design of statistically efficient experiments, rigorous data preprocessing, and a detailed treatment of the principal ML algorithms—artificial neural networks, support vector regression, random forests, gradient boosting, and XGBoost—together with Gaussian process regression, k-nearest neighbours, and modern deep and hybrid architectures. Subsequent sections address model validation, uncertainty quantification, feature importance and explainability, hyperparameter optimization, and the integration of predictive models into single- and multi-objective optimization and closed-loop control. The chapter includes 20 figures, 16 tables, and a bibliography of 143 references, and it concludes with an assessment of open challenges and future research directions, including physics-informed learning, transfer learning across materials, digital twins, and the role of MAF within Industry 4.0 smart manufacturing ecosystems.</w:t>
      </w:r>
    </w:p>
    <w:p>
      <w:pPr>
        <w:pStyle w:val="Normal"/>
      </w:pPr>
      <w:r>
        <w:rPr>
          <w:b/>
        </w:rPr>
        <w:t xml:space="preserve">Keywords:</w:t>
      </w:r>
      <w:r>
        <w:t xml:space="preserve"> magnetic abrasive finishing; surface roughness; machine learning; artificial neural networks; support vector regression; random forest; gradient boosting; XGBoost; process optimization; surface integrity; predictive modelling; Industry 4.0.</w:t>
      </w:r>
    </w:p>
    <w:p>
      <w:pPr>
        <w:pStyle w:val="Heading1"/>
      </w:pPr>
      <w:r>
        <w:t xml:space="preserve">1. Introduction</w:t>
      </w:r>
    </w:p>
    <w:p>
      <w:pPr>
        <w:pStyle w:val="Heading2"/>
      </w:pPr>
      <w:r>
        <w:t xml:space="preserve">1.1 The Contemporary Demand for Surface Quality</w:t>
      </w:r>
    </w:p>
    <w:p>
      <w:pPr>
        <w:pStyle w:val="Normal"/>
      </w:pPr>
      <w:r>
        <w:t xml:space="preserve">Modern manufacturing industries increasingly demand components with high dimensional accuracy, excellent surface integrity, and low surface roughness. Components used in aerospace, automotive, biomedical, energy, semiconductor, and precision engineering applications often require surface finishing beyond the capability of conventional machining operations. The transition from mechanical systems designed with generous tolerances to systems that operate at the limits of material performance has elevated surface finish from a cosmetic afterthought to a primary functional determinant. In a turbine blade root, the difference between an arithmetic average roughness (Ra) of 0.8 micrometres and 0.1 micrometres can translate into a measurable change in fatigue life because surface asperities act as stress concentrators from which fatigue cracks preferentially initiate. In a hydraulic spool valve, submicron variations in bore roughness govern leakage rates, hysteresis, and stiction. In an orthopaedic implant, the roughness and residual stress state of the articulating surface influence both the tribological behaviour of the bearing couple and the biological response of surrounding tissue. Across these disparate applications a common theme recurs: the surface, rather than the bulk, dictates in-service performance, and the last few micrometres of material removed during finishing carry a disproportionate share of the engineering value.</w:t>
      </w:r>
    </w:p>
    <w:p>
      <w:pPr>
        <w:pStyle w:val="Normal"/>
      </w:pPr>
      <w:r>
        <w:t xml:space="preserve">Grinding, honing, lapping, polishing, and superfinishing processes have traditionally been employed to improve surface characteristics, and each occupies a well-defined niche in the finishing hierarchy. Grinding provides high material removal rates and good form control but leaves a characteristic directional lay and a heat-affected layer whose residual stresses may be tensile and therefore detrimental. Honing generates a cross-hatched surface ideal for lubricant retention in cylinder bores but is confined to internal cylindrical geometries. Lapping and polishing can achieve nanometric finishes on flat and gently curved surfaces but are slow, difficult to automate, and poorly suited to complex three-dimensional shapes. Superfinishing removes the amorphous and smeared layers left by grinding to produce mirror-like plateaus, yet it too relies on rigid bonded or coated abrasives that struggle to reach recessed or internal features. However, these processes can become inefficient when the component contains complex geometries, miniature features, internal surfaces, or difficult-to-machine materials. The fundamental limitation shared by conventional finishing operations is the rigidity of the tool: a bonded grinding wheel, a honing stone, or a lapping plate imposes its own geometry on the workpiece and cannot readily conform to freeform contours, sharp internal fillets, or the interior of a slender tube.</w:t>
      </w:r>
    </w:p>
    <w:p>
      <w:pPr>
        <w:pStyle w:val="Heading2"/>
      </w:pPr>
      <w:r>
        <w:t xml:space="preserve">1.2 The Distinctive Position of Magnetic Abrasive Finishing</w:t>
      </w:r>
    </w:p>
    <w:p>
      <w:pPr>
        <w:pStyle w:val="Normal"/>
      </w:pPr>
      <w:r>
        <w:t xml:space="preserve">Magnetic abrasive finishing is an advanced finishing technique that utilizes magnetic fields and abrasive particles to remove microscopic irregularities from a workpiece surface. The process is particularly attractive because it can provide controlled finishing forces and can be adapted to external and internal surfaces. In place of a rigid bonded tool, MAF employs a flexible magnetic abrasive brush formed in situ from ferromagnetic and abrasive constituents held together by the applied magnetic field. This brush behaves as a compliant, self-sharpening, and self-adapting quasi-tool: it conforms to the local curvature of the workpiece, redistributes finishing pressure across the contact zone, and continuously presents fresh abrasive edges as worn particles are displaced. Because the finishing force is transmitted magnetically rather than mechanically, it can be tuned precisely by adjusting the field, and it remains gentle enough to avoid the subsurface damage associated with aggressive bonded abrasives while being sufficient to level asperities at the micrometre and submicrometre scale.</w:t>
      </w:r>
    </w:p>
    <w:p>
      <w:pPr>
        <w:pStyle w:val="Normal"/>
      </w:pPr>
      <w:r>
        <w:t xml:space="preserve">The versatility of MAF is reflected in the breadth of geometries and materials to which it has been applied. Flat surfaces, external cylindrical surfaces, internal bores of tubes and capillaries, freeform aerospace components, dental and orthopaedic implants, silicon wafers, and thin-walled optical and electronic components have all been finished successfully by MAF variants. The process accommodates both ferromagnetic workpieces, for which the magnetic circuit can be closed through the part itself, and non-ferromagnetic workpieces such as austenitic stainless steels, aluminium alloys, copper, titanium, and ceramics, for which the abrasive brush is supported by an external magnetic circuit. This adaptability, combined with the low thermal input and the near absence of deleterious residual tensile stress, positions MAF as a finishing technology of choice where surface integrity is paramount and geometry precludes conventional methods.</w:t>
      </w:r>
    </w:p>
    <w:p>
      <w:pPr>
        <w:pStyle w:val="Heading2"/>
      </w:pPr>
      <w:r>
        <w:t xml:space="preserve">1.3 The Challenge of Process Parameter Selection</w:t>
      </w:r>
    </w:p>
    <w:p>
      <w:pPr>
        <w:pStyle w:val="Normal"/>
      </w:pPr>
      <w:r>
        <w:t xml:space="preserve">Despite its advantages, obtaining a desired surface roughness through MAF requires appropriate selection of process parameters. The interaction among magnetic field strength, abrasive concentration, rotational speed, working gap, finishing time, and material properties makes process optimization challenging. The finishing outcome in MAF is the emergent result of a chain of physical phenomena—magnetic field generation, particle magnetization, brush formation, force transmission, tribological interaction, and progressive material removal—each of which is governed by several variables that interact in ways that are neither additive nor monotonic. Increasing the magnetic flux density, for example, generally raises the normal finishing force and accelerates material removal, but beyond a threshold it may cause abrasive particles to embed or to scratch the surface, degrading rather than improving the finish. Reducing the working gap concentrates the magnetic field and stiffens the brush, yet an excessively small gap constrains particle circulation and can lead to loading and burnishing rather than cutting. Rotational speed raises the relative velocity and hence the number of cutting events per unit time, but excessive speed throws particles centrifugally out of the finishing zone and can generate frictional heat. These are only pairwise illustrations; in practice the parameters interact at third and higher orders, and the location of the optimum shifts with workpiece material, initial surface condition, and abrasive chemistry.</w:t>
      </w:r>
    </w:p>
    <w:p>
      <w:pPr>
        <w:pStyle w:val="Normal"/>
      </w:pPr>
      <w:r>
        <w:t xml:space="preserve">The traditional response to this complexity has been twofold. On one hand, researchers have pursued analytical and semi-empirical models grounded in the physics of magnetic force, indentation mechanics, and abrasive wear. These models yield valuable qualitative insight and dimensionless scaling relationships, but they inevitably rest on simplifying assumptions—idealized particle geometry, uniform field distribution, quasi-static contact—that limit their quantitative predictive accuracy across the full operating envelope. On the other hand, practitioners have relied on statistical design of experiments coupled with response surface methodology and Taguchi analysis to map the parameter space empirically. These techniques are powerful and remain indispensable, but the low-order polynomial response surfaces they fit are ill-suited to capturing the sharp nonlinearities, thresholds, and high-order interactions that characterize MAF, and their predictive validity degrades rapidly outside the experimental region.</w:t>
      </w:r>
    </w:p>
    <w:p>
      <w:pPr>
        <w:pStyle w:val="Heading2"/>
      </w:pPr>
      <w:r>
        <w:t xml:space="preserve">1.4 The Machine Learning Opportunity</w:t>
      </w:r>
    </w:p>
    <w:p>
      <w:pPr>
        <w:pStyle w:val="Normal"/>
      </w:pPr>
      <w:r>
        <w:t xml:space="preserve">Artificial intelligence (AI) and machine learning offer an opportunity to overcome this limitation. Instead of developing a purely analytical relationship between process parameters and surface roughness, ML algorithms can learn the relationship from experimental observations. Machine learning reframes the modelling problem: rather than positing a fixed functional form and estimating a handful of coefficients, ML algorithms adopt flexible function classes—layered networks of nonlinear units, ensembles of decision trees, kernel expansions in high-dimensional feature spaces—whose capacity can be adjusted to match the complexity of the underlying process. Given a representative set of experimental observations pairing input parameters with measured roughness, these algorithms identify the mapping that best explains the data while generalizing to unseen conditions. Crucially, they do so without requiring the analyst to specify in advance which interactions matter or what shape the response takes; the structure is discovered from data.</w:t>
      </w:r>
    </w:p>
    <w:p>
      <w:pPr>
        <w:pStyle w:val="Normal"/>
      </w:pPr>
      <w:r>
        <w:t xml:space="preserve">The advantages of this data-driven paradigm for MAF are several. First, ML models naturally accommodate the strong nonlinearity and interaction effects that defeat low-order regression. Second, once trained, they evaluate predictions almost instantaneously, enabling their embedding within optimization loops that would be computationally prohibitive if each evaluation required a physical experiment or a finite-element simulation. Third, modern ML methodology provides principled tools for quantifying predictive uncertainty, ranking the importance of process variables, and explaining individual predictions—capabilities that transform a black-box predictor into an instrument of process understanding. Fourth, ML models can be updated incrementally as new data arrive, allowing them to track drift in tooling, abrasive condition, and material batch, and to participate in closed-loop, self-improving manufacturing systems.</w:t>
      </w:r>
    </w:p>
    <w:p>
      <w:pPr>
        <w:pStyle w:val="Normal"/>
      </w:pPr>
      <w:r>
        <w:t xml:space="preserve">These advantages come with responsibilities. A data-driven model is only as trustworthy as the data from which it is learned, and the entire edifice of ML-based prediction rests on the quality, representativeness, and integrity of the experimental dataset. Poorly designed experiments, unmeasured confounders, measurement noise, and extrapolation beyond the sampled region can all produce models that appear accurate on paper yet fail in practice. Much of this chapter is therefore devoted not merely to the algorithms themselves but to the discipline that surrounds them: rigorous experimental design, careful preprocessing, honest validation, and sober interpretation.</w:t>
      </w:r>
    </w:p>
    <w:p>
      <w:pPr>
        <w:pStyle w:val="Heading2"/>
      </w:pPr>
      <w:r>
        <w:t xml:space="preserve">1.5 Objectives and Scope of the Chapter</w:t>
      </w:r>
    </w:p>
    <w:p>
      <w:pPr>
        <w:pStyle w:val="Normal"/>
      </w:pPr>
      <w:r>
        <w:t xml:space="preserve">Therefore, the objective of this chapter is to develop a systematic framework for ML-based prediction of surface roughness in MAF and demonstrate how predictive modelling can support intelligent process optimization. The framework is presented as an end-to-end pipeline that begins with the physical understanding of the process and ends with its intelligent control, and each stage is treated at a level of detail sufficient for a graduate student or practising engineer to implement it. Specifically, the chapter aims to:</w:t>
      </w:r>
    </w:p>
    <w:p>
      <w:pPr>
        <w:pStyle w:val="Normal"/>
      </w:pPr>
      <w:r>
        <w:t xml:space="preserve">1. Establish the physical fundamentals of MAF, including the configuration of typical systems, the formation and mechanics of the magnetic abrasive brush, and the micro-scale mechanisms of material removal, so that the data-driven models to follow are grounded in process reality rather than treated as abstract regression exercises.</w:t>
      </w:r>
    </w:p>
    <w:p>
      <w:pPr>
        <w:pStyle w:val="Normal"/>
      </w:pPr>
      <w:r>
        <w:t xml:space="preserve">2. Develop the metrology of surface roughness, defining the amplitude, spacing, and hybrid parameters used to characterize finished surfaces, and articulating why Ra, while ubiquitous, is an incomplete descriptor that ML models can be trained to complement with additional response variables.</w:t>
      </w:r>
    </w:p>
    <w:p>
      <w:pPr>
        <w:pStyle w:val="Normal"/>
      </w:pPr>
      <w:r>
        <w:t xml:space="preserve">3. Identify and characterize the process parameters that govern surface roughness in MAF, analysing their individual influences and, more importantly, the interaction structure that makes analytical modelling intractable and ML modelling advantageous.</w:t>
      </w:r>
    </w:p>
    <w:p>
      <w:pPr>
        <w:pStyle w:val="Normal"/>
      </w:pPr>
      <w:r>
        <w:t xml:space="preserve">4. Present the methodology of experimental data acquisition and design of experiments for ML, contrasting classical response surface designs with space-filling designs better suited to training flexible learners, and quantifying the data volumes required for reliable modelling.</w:t>
      </w:r>
    </w:p>
    <w:p>
      <w:pPr>
        <w:pStyle w:val="Normal"/>
      </w:pPr>
      <w:r>
        <w:t xml:space="preserve">5. Detail the preprocessing pipeline—cleaning, imputation, outlier handling, scaling, encoding, feature engineering, and dataset partitioning—that stands between raw experimental measurements and a model-ready dataset.</w:t>
      </w:r>
    </w:p>
    <w:p>
      <w:pPr>
        <w:pStyle w:val="Normal"/>
      </w:pPr>
      <w:r>
        <w:t xml:space="preserve">6. Provide a thorough exposition of the principal ML algorithms applicable to MAF, from artificial neural networks and support vector regression through tree ensembles and gradient boosting to Gaussian processes and hybrid physics-informed architectures, with attention to their assumptions, strengths, limitations, and suitability for the small-to-moderate datasets typical of MAF research.</w:t>
      </w:r>
    </w:p>
    <w:p>
      <w:pPr>
        <w:pStyle w:val="Normal"/>
      </w:pPr>
      <w:r>
        <w:t xml:space="preserve">7. Establish rigorous practices for model validation, hyperparameter optimization, uncertainty quantification, and explainability, so that reported model performance is honest and the resulting models are interpretable and trustworthy.</w:t>
      </w:r>
    </w:p>
    <w:p>
      <w:pPr>
        <w:pStyle w:val="Normal"/>
      </w:pPr>
      <w:r>
        <w:t xml:space="preserve">8. Demonstrate how validated predictive models are embedded within single- and multi-objective optimization and within closed-loop, adaptive control, thereby closing the loop from prediction to intelligent process optimization.</w:t>
      </w:r>
    </w:p>
    <w:p>
      <w:pPr>
        <w:pStyle w:val="Normal"/>
      </w:pPr>
      <w:r>
        <w:t xml:space="preserve">9. Survey the state of the art through representative case studies, identify the open challenges that currently limit the field, and chart future directions including physics-informed learning, transfer learning, digital twins, and the integration of MAF into Industry 4.0 manufacturing systems.</w:t>
      </w:r>
    </w:p>
    <w:p>
      <w:pPr>
        <w:pStyle w:val="Heading2"/>
      </w:pPr>
      <w:r>
        <w:t xml:space="preserve">1.6 Structure of the Chapter</w:t>
      </w:r>
    </w:p>
    <w:p>
      <w:pPr>
        <w:pStyle w:val="Normal"/>
      </w:pPr>
      <w:r>
        <w:t xml:space="preserve">The remainder of the chapter is organized to follow the logical progression of the framework outlined above. Section 2 establishes the fundamentals of MAF. Section 3 examines the material removal mechanism. Section 4 develops surface roughness metrology. Section 5 analyses the process parameters and their interactions. Section 6 addresses experimental data acquisition, and Section 7 treats experimental design for machine learning. Section 8 details data preprocessing. Section 9 provides the core exposition of machine learning algorithms. Section 10 addresses model training, validation, and hyperparameter optimization. Section 11 treats uncertainty quantification and explainability. Section 12 develops the integration of predictive models into process optimization and closed-loop control. Section 13 presents case studies and a comparative synthesis of the literature. Section 14 discusses challenges, limitations, and future directions. Section 15 concludes. A comprehensive list of 143 references follows. Throughout, figures and tables are used to consolidate concepts, illustrate architectures, and summarize comparative data.</w:t>
      </w:r>
    </w:p>
    <w:p>
      <w:pPr>
        <w:pStyle w:val="Normal"/>
      </w:pPr>
      <w:r>
        <w:t xml:space="preserve">The interdisciplinary character of the subject deserves emphasis at the outset. Progress in ML-based MAF modelling requires fluency in three traditionally separate domains: the precision-manufacturing physics of magnetic abrasive finishing; the statistics of experimental design and metrology; and the computational methods of machine learning. Historically these communities have published in different venues, adopted different vocabularies, and evaluated success by different criteria. A central premise of this chapter is that the most reliable and useful models arise at the intersection of these domains—models whose architecture respects the physics, whose training data respect the principles of sound experimentation, and whose evaluation respects the standards of statistical rigour. The framework developed here is offered in that integrative spirit [1], [2], [3], [4], [5].</w:t>
      </w:r>
    </w:p>
    <w:p>
      <w:pPr>
        <w:pStyle w:val="Heading1"/>
      </w:pPr>
      <w:r>
        <w:t xml:space="preserve">2. Fundamentals of Magnetic Abrasive Finishing</w:t>
      </w:r>
    </w:p>
    <w:p>
      <w:pPr>
        <w:pStyle w:val="Heading2"/>
      </w:pPr>
      <w:r>
        <w:t xml:space="preserve">2.1 Principle of Operation</w:t>
      </w:r>
    </w:p>
    <w:p>
      <w:pPr>
        <w:pStyle w:val="Normal"/>
      </w:pPr>
      <w:r>
        <w:t xml:space="preserve">Magnetic abrasive finishing is a precision machining process based on the interaction between magnetic fields, magnetic abrasives, and the workpiece surface. The distinguishing feature of MAF, relative to every conventional finishing process, is that the tool is not a solid body of fixed geometry but a dynamically assembled aggregate of particles bound together and pressed against the workpiece by magnetic forces. When ferromagnetic particles, either sintered together with abrasive grains or mechanically mixed with them, are introduced into the gap between magnetic poles, they experience a magnetic force whose magnitude is proportional to the product of the field strength and its spatial gradient. This force draws the particles toward regions of intense field and, because each magnetized particle itself distorts the local field, encourages the particles to link end to end into chains that align with the field lines. The resulting structure—an array of flexible, semi-rigid chains bridging the working gap—is the magnetic abrasive brush.</w:t>
      </w:r>
    </w:p>
    <w:p>
      <w:pPr>
        <w:pStyle w:val="Normal"/>
      </w:pPr>
      <w:r>
        <w:t xml:space="preserve">Because the brush is held together by field forces rather than by a rigid matrix, it possesses a compliance that a bonded wheel or stone cannot match. It deflects under load, redistributes contact pressure, and conforms to gentle curvature and surface waviness. At the same time, the magnetic force endows it with sufficient stiffness to transmit the normal pressure required to indent and abrade surface asperities. The balance between compliance and stiffness—between the ability to conform and the ability to cut—is set by the magnetic field, the particle properties, and the working gap, and it is precisely this balance that determines the finishing outcome. When relative motion is imposed between the workpiece and the brush, whether by rotating the workpiece, oscillating the poles, or both, the abrasive grains carried within the chains slide and roll across the surface, engaging asperities and progressively removing material.</w:t>
      </w:r>
    </w:p>
    <w:p>
      <w:pPr>
        <w:pStyle w:val="Heading2"/>
      </w:pPr>
      <w:r>
        <w:t xml:space="preserve">2.2 Components of a Typical MAF System</w:t>
      </w:r>
    </w:p>
    <w:p>
      <w:pPr>
        <w:pStyle w:val="Normal"/>
      </w:pPr>
      <w:r>
        <w:t xml:space="preserve">A typical MAF system consists of a set of subsystems whose coordinated operation establishes and controls the finishing action. The principal components are the workpiece, the magnetic field source (a permanent magnet or an electromagnet), the magnetic abrasive particles, the magnetic poles that shape and concentrate the field, a drive mechanism to impose relative motion, a control system to regulate the process variables, and a cooling or lubrication system to manage friction and heat and to carry away debris. Each of these is described below, and Table 1 summarizes their functions and design considerations.</w:t>
      </w:r>
    </w:p>
    <w:p>
      <w:pPr>
        <w:pStyle w:val="Normal"/>
      </w:pPr>
      <w:r>
        <w:t xml:space="preserve">The </w:t>
      </w:r>
      <w:r>
        <w:rPr>
          <w:b/>
        </w:rPr>
        <w:t xml:space="preserve">workpiece</w:t>
      </w:r>
      <w:r>
        <w:t xml:space="preserve"> is both the object of the process and, when ferromagnetic, a participant in the magnetic circuit. Its material class (ferromagnetic or non-ferromagnetic), geometry (flat, cylindrical, tubular, freeform), initial surface condition, and mechanical properties all influence the finishing response. For ferromagnetic workpieces the magnetic flux passes through the part, concentrating the field at the workpiece surface and enhancing the finishing force; for non-ferromagnetic parts the magnetic circuit must be closed externally, and the field in the working gap is correspondingly weaker for a given excitation.</w:t>
      </w:r>
    </w:p>
    <w:p>
      <w:pPr>
        <w:pStyle w:val="Normal"/>
      </w:pPr>
      <w:r>
        <w:t xml:space="preserve">The </w:t>
      </w:r>
      <w:r>
        <w:rPr>
          <w:b/>
        </w:rPr>
        <w:t xml:space="preserve">magnetic field source</w:t>
      </w:r>
      <w:r>
        <w:t xml:space="preserve"> may be a permanent magnet or an electromagnet. Permanent magnets, particularly rare-earth neodymium–iron–boron and samarium–cobalt grades, provide a strong, stable field without electrical power or cooling, but the field cannot be varied electronically and must be adjusted mechanically by changing the gap or the magnet arrangement. Electromagnets, by contrast, allow the field to be varied continuously and rapidly through the excitation current, making them the natural choice for adaptive and closed-loop control, at the cost of power consumption, heat generation, and the need for a current supply.</w:t>
      </w:r>
    </w:p>
    <w:p>
      <w:pPr>
        <w:pStyle w:val="Normal"/>
      </w:pPr>
      <w:r>
        <w:t xml:space="preserve">The </w:t>
      </w:r>
      <w:r>
        <w:rPr>
          <w:b/>
        </w:rPr>
        <w:t xml:space="preserve">magnetic abrasive particles</w:t>
      </w:r>
      <w:r>
        <w:t xml:space="preserve"> are the active medium. They exist in two broad forms: sintered magnetic abrasives, in which ferromagnetic material (typically iron) and abrasive grains (alumina, silicon carbide, diamond, cubic boron nitride, or chromium oxide) are bonded together within each particle; and mechanically mixed magnetic abrasives, in which separate ferromagnetic iron particles and abrasive grains are combined, often with a small quantity of lubricant. Sintered abrasives offer durability and consistent cutting behaviour; mixed abrasives are inexpensive, easily tailored, and readily replenished. The magnetic properties, size distribution, and abrasive content of the particles are among the most influential process variables.</w:t>
      </w:r>
    </w:p>
    <w:p>
      <w:pPr>
        <w:pStyle w:val="Normal"/>
      </w:pPr>
      <w:r>
        <w:t xml:space="preserve">The </w:t>
      </w:r>
      <w:r>
        <w:rPr>
          <w:b/>
        </w:rPr>
        <w:t xml:space="preserve">magnetic poles</w:t>
      </w:r>
      <w:r>
        <w:t xml:space="preserve"> shape and concentrate the field in the working gap. Pole geometry—flat, contoured, or profiled to match the workpiece—governs the spatial distribution of field strength and gradient and therefore the pressure distribution across the finishing zone. Pole design is one of the principal levers for extending MAF to complex geometries.</w:t>
      </w:r>
    </w:p>
    <w:p>
      <w:pPr>
        <w:pStyle w:val="Normal"/>
      </w:pPr>
      <w:r>
        <w:t xml:space="preserve">The </w:t>
      </w:r>
      <w:r>
        <w:rPr>
          <w:b/>
        </w:rPr>
        <w:t xml:space="preserve">drive mechanism</w:t>
      </w:r>
      <w:r>
        <w:t xml:space="preserve"> imposes the relative motion between brush and workpiece that is essential for material removal. This may involve rotating the workpiece, rotating or orbiting the magnetic poles, imposing an axial oscillation or vibration, or some combination. The kinematics of relative motion determine the trajectory density and the isotropy of the finished surface.</w:t>
      </w:r>
    </w:p>
    <w:p>
      <w:pPr>
        <w:pStyle w:val="Normal"/>
      </w:pPr>
      <w:r>
        <w:t xml:space="preserve">The </w:t>
      </w:r>
      <w:r>
        <w:rPr>
          <w:b/>
        </w:rPr>
        <w:t xml:space="preserve">control system</w:t>
      </w:r>
      <w:r>
        <w:t xml:space="preserve"> regulates the excitation current (and hence field), the rotational speed, the feed and oscillation, and the finishing time, and in advanced systems it acquires feedback from force, current, or in-process metrology sensors. It is within the control system that ML-based predictive models are ultimately embedded to enable intelligent optimization.</w:t>
      </w:r>
    </w:p>
    <w:p>
      <w:pPr>
        <w:pStyle w:val="Normal"/>
      </w:pPr>
      <w:r>
        <w:t xml:space="preserve">The </w:t>
      </w:r>
      <w:r>
        <w:rPr>
          <w:b/>
        </w:rPr>
        <w:t xml:space="preserve">cooling and lubrication system</w:t>
      </w:r>
      <w:r>
        <w:t xml:space="preserve"> supplies a fluid that reduces friction, moderates temperature, prevents abrasive loading, and flushes debris from the finishing zone. The choice of lubricant chemistry interacts with abrasive action and can materially affect the achievable finish.</w:t>
      </w:r>
    </w:p>
    <w:p>
      <w:pPr>
        <w:pStyle w:val="TableCaption"/>
      </w:pPr>
      <w:r>
        <w:t xml:space="preserve">Table 1. Principal components of a typical magnetic abrasive finishing system, their functions, and key design considerations.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Component</w:t>
            </w:r>
          </w:p>
        </w:tc>
        <w:tc>
          <w:tcPr>
            <w:tcW w:w="3120" w:type="dxa"/>
            <w:shd w:val="clear" w:color="auto" w:fill="D9E2F3"/>
          </w:tcPr>
          <w:p>
            <w:pPr>
              <w:jc w:val="center"/>
              <w:spacing w:after="20"/>
            </w:pPr>
            <w:r>
              <w:rPr>
                <w:b/>
              </w:rPr>
              <w:t xml:space="preserve">Primary function</w:t>
            </w:r>
          </w:p>
        </w:tc>
        <w:tc>
          <w:tcPr>
            <w:tcW w:w="3120" w:type="dxa"/>
            <w:shd w:val="clear" w:color="auto" w:fill="D9E2F3"/>
          </w:tcPr>
          <w:p>
            <w:pPr>
              <w:jc w:val="center"/>
              <w:spacing w:after="20"/>
            </w:pPr>
            <w:r>
              <w:rPr>
                <w:b/>
              </w:rPr>
              <w:t xml:space="preserve">Key design considerations</w:t>
            </w:r>
          </w:p>
        </w:tc>
      </w:tr>
      <w:tr>
        <w:tc>
          <w:tcPr>
            <w:tcW w:w="3120" w:type="dxa"/>
          </w:tcPr>
          <w:p>
            <w:pPr>
              <w:spacing w:after="20"/>
            </w:pPr>
            <w:r>
              <w:t xml:space="preserve">Workpiece</w:t>
            </w:r>
          </w:p>
        </w:tc>
        <w:tc>
          <w:tcPr>
            <w:tcW w:w="3120" w:type="dxa"/>
          </w:tcPr>
          <w:p>
            <w:pPr>
              <w:spacing w:after="20"/>
            </w:pPr>
            <w:r>
              <w:t xml:space="preserve">Object of finishing; may close the magnetic circuit</w:t>
            </w:r>
          </w:p>
        </w:tc>
        <w:tc>
          <w:tcPr>
            <w:tcW w:w="3120" w:type="dxa"/>
          </w:tcPr>
          <w:p>
            <w:pPr>
              <w:spacing w:after="20"/>
            </w:pPr>
            <w:r>
              <w:t xml:space="preserve">Ferromagnetic vs. non-ferromagnetic; geometry; initial roughness; hardness</w:t>
            </w:r>
          </w:p>
        </w:tc>
      </w:tr>
      <w:tr>
        <w:tc>
          <w:tcPr>
            <w:tcW w:w="3120" w:type="dxa"/>
          </w:tcPr>
          <w:p>
            <w:pPr>
              <w:spacing w:after="20"/>
            </w:pPr>
            <w:r>
              <w:t xml:space="preserve">Magnetic field source</w:t>
            </w:r>
          </w:p>
        </w:tc>
        <w:tc>
          <w:tcPr>
            <w:tcW w:w="3120" w:type="dxa"/>
          </w:tcPr>
          <w:p>
            <w:pPr>
              <w:spacing w:after="20"/>
            </w:pPr>
            <w:r>
              <w:t xml:space="preserve">Generates the magnetizing field</w:t>
            </w:r>
          </w:p>
        </w:tc>
        <w:tc>
          <w:tcPr>
            <w:tcW w:w="3120" w:type="dxa"/>
          </w:tcPr>
          <w:p>
            <w:pPr>
              <w:spacing w:after="20"/>
            </w:pPr>
            <w:r>
              <w:t xml:space="preserve">Permanent magnet (stable, passive) vs. electromagnet (variable, controllable)</w:t>
            </w:r>
          </w:p>
        </w:tc>
      </w:tr>
      <w:tr>
        <w:tc>
          <w:tcPr>
            <w:tcW w:w="3120" w:type="dxa"/>
          </w:tcPr>
          <w:p>
            <w:pPr>
              <w:spacing w:after="20"/>
            </w:pPr>
            <w:r>
              <w:t xml:space="preserve">Magnetic abrasive particles</w:t>
            </w:r>
          </w:p>
        </w:tc>
        <w:tc>
          <w:tcPr>
            <w:tcW w:w="3120" w:type="dxa"/>
          </w:tcPr>
          <w:p>
            <w:pPr>
              <w:spacing w:after="20"/>
            </w:pPr>
            <w:r>
              <w:t xml:space="preserve">Active finishing medium</w:t>
            </w:r>
          </w:p>
        </w:tc>
        <w:tc>
          <w:tcPr>
            <w:tcW w:w="3120" w:type="dxa"/>
          </w:tcPr>
          <w:p>
            <w:pPr>
              <w:spacing w:after="20"/>
            </w:pPr>
            <w:r>
              <w:t xml:space="preserve">Sintered vs. mechanically mixed; abrasive type; size; magnetic content</w:t>
            </w:r>
          </w:p>
        </w:tc>
      </w:tr>
      <w:tr>
        <w:tc>
          <w:tcPr>
            <w:tcW w:w="3120" w:type="dxa"/>
          </w:tcPr>
          <w:p>
            <w:pPr>
              <w:spacing w:after="20"/>
            </w:pPr>
            <w:r>
              <w:t xml:space="preserve">Magnetic poles</w:t>
            </w:r>
          </w:p>
        </w:tc>
        <w:tc>
          <w:tcPr>
            <w:tcW w:w="3120" w:type="dxa"/>
          </w:tcPr>
          <w:p>
            <w:pPr>
              <w:spacing w:after="20"/>
            </w:pPr>
            <w:r>
              <w:t xml:space="preserve">Shape and concentrate the field</w:t>
            </w:r>
          </w:p>
        </w:tc>
        <w:tc>
          <w:tcPr>
            <w:tcW w:w="3120" w:type="dxa"/>
          </w:tcPr>
          <w:p>
            <w:pPr>
              <w:spacing w:after="20"/>
            </w:pPr>
            <w:r>
              <w:t xml:space="preserve">Pole geometry; gap length; field gradient; conformity to workpiece</w:t>
            </w:r>
          </w:p>
        </w:tc>
      </w:tr>
      <w:tr>
        <w:tc>
          <w:tcPr>
            <w:tcW w:w="3120" w:type="dxa"/>
          </w:tcPr>
          <w:p>
            <w:pPr>
              <w:spacing w:after="20"/>
            </w:pPr>
            <w:r>
              <w:t xml:space="preserve">Drive mechanism</w:t>
            </w:r>
          </w:p>
        </w:tc>
        <w:tc>
          <w:tcPr>
            <w:tcW w:w="3120" w:type="dxa"/>
          </w:tcPr>
          <w:p>
            <w:pPr>
              <w:spacing w:after="20"/>
            </w:pPr>
            <w:r>
              <w:t xml:space="preserve">Imposes relative brush–workpiece motion</w:t>
            </w:r>
          </w:p>
        </w:tc>
        <w:tc>
          <w:tcPr>
            <w:tcW w:w="3120" w:type="dxa"/>
          </w:tcPr>
          <w:p>
            <w:pPr>
              <w:spacing w:after="20"/>
            </w:pPr>
            <w:r>
              <w:t xml:space="preserve">Rotation, oscillation, orbit; speed; trajectory density; isotropy</w:t>
            </w:r>
          </w:p>
        </w:tc>
      </w:tr>
      <w:tr>
        <w:tc>
          <w:tcPr>
            <w:tcW w:w="3120" w:type="dxa"/>
          </w:tcPr>
          <w:p>
            <w:pPr>
              <w:spacing w:after="20"/>
            </w:pPr>
            <w:r>
              <w:t xml:space="preserve">Control system</w:t>
            </w:r>
          </w:p>
        </w:tc>
        <w:tc>
          <w:tcPr>
            <w:tcW w:w="3120" w:type="dxa"/>
          </w:tcPr>
          <w:p>
            <w:pPr>
              <w:spacing w:after="20"/>
            </w:pPr>
            <w:r>
              <w:t xml:space="preserve">Regulates and monitors process variables</w:t>
            </w:r>
          </w:p>
        </w:tc>
        <w:tc>
          <w:tcPr>
            <w:tcW w:w="3120" w:type="dxa"/>
          </w:tcPr>
          <w:p>
            <w:pPr>
              <w:spacing w:after="20"/>
            </w:pPr>
            <w:r>
              <w:t xml:space="preserve">Current/field control; speed control; sensing and feedback; ML integration</w:t>
            </w:r>
          </w:p>
        </w:tc>
      </w:tr>
      <w:tr>
        <w:tc>
          <w:tcPr>
            <w:tcW w:w="3120" w:type="dxa"/>
          </w:tcPr>
          <w:p>
            <w:pPr>
              <w:spacing w:after="20"/>
            </w:pPr>
            <w:r>
              <w:t xml:space="preserve">Cooling / lubrication</w:t>
            </w:r>
          </w:p>
        </w:tc>
        <w:tc>
          <w:tcPr>
            <w:tcW w:w="3120" w:type="dxa"/>
          </w:tcPr>
          <w:p>
            <w:pPr>
              <w:spacing w:after="20"/>
            </w:pPr>
            <w:r>
              <w:t xml:space="preserve">Manages friction, heat, and debris</w:t>
            </w:r>
          </w:p>
        </w:tc>
        <w:tc>
          <w:tcPr>
            <w:tcW w:w="3120" w:type="dxa"/>
          </w:tcPr>
          <w:p>
            <w:pPr>
              <w:spacing w:after="20"/>
            </w:pPr>
            <w:r>
              <w:t xml:space="preserve">Lubricant chemistry; flow rate; filtration; loading prevention</w:t>
            </w:r>
          </w:p>
        </w:tc>
      </w:tr>
    </w:tbl>
    <w:p>
      <w:pPr>
        <w:spacing w:after="120"/>
      </w:pPr>
    </w:p>
    <w:p>
      <w:pPr>
        <w:pStyle w:val="Heading2"/>
      </w:pPr>
      <w:r>
        <w:t xml:space="preserve">2.3 Formation and Behaviour of the Magnetic Abrasive Brush</w:t>
      </w:r>
    </w:p>
    <w:p>
      <w:pPr>
        <w:pStyle w:val="Normal"/>
      </w:pPr>
      <w:r>
        <w:t xml:space="preserve">During operation, magnetic abrasive particles are attracted toward the magnetic poles and form a flexible magnetic abrasive brush in the working gap. The formation of the brush is a self-organizing process driven by the minimization of magnetostatic energy. Each ferromagnetic particle, once magnetized, becomes a magnetic dipole; neighbouring dipoles attract when aligned head to tail, and the ensemble spontaneously arranges itself into chains that follow the field lines from one pole to the other. These chains are not static: as the workpiece moves and as particles wear and fracture, chains break and reform continuously, so the brush is in a state of dynamic equilibrium that constantly presents fresh abrasive to the surface. This self-renewal is one of the mechanisms behind the self-sharpening character of MAF.</w:t>
      </w:r>
    </w:p>
    <w:p>
      <w:pPr>
        <w:pStyle w:val="Normal"/>
      </w:pPr>
      <w:r>
        <w:t xml:space="preserve">The magnetic field organizes the abrasive particles into chains. When relative motion occurs between the workpiece and magnetic abrasive brush, the abrasives interact with surface asperities and progressively remove microscopic material. The stiffness of the chains, and hence the finishing pressure, increases with field strength and with the aspect ratio and magnetic permeability of the particles. The chains behave somewhat like flexible cutting elements: under light load they bend and slide, producing a gentle burnishing and polishing action; under heavier load, imposed by a stronger field or a smaller gap, they resist bending and drive the abrasive grains into the surface, producing micro-cutting. The transition between these regimes, and the possibility of overshooting into surface damage, is central to parameter selection.</w:t>
      </w:r>
    </w:p>
    <w:p>
      <w:pPr>
        <w:pStyle w:val="Heading2"/>
      </w:pPr>
      <w:r>
        <w:t xml:space="preserve">2.4 The MAF Process Chain</w:t>
      </w:r>
    </w:p>
    <w:p>
      <w:pPr>
        <w:pStyle w:val="Normal"/>
      </w:pPr>
      <w:r>
        <w:t xml:space="preserve">The process can therefore be represented as a causal chain: magnetic field generation leads to particle magnetization, which leads to abrasive brush formation, which under imposed relative motion leads to abrasive–surface interaction, which produces material removal and hence surface improvement. Symbolically:</w:t>
      </w:r>
    </w:p>
    <w:p>
      <w:pPr>
        <w:pStyle w:val="Normal"/>
      </w:pPr>
      <w:r>
        <w:t xml:space="preserve">Magnetic field → particle magnetization → abrasive brush formation → relative motion → abrasive–surface interaction → material removal → surface improvement</w:t>
      </w:r>
    </w:p>
    <w:p>
      <w:pPr>
        <w:pStyle w:val="Normal"/>
      </w:pPr>
      <w:r>
        <w:t xml:space="preserve">Each arrow in this chain conceals a rich physics governed by multiple variables, and the overall transfer function from controllable inputs to the finished surface is the composition of these stages. It is precisely because this composed function is highly nonlinear and interaction-laden that data-driven modelling is attractive: rather than modelling each stage analytically and propagating the inevitable approximations, an ML model learns the composed input–output relationship directly from observations of the whole process [6], [7], [8], [9].</w:t>
      </w:r>
    </w:p>
    <w:p>
      <w:pPr>
        <w:pStyle w:val="Heading2"/>
      </w:pPr>
      <w:r>
        <w:t xml:space="preserve">2.5 Variants and Configurations of MAF</w:t>
      </w:r>
    </w:p>
    <w:p>
      <w:pPr>
        <w:pStyle w:val="Normal"/>
      </w:pPr>
      <w:r>
        <w:t xml:space="preserve">MAF is not a single process but a family of configurations adapted to different geometries and objectives. In </w:t>
      </w:r>
      <w:r>
        <w:rPr>
          <w:b/>
        </w:rPr>
        <w:t xml:space="preserve">plane MAF</w:t>
      </w:r>
      <w:r>
        <w:t xml:space="preserve">, flat surfaces are finished between poles with the workpiece translating or the poles orbiting. In </w:t>
      </w:r>
      <w:r>
        <w:rPr>
          <w:b/>
        </w:rPr>
        <w:t xml:space="preserve">cylindrical MAF</w:t>
      </w:r>
      <w:r>
        <w:t xml:space="preserve">, external cylindrical surfaces are finished by rotating the workpiece between poles while imposing an axial oscillation to generate a cross-hatched, isotropic finish. In </w:t>
      </w:r>
      <w:r>
        <w:rPr>
          <w:b/>
        </w:rPr>
        <w:t xml:space="preserve">internal MAF</w:t>
      </w:r>
      <w:r>
        <w:t xml:space="preserve">, the bores of tubes and capillaries are finished by driving a magnetic abrasive medium along the interior under the influence of an external rotating field, a configuration of great value for hydraulic, medical, and semiconductor tubing that is otherwise inaccessible. Hybrid and assisted variants include </w:t>
      </w:r>
      <w:r>
        <w:rPr>
          <w:b/>
        </w:rPr>
        <w:t xml:space="preserve">vibration-assisted MAF</w:t>
      </w:r>
      <w:r>
        <w:t xml:space="preserve">, in which superimposed oscillation enhances abrasive circulation; </w:t>
      </w:r>
      <w:r>
        <w:rPr>
          <w:b/>
        </w:rPr>
        <w:t xml:space="preserve">electrolytic MAF</w:t>
      </w:r>
      <w:r>
        <w:t xml:space="preserve">, which couples electrochemical dissolution with mechanical abrasion for hard-to-machine alloys; and </w:t>
      </w:r>
      <w:r>
        <w:rPr>
          <w:b/>
        </w:rPr>
        <w:t xml:space="preserve">ultrasonic-assisted MAF</w:t>
      </w:r>
      <w:r>
        <w:t xml:space="preserve">, which augments the finishing action with high-frequency energy. Table 2 summarizes these variants. From the standpoint of ML modelling, the significance of this taxonomy is that models are generally configuration-specific: a model trained on cylindrical MAF data will not transfer directly to internal MAF, because the underlying physics, kinematics, and dominant parameters differ. This configuration dependence motivates the later discussion of transfer learning as a means of leveraging data across related configurations.</w:t>
      </w:r>
    </w:p>
    <w:p>
      <w:pPr>
        <w:pStyle w:val="TableCaption"/>
      </w:pPr>
      <w:r>
        <w:t xml:space="preserve">Table 2. Principal variants of magnetic abrasive finishing and their characteristic applications.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jc w:val="center"/>
              <w:spacing w:after="20"/>
            </w:pPr>
            <w:r>
              <w:rPr>
                <w:b/>
              </w:rPr>
              <w:t xml:space="preserve">Variant</w:t>
            </w:r>
          </w:p>
        </w:tc>
        <w:tc>
          <w:tcPr>
            <w:tcW w:w="2340" w:type="dxa"/>
            <w:shd w:val="clear" w:color="auto" w:fill="D9E2F3"/>
          </w:tcPr>
          <w:p>
            <w:pPr>
              <w:jc w:val="center"/>
              <w:spacing w:after="20"/>
            </w:pPr>
            <w:r>
              <w:rPr>
                <w:b/>
              </w:rPr>
              <w:t xml:space="preserve">Typical geometry finished</w:t>
            </w:r>
          </w:p>
        </w:tc>
        <w:tc>
          <w:tcPr>
            <w:tcW w:w="2340" w:type="dxa"/>
            <w:shd w:val="clear" w:color="auto" w:fill="D9E2F3"/>
          </w:tcPr>
          <w:p>
            <w:pPr>
              <w:jc w:val="center"/>
              <w:spacing w:after="20"/>
            </w:pPr>
            <w:r>
              <w:rPr>
                <w:b/>
              </w:rPr>
              <w:t xml:space="preserve">Distinguishing feature</w:t>
            </w:r>
          </w:p>
        </w:tc>
        <w:tc>
          <w:tcPr>
            <w:tcW w:w="2340" w:type="dxa"/>
            <w:shd w:val="clear" w:color="auto" w:fill="D9E2F3"/>
          </w:tcPr>
          <w:p>
            <w:pPr>
              <w:jc w:val="center"/>
              <w:spacing w:after="20"/>
            </w:pPr>
            <w:r>
              <w:rPr>
                <w:b/>
              </w:rPr>
              <w:t xml:space="preserve">Representative applications</w:t>
            </w:r>
          </w:p>
        </w:tc>
      </w:tr>
      <w:tr>
        <w:tc>
          <w:tcPr>
            <w:tcW w:w="2340" w:type="dxa"/>
          </w:tcPr>
          <w:p>
            <w:pPr>
              <w:spacing w:after="20"/>
            </w:pPr>
            <w:r>
              <w:t xml:space="preserve">Plane MAF</w:t>
            </w:r>
          </w:p>
        </w:tc>
        <w:tc>
          <w:tcPr>
            <w:tcW w:w="2340" w:type="dxa"/>
          </w:tcPr>
          <w:p>
            <w:pPr>
              <w:spacing w:after="20"/>
            </w:pPr>
            <w:r>
              <w:t xml:space="preserve">Flat surfaces, plates</w:t>
            </w:r>
          </w:p>
        </w:tc>
        <w:tc>
          <w:tcPr>
            <w:tcW w:w="2340" w:type="dxa"/>
          </w:tcPr>
          <w:p>
            <w:pPr>
              <w:spacing w:after="20"/>
            </w:pPr>
            <w:r>
              <w:t xml:space="preserve">Poles orbit or workpiece translates</w:t>
            </w:r>
          </w:p>
        </w:tc>
        <w:tc>
          <w:tcPr>
            <w:tcW w:w="2340" w:type="dxa"/>
          </w:tcPr>
          <w:p>
            <w:pPr>
              <w:spacing w:after="20"/>
            </w:pPr>
            <w:r>
              <w:t xml:space="preserve">Sealing faces, optical flats, dies</w:t>
            </w:r>
          </w:p>
        </w:tc>
      </w:tr>
      <w:tr>
        <w:tc>
          <w:tcPr>
            <w:tcW w:w="2340" w:type="dxa"/>
          </w:tcPr>
          <w:p>
            <w:pPr>
              <w:spacing w:after="20"/>
            </w:pPr>
            <w:r>
              <w:t xml:space="preserve">Cylindrical MAF</w:t>
            </w:r>
          </w:p>
        </w:tc>
        <w:tc>
          <w:tcPr>
            <w:tcW w:w="2340" w:type="dxa"/>
          </w:tcPr>
          <w:p>
            <w:pPr>
              <w:spacing w:after="20"/>
            </w:pPr>
            <w:r>
              <w:t xml:space="preserve">External cylinders, rollers</w:t>
            </w:r>
          </w:p>
        </w:tc>
        <w:tc>
          <w:tcPr>
            <w:tcW w:w="2340" w:type="dxa"/>
          </w:tcPr>
          <w:p>
            <w:pPr>
              <w:spacing w:after="20"/>
            </w:pPr>
            <w:r>
              <w:t xml:space="preserve">Rotation plus axial oscillation</w:t>
            </w:r>
          </w:p>
        </w:tc>
        <w:tc>
          <w:tcPr>
            <w:tcW w:w="2340" w:type="dxa"/>
          </w:tcPr>
          <w:p>
            <w:pPr>
              <w:spacing w:after="20"/>
            </w:pPr>
            <w:r>
              <w:t xml:space="preserve">Shafts, pins, rollers, tubes (outer)</w:t>
            </w:r>
          </w:p>
        </w:tc>
      </w:tr>
      <w:tr>
        <w:tc>
          <w:tcPr>
            <w:tcW w:w="2340" w:type="dxa"/>
          </w:tcPr>
          <w:p>
            <w:pPr>
              <w:spacing w:after="20"/>
            </w:pPr>
            <w:r>
              <w:t xml:space="preserve">Internal MAF</w:t>
            </w:r>
          </w:p>
        </w:tc>
        <w:tc>
          <w:tcPr>
            <w:tcW w:w="2340" w:type="dxa"/>
          </w:tcPr>
          <w:p>
            <w:pPr>
              <w:spacing w:after="20"/>
            </w:pPr>
            <w:r>
              <w:t xml:space="preserve">Bores, capillaries, tubes</w:t>
            </w:r>
          </w:p>
        </w:tc>
        <w:tc>
          <w:tcPr>
            <w:tcW w:w="2340" w:type="dxa"/>
          </w:tcPr>
          <w:p>
            <w:pPr>
              <w:spacing w:after="20"/>
            </w:pPr>
            <w:r>
              <w:t xml:space="preserve">External rotating field drives interior medium</w:t>
            </w:r>
          </w:p>
        </w:tc>
        <w:tc>
          <w:tcPr>
            <w:tcW w:w="2340" w:type="dxa"/>
          </w:tcPr>
          <w:p>
            <w:pPr>
              <w:spacing w:after="20"/>
            </w:pPr>
            <w:r>
              <w:t xml:space="preserve">Hydraulic tubing, medical needles, semiconductor lines</w:t>
            </w:r>
          </w:p>
        </w:tc>
      </w:tr>
      <w:tr>
        <w:tc>
          <w:tcPr>
            <w:tcW w:w="2340" w:type="dxa"/>
          </w:tcPr>
          <w:p>
            <w:pPr>
              <w:spacing w:after="20"/>
            </w:pPr>
            <w:r>
              <w:t xml:space="preserve">Vibration-assisted MAF</w:t>
            </w:r>
          </w:p>
        </w:tc>
        <w:tc>
          <w:tcPr>
            <w:tcW w:w="2340" w:type="dxa"/>
          </w:tcPr>
          <w:p>
            <w:pPr>
              <w:spacing w:after="20"/>
            </w:pPr>
            <w:r>
              <w:t xml:space="preserve">Various</w:t>
            </w:r>
          </w:p>
        </w:tc>
        <w:tc>
          <w:tcPr>
            <w:tcW w:w="2340" w:type="dxa"/>
          </w:tcPr>
          <w:p>
            <w:pPr>
              <w:spacing w:after="20"/>
            </w:pPr>
            <w:r>
              <w:t xml:space="preserve">Superimposed oscillation enhances circulation</w:t>
            </w:r>
          </w:p>
        </w:tc>
        <w:tc>
          <w:tcPr>
            <w:tcW w:w="2340" w:type="dxa"/>
          </w:tcPr>
          <w:p>
            <w:pPr>
              <w:spacing w:after="20"/>
            </w:pPr>
            <w:r>
              <w:t xml:space="preserve">Complex profiles, deep features</w:t>
            </w:r>
          </w:p>
        </w:tc>
      </w:tr>
      <w:tr>
        <w:tc>
          <w:tcPr>
            <w:tcW w:w="2340" w:type="dxa"/>
          </w:tcPr>
          <w:p>
            <w:pPr>
              <w:spacing w:after="20"/>
            </w:pPr>
            <w:r>
              <w:t xml:space="preserve">Electrolytic MAF</w:t>
            </w:r>
          </w:p>
        </w:tc>
        <w:tc>
          <w:tcPr>
            <w:tcW w:w="2340" w:type="dxa"/>
          </w:tcPr>
          <w:p>
            <w:pPr>
              <w:spacing w:after="20"/>
            </w:pPr>
            <w:r>
              <w:t xml:space="preserve">Hard alloys, conductive parts</w:t>
            </w:r>
          </w:p>
        </w:tc>
        <w:tc>
          <w:tcPr>
            <w:tcW w:w="2340" w:type="dxa"/>
          </w:tcPr>
          <w:p>
            <w:pPr>
              <w:spacing w:after="20"/>
            </w:pPr>
            <w:r>
              <w:t xml:space="preserve">Electrochemical dissolution plus abrasion</w:t>
            </w:r>
          </w:p>
        </w:tc>
        <w:tc>
          <w:tcPr>
            <w:tcW w:w="2340" w:type="dxa"/>
          </w:tcPr>
          <w:p>
            <w:pPr>
              <w:spacing w:after="20"/>
            </w:pPr>
            <w:r>
              <w:t xml:space="preserve">Titanium, superalloys, hard steels</w:t>
            </w:r>
          </w:p>
        </w:tc>
      </w:tr>
      <w:tr>
        <w:tc>
          <w:tcPr>
            <w:tcW w:w="2340" w:type="dxa"/>
          </w:tcPr>
          <w:p>
            <w:pPr>
              <w:spacing w:after="20"/>
            </w:pPr>
            <w:r>
              <w:t xml:space="preserve">Ultrasonic-assisted MAF</w:t>
            </w:r>
          </w:p>
        </w:tc>
        <w:tc>
          <w:tcPr>
            <w:tcW w:w="2340" w:type="dxa"/>
          </w:tcPr>
          <w:p>
            <w:pPr>
              <w:spacing w:after="20"/>
            </w:pPr>
            <w:r>
              <w:t xml:space="preserve">Small, delicate, hard parts</w:t>
            </w:r>
          </w:p>
        </w:tc>
        <w:tc>
          <w:tcPr>
            <w:tcW w:w="2340" w:type="dxa"/>
          </w:tcPr>
          <w:p>
            <w:pPr>
              <w:spacing w:after="20"/>
            </w:pPr>
            <w:r>
              <w:t xml:space="preserve">High-frequency energy augments abrasion</w:t>
            </w:r>
          </w:p>
        </w:tc>
        <w:tc>
          <w:tcPr>
            <w:tcW w:w="2340" w:type="dxa"/>
          </w:tcPr>
          <w:p>
            <w:pPr>
              <w:spacing w:after="20"/>
            </w:pPr>
            <w:r>
              <w:t xml:space="preserve">Ceramics, carbides, micro-components</w:t>
            </w:r>
          </w:p>
        </w:tc>
      </w:tr>
    </w:tbl>
    <w:p>
      <w:pPr>
        <w:spacing w:after="120"/>
      </w:pPr>
    </w:p>
    <w:p>
      <w:pPr>
        <w:pStyle w:val="FigureImg"/>
      </w:pPr>
      <w:r>
        <w:drawing>
          <wp:inline xmlns:wp="http://schemas.openxmlformats.org/drawingml/2006/wordprocessingDrawing" distT="0" distB="0" distL="0" distR="0">
            <wp:extent cx="5486400" cy="3465094"/>
            <wp:effectExtent l="0" t="0" r="0" b="0"/>
            <wp:docPr id="380706809"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6809" name="Figure 1"/>
                    <pic:cNvPicPr/>
                  </pic:nvPicPr>
                  <pic:blipFill>
                    <a:blip xmlns:r="http://schemas.openxmlformats.org/officeDocument/2006/relationships" r:embed="rId1"/>
                    <a:stretch>
                      <a:fillRect/>
                    </a:stretch>
                  </pic:blipFill>
                  <pic:spPr>
                    <a:xfrm>
                      <a:off x="0" y="0"/>
                      <a:ext cx="5486400" cy="3465094"/>
                    </a:xfrm>
                    <a:prstGeom prst="rect">
                      <a:avLst/>
                    </a:prstGeom>
                  </pic:spPr>
                </pic:pic>
              </a:graphicData>
            </a:graphic>
          </wp:inline>
        </w:drawing>
      </w:r>
    </w:p>
    <w:p>
      <w:pPr>
        <w:pStyle w:val="FigureCaption"/>
      </w:pPr>
      <w:r>
        <w:t xml:space="preserve">Figure 1. Schematic of a typical magnetic abrasive finishing system, showing the magnetic field source, poles, working gap, the self-organized magnetic abrasive brush spanning the gap, the workpiece, and the drive and control subsystems. The inset magnifies a single chain of magnetic abrasive particles engaging a surface asperity.</w:t>
      </w:r>
    </w:p>
    <w:p>
      <w:pPr>
        <w:pStyle w:val="Heading1"/>
      </w:pPr>
      <w:r>
        <w:t xml:space="preserve">3. Material Removal Mechanism in Magnetic Abrasive Finishing</w:t>
      </w:r>
    </w:p>
    <w:p>
      <w:pPr>
        <w:pStyle w:val="Heading2"/>
      </w:pPr>
      <w:r>
        <w:t xml:space="preserve">3.1 Overview of the Governing Mechanisms</w:t>
      </w:r>
    </w:p>
    <w:p>
      <w:pPr>
        <w:pStyle w:val="Normal"/>
      </w:pPr>
      <w:r>
        <w:t xml:space="preserve">The material-removal mechanism in MAF is primarily associated with micro-cutting, ploughing, and sliding actions of abrasive particles. These three modes of interaction form a continuum rather than discrete categories, and the mode that dominates at any instant depends on the depth to which an abrasive grain penetrates the surface, the sharpness and orientation of the grain, the local finishing pressure, and the mechanical properties of the workpiece material. In </w:t>
      </w:r>
      <w:r>
        <w:rPr>
          <w:b/>
        </w:rPr>
        <w:t xml:space="preserve">micro-cutting</w:t>
      </w:r>
      <w:r>
        <w:t xml:space="preserve">, a sufficiently sharp and deeply engaged grain shears a chip of material from an asperity, removing it cleanly much as a single-point cutting tool would at microscopic scale. In </w:t>
      </w:r>
      <w:r>
        <w:rPr>
          <w:b/>
        </w:rPr>
        <w:t xml:space="preserve">ploughing</w:t>
      </w:r>
      <w:r>
        <w:t xml:space="preserve">, a less sharp or more shallowly engaged grain displaces material laterally into ridges alongside a groove without fully detaching it; the displaced material may be removed by subsequent passes or may remain as a work-hardened, redistributed layer. In </w:t>
      </w:r>
      <w:r>
        <w:rPr>
          <w:b/>
        </w:rPr>
        <w:t xml:space="preserve">sliding</w:t>
      </w:r>
      <w:r>
        <w:t xml:space="preserve">, the grain does not penetrate sufficiently to deform the surface plastically and merely rubs, generating friction and heat and contributing to burnishing but little to net material removal. The relative proportions of these three modes determine both the rate of roughness reduction and the character of the finished surface, and they shift continuously as the process proceeds and as the asperity population evolves.</w:t>
      </w:r>
    </w:p>
    <w:p>
      <w:pPr>
        <w:pStyle w:val="Heading2"/>
      </w:pPr>
      <w:r>
        <w:t xml:space="preserve">3.2 The Evolution of Surface Topography</w:t>
      </w:r>
    </w:p>
    <w:p>
      <w:pPr>
        <w:pStyle w:val="Normal"/>
      </w:pPr>
      <w:r>
        <w:t xml:space="preserve">Initially, the workpiece contains irregular surface peaks generated during previous machining operations. The starting topography is not random noise but a structured landscape bearing the signature of the preceding process: the parallel ridges and valleys of turning or milling, the directional scratches of grinding, or the isotropic pitting of casting or electrical discharge machining. This initial condition matters enormously, because MAF acts preferentially on the highest, most exposed features. When the magnetic abrasive brush interacts with the surface, abrasive particles preferentially engage with these asperities: the tallest peaks project furthest into the abrasive medium, experience the highest contact pressure, and are attacked first and most vigorously. As a consequence, the early stages of finishing are dominated by the rapid truncation of the highest peaks, and the rate of roughness reduction is initially steep.</w:t>
      </w:r>
    </w:p>
    <w:p>
      <w:pPr>
        <w:pStyle w:val="Heading2"/>
      </w:pPr>
      <w:r>
        <w:t xml:space="preserve">3.3 The Three Stages of Finishing</w:t>
      </w:r>
    </w:p>
    <w:p>
      <w:pPr>
        <w:pStyle w:val="Normal"/>
      </w:pPr>
      <w:r>
        <w:t xml:space="preserve">The finishing process can be usefully simplified into three stages, illustrated schematically in Figure 2, though in reality they overlap and blend continuously.</w:t>
      </w:r>
    </w:p>
    <w:p>
      <w:pPr>
        <w:pStyle w:val="Normal"/>
      </w:pPr>
      <w:r>
        <w:rPr>
          <w:b/>
        </w:rPr>
        <w:t xml:space="preserve">Stage I: Initial surface interaction.</w:t>
      </w:r>
      <w:r>
        <w:t xml:space="preserve"> Large asperities come into contact with abrasive particles. In this earliest phase, the brush engages only the tips of the tallest peaks. Contact is intermittent and highly localized, pressures at the engaged tips are high, and material removal is concentrated where it produces the greatest reduction in roughness per unit of removed material. Because the real area of contact is small, the overall material removal rate measured against the projected surface may be modest, yet the roughness amplitude falls quickly because the extreme peaks that dominate the roughness average are being truncated.</w:t>
      </w:r>
    </w:p>
    <w:p>
      <w:pPr>
        <w:pStyle w:val="Normal"/>
      </w:pPr>
      <w:r>
        <w:rPr>
          <w:b/>
        </w:rPr>
        <w:t xml:space="preserve">Stage II: Micro-cutting and ploughing.</w:t>
      </w:r>
      <w:r>
        <w:t xml:space="preserve"> The abrasive particles remove small quantities of material through cutting and plastic deformation. As the tallest peaks are levelled, the real area of contact grows, more grains engage simultaneously, and the process enters its most productive phase. Micro-cutting and ploughing act in concert to shear and displace material from the intermediate-height features. The distribution of asperity heights narrows, the surface becomes progressively more plateau-like, and the roughness continues to decline, though at a rate that moderates as the easily removed material is consumed.</w:t>
      </w:r>
    </w:p>
    <w:p>
      <w:pPr>
        <w:pStyle w:val="Normal"/>
      </w:pPr>
      <w:r>
        <w:rPr>
          <w:b/>
        </w:rPr>
        <w:t xml:space="preserve">Stage III: Surface leveling.</w:t>
      </w:r>
      <w:r>
        <w:t xml:space="preserve"> As the process continues, the height of surface asperities decreases, resulting in improved surface roughness. In this final phase the surface approaches a limiting, or saturation, roughness. The remaining asperities are shallow, the real area of contact is large, contact pressures are correspondingly low, and sliding begins to dominate over cutting and ploughing. Material removal slows markedly, and further finishing yields diminishing returns; continued processing may even be counterproductive if it introduces new fine-scale damage or embeds abrasive fragments. The existence of this saturation regime is one of the most important practical features of MAF, because it means that finishing time beyond a certain point contributes little to roughness reduction while adding cost and risk—an effect that ML models readily learn and that optimization can exploit.</w:t>
      </w:r>
    </w:p>
    <w:p>
      <w:pPr>
        <w:pStyle w:val="Heading2"/>
      </w:pPr>
      <w:r>
        <w:t xml:space="preserve">3.4 The Role of Magnetic Force</w:t>
      </w:r>
    </w:p>
    <w:p>
      <w:pPr>
        <w:pStyle w:val="Normal"/>
      </w:pPr>
      <w:r>
        <w:t xml:space="preserve">The effectiveness of this mechanism depends strongly on the magnetic force acting on the abrasive particles. The magnetic force has two components of mechanical relevance: a normal component, directed toward the workpiece surface, which sets the indentation depth of the abrasive grains and hence governs whether the interaction is cutting, ploughing, or sliding; and a tangential component, which resists the displacement of particles during relative motion and contributes to the cutting force. Excessively low magnetic force may produce insufficient finishing action: the grains do not penetrate deeply enough to cut, sliding dominates, and the surface is merely burnished without meaningful roughness reduction. Excessive force can cause undesirable surface damage or excessive abrasive interaction: grains penetrate too deeply, generating deep scratches, subsurface plastic deformation, embedded abrasive fragments, and in extreme cases a roughness that is worse than the starting condition. Between these extremes lies an operating window within which the force is sufficient to cut but not so great as to damage, and locating this window across the range of workpiece materials and conditions is one of the central objectives of process modelling and optimization.</w:t>
      </w:r>
    </w:p>
    <w:p>
      <w:pPr>
        <w:pStyle w:val="Normal"/>
      </w:pPr>
      <w:r>
        <w:t xml:space="preserve">The normal magnetic force on a magnetized particle can be expressed, to first order, as proportional to the particle volume, its magnetic susceptibility, the magnetic flux density, and the gradient of the flux density in the direction of the force. This dependence on the product of field and field gradient explains why pole geometry and working gap—both of which shape the field gradient—are so influential, and why the finishing force is highly sensitive to the precise configuration of the magnetic circuit. It also explains why analytical prediction of the force, and hence of the finishing outcome, is so difficult: the field and its gradient in the cluttered, particle-filled working gap are not amenable to simple closed-form calculation, and the effective susceptibility of the particle ensemble depends on its packing and orientation, which themselves depend on the field. This tangle of interdependencies is exactly the kind of relationship that data-driven models are well suited to capture empirically [10], [11], [12], [13], [14].</w:t>
      </w:r>
    </w:p>
    <w:p>
      <w:pPr>
        <w:pStyle w:val="Heading2"/>
      </w:pPr>
      <w:r>
        <w:t xml:space="preserve">3.5 Micro-scale Mechanics of a Single Abrasive Grain</w:t>
      </w:r>
    </w:p>
    <w:p>
      <w:pPr>
        <w:pStyle w:val="Normal"/>
      </w:pPr>
      <w:r>
        <w:t xml:space="preserve">To connect the macroscopic finishing outcome to the microscopic interactions, it is instructive to consider the mechanics of a single abrasive grain pressed against and dragged across the surface. Idealizing the grain as a rigid conical or spherical indenter, the depth of penetration under a given normal load follows from the indentation hardness of the workpiece: harder materials resist penetration, so for a fixed magnetic force the indentation depth—and hence the tendency toward cutting rather than sliding—decreases with hardness. This is why harder workpieces generally require higher fields or finer, sharper abrasives to achieve a given finishing rate, and why the workpiece material is such a strong determinant of the response. As the grain is dragged across the surface, the ratio of the tangential to the normal force, together with the attack angle presented by the grain, determines whether material is cut, ploughed, or merely displaced elastically. A critical attack angle exists below which no cutting occurs and only ploughing and sliding take place; above it, chip formation begins. Because the grains in the brush present a distribution of shapes, orientations, and engagement depths, the aggregate removal is a statistical superposition of many such single-grain events, and the fraction of grains exceeding the critical attack angle governs the overall cutting efficiency.</w:t>
      </w:r>
    </w:p>
    <w:p>
      <w:pPr>
        <w:pStyle w:val="Normal"/>
      </w:pPr>
      <w:r>
        <w:t xml:space="preserve">The number of active grains—those actually engaged with the surface at any instant—is far smaller than the total number in the brush, and it evolves as finishing proceeds and the surface flattens. This dynamic, statistical picture of many grains with evolving engagement explains several empirically observed features that a data-driven model captures naturally: the diminishing-returns behaviour of finishing time, the strong and interacting effects of abrasive size and concentration, and the sensitivity of the outcome to the initial surface condition. Analytical models can reproduce individual features under simplifying assumptions, but reproducing all of them simultaneously across the operating envelope is precisely where empirical learning excels.</w:t>
      </w:r>
    </w:p>
    <w:p>
      <w:pPr>
        <w:pStyle w:val="FigureImg"/>
      </w:pPr>
      <w:r>
        <w:drawing>
          <wp:inline xmlns:wp="http://schemas.openxmlformats.org/drawingml/2006/wordprocessingDrawing" distT="0" distB="0" distL="0" distR="0">
            <wp:extent cx="5486400" cy="3465094"/>
            <wp:effectExtent l="0" t="0" r="0" b="0"/>
            <wp:docPr id="261140346"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0346" name="Figure 2"/>
                    <pic:cNvPicPr/>
                  </pic:nvPicPr>
                  <pic:blipFill>
                    <a:blip xmlns:r="http://schemas.openxmlformats.org/officeDocument/2006/relationships" r:embed="rId2"/>
                    <a:stretch>
                      <a:fillRect/>
                    </a:stretch>
                  </pic:blipFill>
                  <pic:spPr>
                    <a:xfrm>
                      <a:off x="0" y="0"/>
                      <a:ext cx="5486400" cy="3465094"/>
                    </a:xfrm>
                    <a:prstGeom prst="rect">
                      <a:avLst/>
                    </a:prstGeom>
                  </pic:spPr>
                </pic:pic>
              </a:graphicData>
            </a:graphic>
          </wp:inline>
        </w:drawing>
      </w:r>
    </w:p>
    <w:p>
      <w:pPr>
        <w:pStyle w:val="FigureCaption"/>
      </w:pPr>
      <w:r>
        <w:t xml:space="preserve">Figure 2. The three stages of surface topography evolution during magnetic abrasive finishing. Stage I: engagement and truncation of the tallest asperities. Stage II: micro-cutting and ploughing across the intermediate features with a growing real area of contact. Stage III: surface leveling toward a saturation roughness as sliding begins to dominate.</w:t>
      </w:r>
    </w:p>
    <w:p>
      <w:pPr>
        <w:pStyle w:val="FigureImg"/>
      </w:pPr>
      <w:r>
        <w:drawing>
          <wp:inline xmlns:wp="http://schemas.openxmlformats.org/drawingml/2006/wordprocessingDrawing" distT="0" distB="0" distL="0" distR="0">
            <wp:extent cx="5486400" cy="3465094"/>
            <wp:effectExtent l="0" t="0" r="0" b="0"/>
            <wp:docPr id="2090365956"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5956" name="Figure 3"/>
                    <pic:cNvPicPr/>
                  </pic:nvPicPr>
                  <pic:blipFill>
                    <a:blip xmlns:r="http://schemas.openxmlformats.org/officeDocument/2006/relationships" r:embed="rId3"/>
                    <a:stretch>
                      <a:fillRect/>
                    </a:stretch>
                  </pic:blipFill>
                  <pic:spPr>
                    <a:xfrm>
                      <a:off x="0" y="0"/>
                      <a:ext cx="5486400" cy="3465094"/>
                    </a:xfrm>
                    <a:prstGeom prst="rect">
                      <a:avLst/>
                    </a:prstGeom>
                  </pic:spPr>
                </pic:pic>
              </a:graphicData>
            </a:graphic>
          </wp:inline>
        </w:drawing>
      </w:r>
    </w:p>
    <w:p>
      <w:pPr>
        <w:pStyle w:val="FigureCaption"/>
      </w:pPr>
      <w:r>
        <w:t xml:space="preserve">Figure 3. Micro-scale interaction of a single abrasive grain with the workpiece surface, illustrating the normal and tangential force components, the indentation depth set by material hardness, and the transition from sliding through ploughing to micro-cutting as the attack angle and penetration increase.</w:t>
      </w:r>
    </w:p>
    <w:p>
      <w:pPr>
        <w:pStyle w:val="Heading1"/>
      </w:pPr>
      <w:r>
        <w:t xml:space="preserve">4. Surface Roughness in Magnetic Abrasive Finishing</w:t>
      </w:r>
    </w:p>
    <w:p>
      <w:pPr>
        <w:pStyle w:val="Heading2"/>
      </w:pPr>
      <w:r>
        <w:t xml:space="preserve">4.1 The Nature of Surface Roughness</w:t>
      </w:r>
    </w:p>
    <w:p>
      <w:pPr>
        <w:pStyle w:val="Normal"/>
      </w:pPr>
      <w:r>
        <w:t xml:space="preserve">Surface roughness represents the microscopic deviations present on a manufactured surface. Every real surface departs from its ideal geometric form across a hierarchy of length scales: form errors and waviness at the coarse scale, roughness at the fine scale, and, ultimately, the atomic corrugation of the material itself. Roughness, in the metrological sense, refers to the finely spaced irregularities superimposed on the waviness—the peaks and valleys whose spacing is short relative to the sampling length. These irregularities are the residue of the manufacturing process: the feed marks of machining, the grain pull-out of grinding, the melt-and-resolidify texture of thermal processes, and, after MAF, the fine scratch pattern of the abrasive medium. Because the surface mediates every interaction between a component and its environment—contact, friction, wear, lubrication, sealing, fatigue crack initiation, optical reflection, electrical contact, and biological response—its roughness is a functional property of the first importance, not a mere aesthetic attribute.</w:t>
      </w:r>
    </w:p>
    <w:p>
      <w:pPr>
        <w:pStyle w:val="Heading2"/>
      </w:pPr>
      <w:r>
        <w:t xml:space="preserve">4.2 Roughness Parameters</w:t>
      </w:r>
    </w:p>
    <w:p>
      <w:pPr>
        <w:pStyle w:val="Normal"/>
      </w:pPr>
      <w:r>
        <w:t xml:space="preserve">Surface roughness is commonly characterized using a family of parameters computed from the measured surface profile or areal topography after the removal of form and waviness by filtering. The most widely used amplitude parameters include the arithmetic average roughness (Ra), the root mean square roughness (Rq), the average maximum height (Rz), and the total profile height (Rt). Beyond these amplitude parameters lie spacing parameters, which describe the horizontal characteristics of the profile, and hybrid parameters, which combine amplitude and spacing information; the skewness and kurtosis of the height distribution add further shape information of great functional relevance. Table 3 collects the principal parameters, their definitions in words, and their functional significance.</w:t>
      </w:r>
    </w:p>
    <w:p>
      <w:pPr>
        <w:pStyle w:val="Normal"/>
      </w:pPr>
      <w:r>
        <w:t xml:space="preserve">Among these parameters, Ra is one of the most widely used indicators of surface quality. Ra is defined as the arithmetic mean of the absolute deviations of the profile from its mean line over the evaluation length. Its popularity stems from its robustness, its insensitivity to occasional spurious spikes, its long history, and its availability on virtually every profilometer. However, Ra is an incomplete descriptor. Because it averages absolute deviations, it discards information about the shape of the height distribution: two surfaces with identical Ra can have profoundly different functional behaviour if one consists of sharp peaks on a smooth background (high positive skewness, poor for bearing and sealing) and the other of a plateau punctuated by occasional deep valleys (negative skewness, excellent for load-bearing and lubricant retention). MAF characteristically produces surfaces with favourable, plateau-like, negatively skewed profiles, and capturing this benefit requires parameters beyond Ra. A recurring theme in the ML modelling of MAF, developed later in the chapter, is that Ra should be regarded as the primary but not the sole response variable: models can and should be trained to predict Rq, Rz, skewness, kurtosis, and functional bearing-area parameters as well, providing a fuller picture of surface integrity.</w:t>
      </w:r>
    </w:p>
    <w:p>
      <w:pPr>
        <w:pStyle w:val="TableCaption"/>
      </w:pPr>
      <w:r>
        <w:t xml:space="preserve">Table 3. Principal surface roughness parameters, their qualitative definitions, and functional significance.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jc w:val="center"/>
              <w:spacing w:after="20"/>
            </w:pPr>
            <w:r>
              <w:rPr>
                <w:b/>
              </w:rPr>
              <w:t xml:space="preserve">Parameter</w:t>
            </w:r>
          </w:p>
        </w:tc>
        <w:tc>
          <w:tcPr>
            <w:tcW w:w="2340" w:type="dxa"/>
            <w:shd w:val="clear" w:color="auto" w:fill="D9E2F3"/>
          </w:tcPr>
          <w:p>
            <w:pPr>
              <w:jc w:val="center"/>
              <w:spacing w:after="20"/>
            </w:pPr>
            <w:r>
              <w:rPr>
                <w:b/>
              </w:rPr>
              <w:t xml:space="preserve">Symbol</w:t>
            </w:r>
          </w:p>
        </w:tc>
        <w:tc>
          <w:tcPr>
            <w:tcW w:w="2340" w:type="dxa"/>
            <w:shd w:val="clear" w:color="auto" w:fill="D9E2F3"/>
          </w:tcPr>
          <w:p>
            <w:pPr>
              <w:jc w:val="center"/>
              <w:spacing w:after="20"/>
            </w:pPr>
            <w:r>
              <w:rPr>
                <w:b/>
              </w:rPr>
              <w:t xml:space="preserve">Qualitative definition</w:t>
            </w:r>
          </w:p>
        </w:tc>
        <w:tc>
          <w:tcPr>
            <w:tcW w:w="2340" w:type="dxa"/>
            <w:shd w:val="clear" w:color="auto" w:fill="D9E2F3"/>
          </w:tcPr>
          <w:p>
            <w:pPr>
              <w:jc w:val="center"/>
              <w:spacing w:after="20"/>
            </w:pPr>
            <w:r>
              <w:rPr>
                <w:b/>
              </w:rPr>
              <w:t xml:space="preserve">Functional significance</w:t>
            </w:r>
          </w:p>
        </w:tc>
      </w:tr>
      <w:tr>
        <w:tc>
          <w:tcPr>
            <w:tcW w:w="2340" w:type="dxa"/>
          </w:tcPr>
          <w:p>
            <w:pPr>
              <w:spacing w:after="20"/>
            </w:pPr>
            <w:r>
              <w:t xml:space="preserve">Arithmetic average roughness</w:t>
            </w:r>
          </w:p>
        </w:tc>
        <w:tc>
          <w:tcPr>
            <w:tcW w:w="2340" w:type="dxa"/>
          </w:tcPr>
          <w:p>
            <w:pPr>
              <w:spacing w:after="20"/>
            </w:pPr>
            <w:r>
              <w:t xml:space="preserve">Ra</w:t>
            </w:r>
          </w:p>
        </w:tc>
        <w:tc>
          <w:tcPr>
            <w:tcW w:w="2340" w:type="dxa"/>
          </w:tcPr>
          <w:p>
            <w:pPr>
              <w:spacing w:after="20"/>
            </w:pPr>
            <w:r>
              <w:t xml:space="preserve">Mean of absolute profile deviations from the mean line</w:t>
            </w:r>
          </w:p>
        </w:tc>
        <w:tc>
          <w:tcPr>
            <w:tcW w:w="2340" w:type="dxa"/>
          </w:tcPr>
          <w:p>
            <w:pPr>
              <w:spacing w:after="20"/>
            </w:pPr>
            <w:r>
              <w:t xml:space="preserve">General-purpose amplitude indicator; robust; most widely specified</w:t>
            </w:r>
          </w:p>
        </w:tc>
      </w:tr>
      <w:tr>
        <w:tc>
          <w:tcPr>
            <w:tcW w:w="2340" w:type="dxa"/>
          </w:tcPr>
          <w:p>
            <w:pPr>
              <w:spacing w:after="20"/>
            </w:pPr>
            <w:r>
              <w:t xml:space="preserve">Root mean square roughness</w:t>
            </w:r>
          </w:p>
        </w:tc>
        <w:tc>
          <w:tcPr>
            <w:tcW w:w="2340" w:type="dxa"/>
          </w:tcPr>
          <w:p>
            <w:pPr>
              <w:spacing w:after="20"/>
            </w:pPr>
            <w:r>
              <w:t xml:space="preserve">Rq</w:t>
            </w:r>
          </w:p>
        </w:tc>
        <w:tc>
          <w:tcPr>
            <w:tcW w:w="2340" w:type="dxa"/>
          </w:tcPr>
          <w:p>
            <w:pPr>
              <w:spacing w:after="20"/>
            </w:pPr>
            <w:r>
              <w:t xml:space="preserve">Root mean square of profile deviations</w:t>
            </w:r>
          </w:p>
        </w:tc>
        <w:tc>
          <w:tcPr>
            <w:tcW w:w="2340" w:type="dxa"/>
          </w:tcPr>
          <w:p>
            <w:pPr>
              <w:spacing w:after="20"/>
            </w:pPr>
            <w:r>
              <w:t xml:space="preserve">Weights large deviations more; used in optics and statistics</w:t>
            </w:r>
          </w:p>
        </w:tc>
      </w:tr>
      <w:tr>
        <w:tc>
          <w:tcPr>
            <w:tcW w:w="2340" w:type="dxa"/>
          </w:tcPr>
          <w:p>
            <w:pPr>
              <w:spacing w:after="20"/>
            </w:pPr>
            <w:r>
              <w:t xml:space="preserve">Average maximum height</w:t>
            </w:r>
          </w:p>
        </w:tc>
        <w:tc>
          <w:tcPr>
            <w:tcW w:w="2340" w:type="dxa"/>
          </w:tcPr>
          <w:p>
            <w:pPr>
              <w:spacing w:after="20"/>
            </w:pPr>
            <w:r>
              <w:t xml:space="preserve">Rz</w:t>
            </w:r>
          </w:p>
        </w:tc>
        <w:tc>
          <w:tcPr>
            <w:tcW w:w="2340" w:type="dxa"/>
          </w:tcPr>
          <w:p>
            <w:pPr>
              <w:spacing w:after="20"/>
            </w:pPr>
            <w:r>
              <w:t xml:space="preserve">Mean of peak-to-valley heights over sampling lengths</w:t>
            </w:r>
          </w:p>
        </w:tc>
        <w:tc>
          <w:tcPr>
            <w:tcW w:w="2340" w:type="dxa"/>
          </w:tcPr>
          <w:p>
            <w:pPr>
              <w:spacing w:after="20"/>
            </w:pPr>
            <w:r>
              <w:t xml:space="preserve">Sensitive to extreme features; relevant to sealing and coating</w:t>
            </w:r>
          </w:p>
        </w:tc>
      </w:tr>
      <w:tr>
        <w:tc>
          <w:tcPr>
            <w:tcW w:w="2340" w:type="dxa"/>
          </w:tcPr>
          <w:p>
            <w:pPr>
              <w:spacing w:after="20"/>
            </w:pPr>
            <w:r>
              <w:t xml:space="preserve">Total profile height</w:t>
            </w:r>
          </w:p>
        </w:tc>
        <w:tc>
          <w:tcPr>
            <w:tcW w:w="2340" w:type="dxa"/>
          </w:tcPr>
          <w:p>
            <w:pPr>
              <w:spacing w:after="20"/>
            </w:pPr>
            <w:r>
              <w:t xml:space="preserve">Rt</w:t>
            </w:r>
          </w:p>
        </w:tc>
        <w:tc>
          <w:tcPr>
            <w:tcW w:w="2340" w:type="dxa"/>
          </w:tcPr>
          <w:p>
            <w:pPr>
              <w:spacing w:after="20"/>
            </w:pPr>
            <w:r>
              <w:t xml:space="preserve">Maximum peak-to-valley height over the evaluation length</w:t>
            </w:r>
          </w:p>
        </w:tc>
        <w:tc>
          <w:tcPr>
            <w:tcW w:w="2340" w:type="dxa"/>
          </w:tcPr>
          <w:p>
            <w:pPr>
              <w:spacing w:after="20"/>
            </w:pPr>
            <w:r>
              <w:t xml:space="preserve">Captures worst-case defects; relevant to fatigue and leakage</w:t>
            </w:r>
          </w:p>
        </w:tc>
      </w:tr>
      <w:tr>
        <w:tc>
          <w:tcPr>
            <w:tcW w:w="2340" w:type="dxa"/>
          </w:tcPr>
          <w:p>
            <w:pPr>
              <w:spacing w:after="20"/>
            </w:pPr>
            <w:r>
              <w:t xml:space="preserve">Maximum peak height</w:t>
            </w:r>
          </w:p>
        </w:tc>
        <w:tc>
          <w:tcPr>
            <w:tcW w:w="2340" w:type="dxa"/>
          </w:tcPr>
          <w:p>
            <w:pPr>
              <w:spacing w:after="20"/>
            </w:pPr>
            <w:r>
              <w:t xml:space="preserve">Rp</w:t>
            </w:r>
          </w:p>
        </w:tc>
        <w:tc>
          <w:tcPr>
            <w:tcW w:w="2340" w:type="dxa"/>
          </w:tcPr>
          <w:p>
            <w:pPr>
              <w:spacing w:after="20"/>
            </w:pPr>
            <w:r>
              <w:t xml:space="preserve">Height of the highest peak above the mean line</w:t>
            </w:r>
          </w:p>
        </w:tc>
        <w:tc>
          <w:tcPr>
            <w:tcW w:w="2340" w:type="dxa"/>
          </w:tcPr>
          <w:p>
            <w:pPr>
              <w:spacing w:after="20"/>
            </w:pPr>
            <w:r>
              <w:t xml:space="preserve">Relevant to wear-in and contact</w:t>
            </w:r>
          </w:p>
        </w:tc>
      </w:tr>
      <w:tr>
        <w:tc>
          <w:tcPr>
            <w:tcW w:w="2340" w:type="dxa"/>
          </w:tcPr>
          <w:p>
            <w:pPr>
              <w:spacing w:after="20"/>
            </w:pPr>
            <w:r>
              <w:t xml:space="preserve">Maximum valley depth</w:t>
            </w:r>
          </w:p>
        </w:tc>
        <w:tc>
          <w:tcPr>
            <w:tcW w:w="2340" w:type="dxa"/>
          </w:tcPr>
          <w:p>
            <w:pPr>
              <w:spacing w:after="20"/>
            </w:pPr>
            <w:r>
              <w:t xml:space="preserve">Rv</w:t>
            </w:r>
          </w:p>
        </w:tc>
        <w:tc>
          <w:tcPr>
            <w:tcW w:w="2340" w:type="dxa"/>
          </w:tcPr>
          <w:p>
            <w:pPr>
              <w:spacing w:after="20"/>
            </w:pPr>
            <w:r>
              <w:t xml:space="preserve">Depth of the deepest valley below the mean line</w:t>
            </w:r>
          </w:p>
        </w:tc>
        <w:tc>
          <w:tcPr>
            <w:tcW w:w="2340" w:type="dxa"/>
          </w:tcPr>
          <w:p>
            <w:pPr>
              <w:spacing w:after="20"/>
            </w:pPr>
            <w:r>
              <w:t xml:space="preserve">Relevant to lubricant and debris retention</w:t>
            </w:r>
          </w:p>
        </w:tc>
      </w:tr>
      <w:tr>
        <w:tc>
          <w:tcPr>
            <w:tcW w:w="2340" w:type="dxa"/>
          </w:tcPr>
          <w:p>
            <w:pPr>
              <w:spacing w:after="20"/>
            </w:pPr>
            <w:r>
              <w:t xml:space="preserve">Skewness</w:t>
            </w:r>
          </w:p>
        </w:tc>
        <w:tc>
          <w:tcPr>
            <w:tcW w:w="2340" w:type="dxa"/>
          </w:tcPr>
          <w:p>
            <w:pPr>
              <w:spacing w:after="20"/>
            </w:pPr>
            <w:r>
              <w:t xml:space="preserve">Rsk</w:t>
            </w:r>
          </w:p>
        </w:tc>
        <w:tc>
          <w:tcPr>
            <w:tcW w:w="2340" w:type="dxa"/>
          </w:tcPr>
          <w:p>
            <w:pPr>
              <w:spacing w:after="20"/>
            </w:pPr>
            <w:r>
              <w:t xml:space="preserve">Asymmetry of the height distribution</w:t>
            </w:r>
          </w:p>
        </w:tc>
        <w:tc>
          <w:tcPr>
            <w:tcW w:w="2340" w:type="dxa"/>
          </w:tcPr>
          <w:p>
            <w:pPr>
              <w:spacing w:after="20"/>
            </w:pPr>
            <w:r>
              <w:t xml:space="preserve">Negative values favour bearing and sealing surfaces</w:t>
            </w:r>
          </w:p>
        </w:tc>
      </w:tr>
      <w:tr>
        <w:tc>
          <w:tcPr>
            <w:tcW w:w="2340" w:type="dxa"/>
          </w:tcPr>
          <w:p>
            <w:pPr>
              <w:spacing w:after="20"/>
            </w:pPr>
            <w:r>
              <w:t xml:space="preserve">Kurtosis</w:t>
            </w:r>
          </w:p>
        </w:tc>
        <w:tc>
          <w:tcPr>
            <w:tcW w:w="2340" w:type="dxa"/>
          </w:tcPr>
          <w:p>
            <w:pPr>
              <w:spacing w:after="20"/>
            </w:pPr>
            <w:r>
              <w:t xml:space="preserve">Rku</w:t>
            </w:r>
          </w:p>
        </w:tc>
        <w:tc>
          <w:tcPr>
            <w:tcW w:w="2340" w:type="dxa"/>
          </w:tcPr>
          <w:p>
            <w:pPr>
              <w:spacing w:after="20"/>
            </w:pPr>
            <w:r>
              <w:t xml:space="preserve">Peakedness of the height distribution</w:t>
            </w:r>
          </w:p>
        </w:tc>
        <w:tc>
          <w:tcPr>
            <w:tcW w:w="2340" w:type="dxa"/>
          </w:tcPr>
          <w:p>
            <w:pPr>
              <w:spacing w:after="20"/>
            </w:pPr>
            <w:r>
              <w:t xml:space="preserve">Distinguishes spiky from bumpy surfaces</w:t>
            </w:r>
          </w:p>
        </w:tc>
      </w:tr>
      <w:tr>
        <w:tc>
          <w:tcPr>
            <w:tcW w:w="2340" w:type="dxa"/>
          </w:tcPr>
          <w:p>
            <w:pPr>
              <w:spacing w:after="20"/>
            </w:pPr>
            <w:r>
              <w:t xml:space="preserve">Mean spacing</w:t>
            </w:r>
          </w:p>
        </w:tc>
        <w:tc>
          <w:tcPr>
            <w:tcW w:w="2340" w:type="dxa"/>
          </w:tcPr>
          <w:p>
            <w:pPr>
              <w:spacing w:after="20"/>
            </w:pPr>
            <w:r>
              <w:t xml:space="preserve">RSm</w:t>
            </w:r>
          </w:p>
        </w:tc>
        <w:tc>
          <w:tcPr>
            <w:tcW w:w="2340" w:type="dxa"/>
          </w:tcPr>
          <w:p>
            <w:pPr>
              <w:spacing w:after="20"/>
            </w:pPr>
            <w:r>
              <w:t xml:space="preserve">Mean width of profile elements</w:t>
            </w:r>
          </w:p>
        </w:tc>
        <w:tc>
          <w:tcPr>
            <w:tcW w:w="2340" w:type="dxa"/>
          </w:tcPr>
          <w:p>
            <w:pPr>
              <w:spacing w:after="20"/>
            </w:pPr>
            <w:r>
              <w:t xml:space="preserve">Horizontal texture; relevant to friction and appearance</w:t>
            </w:r>
          </w:p>
        </w:tc>
      </w:tr>
    </w:tbl>
    <w:p>
      <w:pPr>
        <w:spacing w:after="120"/>
      </w:pPr>
    </w:p>
    <w:p>
      <w:pPr>
        <w:pStyle w:val="Heading2"/>
      </w:pPr>
      <w:r>
        <w:t xml:space="preserve">4.3 The Surface Roughness Function in MAF</w:t>
      </w:r>
    </w:p>
    <w:p>
      <w:pPr>
        <w:pStyle w:val="Normal"/>
      </w:pPr>
      <w:r>
        <w:t xml:space="preserve">The surface roughness after MAF can be expressed conceptually as a function of the governing process parameters and the workpiece material. Writing Ra as the primary response,</w:t>
      </w:r>
    </w:p>
    <w:p>
      <w:pPr>
        <w:pStyle w:val="Normal"/>
      </w:pPr>
      <w:r>
        <w:t xml:space="preserve">Ra = f(B, N, G, Ca, Da, T, M)</w:t>
      </w:r>
    </w:p>
    <w:p>
      <w:pPr>
        <w:pStyle w:val="Normal"/>
      </w:pPr>
      <w:r>
        <w:t xml:space="preserve">where B denotes the magnetic flux density, N the rotational speed, G the working gap, Ca the abrasive concentration, Da the abrasive particle size, T the finishing time, and M the workpiece material (together with its initial surface condition). Additional variables—feed rate, oscillation amplitude and frequency, lubricant chemistry, and pole geometry—enter in a fuller description. The function f is highly nonlinear, which makes it suitable for ML-based modelling. Its nonlinearity is not incidental but structural: it arises from the composition of the several nonlinear stages of the process chain described in Section 2, from the thresholds and saturation behaviour identified in Section 3, and from the pervasive interactions among the variables. There is no reason to expect f to admit an accurate low-order polynomial approximation over any but the smallest region of the parameter space, and indeed the empirical literature is replete with instances in which response surface models fitted locally fail to extrapolate. This is the fundamental motivation for adopting flexible, data-driven function approximators capable of representing arbitrary nonlinear mappings.</w:t>
      </w:r>
    </w:p>
    <w:p>
      <w:pPr>
        <w:pStyle w:val="Heading2"/>
      </w:pPr>
      <w:r>
        <w:t xml:space="preserve">4.4 Measurement of Surface Roughness</w:t>
      </w:r>
    </w:p>
    <w:p>
      <w:pPr>
        <w:pStyle w:val="Normal"/>
      </w:pPr>
      <w:r>
        <w:t xml:space="preserve">The value of any roughness prediction is bounded by the fidelity with which roughness is measured, and measurement is not a trivial matter. Contact stylus profilometry, in which a fine diamond stylus is traversed across the surface and its vertical motion recorded, remains the reference method and the basis of most published MAF datasets; it is robust, traceable, and standardized, but it measures a single profile line, is sensitive to stylus tip radius and traverse speed, and can in principle scratch very soft surfaces. Non-contact optical methods—coherence scanning interferometry, confocal microscopy, and focus variation—capture areal topography rapidly and without contact, yielding richer data and areal parameters, but they are sensitive to surface reflectivity, slope, and optical artefacts. Atomic force microscopy resolves the finest nanometric features over very small areas. The choice of instrument, the cut-off wavelength used to separate roughness from waviness, the evaluation length, and the sampling density all influence the reported roughness value, and inconsistency in these choices is a significant, often underappreciated, source of variability in MAF datasets assembled from disparate sources.</w:t>
      </w:r>
    </w:p>
    <w:p>
      <w:pPr>
        <w:pStyle w:val="Normal"/>
      </w:pPr>
      <w:r>
        <w:t xml:space="preserve">Because the finished surface is not perfectly uniform, multiple measurements should preferably be obtained from different locations on each specimen, and their average used as the representative surface roughness, with the scatter recorded as an estimate of measurement and spatial variability. This scatter is valuable information: it sets a floor below which no model, however sophisticated, can reduce its prediction error, because the target itself is uncertain to this degree. Reporting the measurement repeatability alongside model error is a mark of methodological honesty and allows readers to judge whether a model has reached the limit imposed by the data or whether further improvement is possible. The distinction between the irreducible aleatoric uncertainty of the measurement and the reducible epistemic uncertainty of the model is developed formally in Section 11 [15], [16], [17], [18], [19].</w:t>
      </w:r>
    </w:p>
    <w:p>
      <w:pPr>
        <w:pStyle w:val="Heading2"/>
      </w:pPr>
      <w:r>
        <w:t xml:space="preserve">4.5 Surface Integrity Beyond Roughness</w:t>
      </w:r>
    </w:p>
    <w:p>
      <w:pPr>
        <w:pStyle w:val="Normal"/>
      </w:pPr>
      <w:r>
        <w:t xml:space="preserve">Although this chapter, following convention, treats surface roughness as the principal response, it is important to situate roughness within the broader concept of surface integrity, which encompasses the roughness and texture of the surface together with the metallurgical and mechanical state of the subsurface: residual stress, work hardening, microstructural alteration, phase transformation, and microcracking. One of the enduring attractions of MAF is that it improves roughness while imparting a benign or beneficial subsurface state—typically compressive or near-neutral residual stress, minimal thermal alteration, and low subsurface damage—in contrast to aggressive processes that trade a good finish for a damaged subsurface. From a modelling perspective this suggests that a complete data-driven description of MAF should ultimately predict not only roughness but also residual stress and other integrity metrics, so that optimization can pursue a genuinely multi-objective definition of surface quality. The measurement of these subsurface properties—by X-ray diffraction for residual stress, by nanoindentation for hardening, and by microscopy for microstructure—is more demanding than roughness measurement, which is why integrity-inclusive datasets remain rare; but their scarcity is an opportunity rather than a closed door, and Section 14 returns to this theme as a direction for future work.</w:t>
      </w:r>
    </w:p>
    <w:p>
      <w:pPr>
        <w:pStyle w:val="FigureImg"/>
      </w:pPr>
      <w:r>
        <w:drawing>
          <wp:inline xmlns:wp="http://schemas.openxmlformats.org/drawingml/2006/wordprocessingDrawing" distT="0" distB="0" distL="0" distR="0">
            <wp:extent cx="5486400" cy="3465094"/>
            <wp:effectExtent l="0" t="0" r="0" b="0"/>
            <wp:docPr id="953649281"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9281" name="Figure 4"/>
                    <pic:cNvPicPr/>
                  </pic:nvPicPr>
                  <pic:blipFill>
                    <a:blip xmlns:r="http://schemas.openxmlformats.org/officeDocument/2006/relationships" r:embed="rId4"/>
                    <a:stretch>
                      <a:fillRect/>
                    </a:stretch>
                  </pic:blipFill>
                  <pic:spPr>
                    <a:xfrm>
                      <a:off x="0" y="0"/>
                      <a:ext cx="5486400" cy="3465094"/>
                    </a:xfrm>
                    <a:prstGeom prst="rect">
                      <a:avLst/>
                    </a:prstGeom>
                  </pic:spPr>
                </pic:pic>
              </a:graphicData>
            </a:graphic>
          </wp:inline>
        </w:drawing>
      </w:r>
    </w:p>
    <w:p>
      <w:pPr>
        <w:pStyle w:val="FigureCaption"/>
      </w:pPr>
      <w:r>
        <w:t xml:space="preserve">Figure 4. Representative evolution of surface roughness (Ra) with finishing time in magnetic abrasive finishing, showing the initially steep reduction, the productive intermediate regime, and the approach to a saturation roughness. Families of curves illustrate the effect of increasing magnetic flux density.</w:t>
      </w:r>
    </w:p>
    <w:p>
      <w:pPr>
        <w:pStyle w:val="Heading1"/>
      </w:pPr>
      <w:r>
        <w:t xml:space="preserve">5. MAF Process Parameters Affecting Surface Roughness</w:t>
      </w:r>
    </w:p>
    <w:p>
      <w:pPr>
        <w:pStyle w:val="Heading2"/>
      </w:pPr>
      <w:r>
        <w:t xml:space="preserve">5.1 The Parameter Set</w:t>
      </w:r>
    </w:p>
    <w:p>
      <w:pPr>
        <w:pStyle w:val="Normal"/>
      </w:pPr>
      <w:r>
        <w:t xml:space="preserve">Several process variables influence the final surface quality, and a disciplined understanding of each—and of their interactions—is the foundation on which both experimental design and model interpretation rest. The principal parameters are the magnetic flux density, the working gap, the rotational speed, the finishing time, the abrasive concentration, the abrasive particle size, the feed rate, the workpiece material, and the lubricant. Table 4 summarizes their general influence, and the subsections that follow analyse each in turn before addressing the crucial matter of their interactions.</w:t>
      </w:r>
    </w:p>
    <w:p>
      <w:pPr>
        <w:pStyle w:val="TableCaption"/>
      </w:pPr>
      <w:r>
        <w:t xml:space="preserve">Table 4. Magnetic abrasive finishing process parameters and their general influence on surface roughness.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trPr>
        <w:tc>
          <w:tcPr>
            <w:tcW w:w="4680" w:type="dxa"/>
            <w:shd w:val="clear" w:color="auto" w:fill="D9E2F3"/>
          </w:tcPr>
          <w:p>
            <w:pPr>
              <w:jc w:val="center"/>
              <w:spacing w:after="20"/>
            </w:pPr>
            <w:r>
              <w:rPr>
                <w:b/>
              </w:rPr>
              <w:t xml:space="preserve">Parameter</w:t>
            </w:r>
          </w:p>
        </w:tc>
        <w:tc>
          <w:tcPr>
            <w:tcW w:w="4680" w:type="dxa"/>
            <w:shd w:val="clear" w:color="auto" w:fill="D9E2F3"/>
          </w:tcPr>
          <w:p>
            <w:pPr>
              <w:jc w:val="center"/>
              <w:spacing w:after="20"/>
            </w:pPr>
            <w:r>
              <w:rPr>
                <w:b/>
              </w:rPr>
              <w:t xml:space="preserve">General influence on surface roughness</w:t>
            </w:r>
          </w:p>
        </w:tc>
      </w:tr>
      <w:tr>
        <w:tc>
          <w:tcPr>
            <w:tcW w:w="4680" w:type="dxa"/>
          </w:tcPr>
          <w:p>
            <w:pPr>
              <w:spacing w:after="20"/>
            </w:pPr>
            <w:r>
              <w:t xml:space="preserve">Magnetic flux density</w:t>
            </w:r>
          </w:p>
        </w:tc>
        <w:tc>
          <w:tcPr>
            <w:tcW w:w="4680" w:type="dxa"/>
          </w:tcPr>
          <w:p>
            <w:pPr>
              <w:spacing w:after="20"/>
            </w:pPr>
            <w:r>
              <w:t xml:space="preserve">Controls abrasive brush strength and normal finishing force</w:t>
            </w:r>
          </w:p>
        </w:tc>
      </w:tr>
      <w:tr>
        <w:tc>
          <w:tcPr>
            <w:tcW w:w="4680" w:type="dxa"/>
          </w:tcPr>
          <w:p>
            <w:pPr>
              <w:spacing w:after="20"/>
            </w:pPr>
            <w:r>
              <w:t xml:space="preserve">Working gap</w:t>
            </w:r>
          </w:p>
        </w:tc>
        <w:tc>
          <w:tcPr>
            <w:tcW w:w="4680" w:type="dxa"/>
          </w:tcPr>
          <w:p>
            <w:pPr>
              <w:spacing w:after="20"/>
            </w:pPr>
            <w:r>
              <w:t xml:space="preserve">Determines magnetic field gradient, brush stiffness, and abrasive engagement</w:t>
            </w:r>
          </w:p>
        </w:tc>
      </w:tr>
      <w:tr>
        <w:tc>
          <w:tcPr>
            <w:tcW w:w="4680" w:type="dxa"/>
          </w:tcPr>
          <w:p>
            <w:pPr>
              <w:spacing w:after="20"/>
            </w:pPr>
            <w:r>
              <w:t xml:space="preserve">Rotational speed</w:t>
            </w:r>
          </w:p>
        </w:tc>
        <w:tc>
          <w:tcPr>
            <w:tcW w:w="4680" w:type="dxa"/>
          </w:tcPr>
          <w:p>
            <w:pPr>
              <w:spacing w:after="20"/>
            </w:pPr>
            <w:r>
              <w:t xml:space="preserve">Influences relative abrasive velocity and number of cutting events</w:t>
            </w:r>
          </w:p>
        </w:tc>
      </w:tr>
      <w:tr>
        <w:tc>
          <w:tcPr>
            <w:tcW w:w="4680" w:type="dxa"/>
          </w:tcPr>
          <w:p>
            <w:pPr>
              <w:spacing w:after="20"/>
            </w:pPr>
            <w:r>
              <w:t xml:space="preserve">Finishing time</w:t>
            </w:r>
          </w:p>
        </w:tc>
        <w:tc>
          <w:tcPr>
            <w:tcW w:w="4680" w:type="dxa"/>
          </w:tcPr>
          <w:p>
            <w:pPr>
              <w:spacing w:after="20"/>
            </w:pPr>
            <w:r>
              <w:t xml:space="preserve">Determines cumulative material removal and approach to saturation</w:t>
            </w:r>
          </w:p>
        </w:tc>
      </w:tr>
      <w:tr>
        <w:tc>
          <w:tcPr>
            <w:tcW w:w="4680" w:type="dxa"/>
          </w:tcPr>
          <w:p>
            <w:pPr>
              <w:spacing w:after="20"/>
            </w:pPr>
            <w:r>
              <w:t xml:space="preserve">Abrasive concentration</w:t>
            </w:r>
          </w:p>
        </w:tc>
        <w:tc>
          <w:tcPr>
            <w:tcW w:w="4680" w:type="dxa"/>
          </w:tcPr>
          <w:p>
            <w:pPr>
              <w:spacing w:after="20"/>
            </w:pPr>
            <w:r>
              <w:t xml:space="preserve">Influences the number of active abrasive particles in the brush</w:t>
            </w:r>
          </w:p>
        </w:tc>
      </w:tr>
      <w:tr>
        <w:tc>
          <w:tcPr>
            <w:tcW w:w="4680" w:type="dxa"/>
          </w:tcPr>
          <w:p>
            <w:pPr>
              <w:spacing w:after="20"/>
            </w:pPr>
            <w:r>
              <w:t xml:space="preserve">Abrasive size</w:t>
            </w:r>
          </w:p>
        </w:tc>
        <w:tc>
          <w:tcPr>
            <w:tcW w:w="4680" w:type="dxa"/>
          </w:tcPr>
          <w:p>
            <w:pPr>
              <w:spacing w:after="20"/>
            </w:pPr>
            <w:r>
              <w:t xml:space="preserve">Controls cutting action, achievable finish, and material removal rate</w:t>
            </w:r>
          </w:p>
        </w:tc>
      </w:tr>
      <w:tr>
        <w:tc>
          <w:tcPr>
            <w:tcW w:w="4680" w:type="dxa"/>
          </w:tcPr>
          <w:p>
            <w:pPr>
              <w:spacing w:after="20"/>
            </w:pPr>
            <w:r>
              <w:t xml:space="preserve">Feed rate</w:t>
            </w:r>
          </w:p>
        </w:tc>
        <w:tc>
          <w:tcPr>
            <w:tcW w:w="4680" w:type="dxa"/>
          </w:tcPr>
          <w:p>
            <w:pPr>
              <w:spacing w:after="20"/>
            </w:pPr>
            <w:r>
              <w:t xml:space="preserve">Influences residence time and finishing uniformity</w:t>
            </w:r>
          </w:p>
        </w:tc>
      </w:tr>
      <w:tr>
        <w:tc>
          <w:tcPr>
            <w:tcW w:w="4680" w:type="dxa"/>
          </w:tcPr>
          <w:p>
            <w:pPr>
              <w:spacing w:after="20"/>
            </w:pPr>
            <w:r>
              <w:t xml:space="preserve">Workpiece material</w:t>
            </w:r>
          </w:p>
        </w:tc>
        <w:tc>
          <w:tcPr>
            <w:tcW w:w="4680" w:type="dxa"/>
          </w:tcPr>
          <w:p>
            <w:pPr>
              <w:spacing w:after="20"/>
            </w:pPr>
            <w:r>
              <w:t xml:space="preserve">Determines resistance to abrasive action via hardness and ductility</w:t>
            </w:r>
          </w:p>
        </w:tc>
      </w:tr>
      <w:tr>
        <w:tc>
          <w:tcPr>
            <w:tcW w:w="4680" w:type="dxa"/>
          </w:tcPr>
          <w:p>
            <w:pPr>
              <w:spacing w:after="20"/>
            </w:pPr>
            <w:r>
              <w:t xml:space="preserve">Lubricant</w:t>
            </w:r>
          </w:p>
        </w:tc>
        <w:tc>
          <w:tcPr>
            <w:tcW w:w="4680" w:type="dxa"/>
          </w:tcPr>
          <w:p>
            <w:pPr>
              <w:spacing w:after="20"/>
            </w:pPr>
            <w:r>
              <w:t xml:space="preserve">Influences friction, abrasive movement, heat, and debris transport</w:t>
            </w:r>
          </w:p>
        </w:tc>
      </w:tr>
    </w:tbl>
    <w:p>
      <w:pPr>
        <w:spacing w:after="120"/>
      </w:pPr>
    </w:p>
    <w:p>
      <w:pPr>
        <w:pStyle w:val="Heading2"/>
      </w:pPr>
      <w:r>
        <w:t xml:space="preserve">5.2 Magnetic Flux Density</w:t>
      </w:r>
    </w:p>
    <w:p>
      <w:pPr>
        <w:pStyle w:val="Normal"/>
      </w:pPr>
      <w:r>
        <w:t xml:space="preserve">Magnetic flux density is arguably the most influential single parameter, because it sets the magnitude of the magnetic force that presses the abrasive grains against the surface and stiffens the brush. Increasing the flux density raises the normal finishing force, deepens grain penetration, shifts the interaction from sliding toward ploughing and cutting, and thereby accelerates roughness reduction—up to a point. Beyond an optimal value, the force becomes large enough that grains scratch the surface, embed, or induce subsurface deformation, and the finish degrades or plateaus at a higher-than-optimal roughness. The response of Ra to flux density is therefore typically non-monotonic, exhibiting a minimum at an intermediate value that depends on the workpiece material, abrasive size, and gap. This non-monotonicity is a textbook example of behaviour that a linear or even quadratic model captures poorly across a wide range, and that a flexible learner represents naturally.</w:t>
      </w:r>
    </w:p>
    <w:p>
      <w:pPr>
        <w:pStyle w:val="Heading2"/>
      </w:pPr>
      <w:r>
        <w:t xml:space="preserve">5.3 Working Gap</w:t>
      </w:r>
    </w:p>
    <w:p>
      <w:pPr>
        <w:pStyle w:val="Normal"/>
      </w:pPr>
      <w:r>
        <w:t xml:space="preserve">The working gap—the distance between the pole face and the workpiece surface, within which the brush forms—governs both the strength and the spatial gradient of the magnetic field at the workpiece and hence the finishing force and the brush stiffness. A small gap concentrates the field, stiffens the brush, and increases the force, promoting aggressive cutting; but too small a gap constrains particle circulation, impedes the flushing of debris, and can lead to loading and burnishing that arrest roughness reduction. A large gap softens the brush, reduces the force, and shifts the process toward gentle polishing, at the cost of finishing rate. The gap interacts strongly with flux density, because both act through the field, and the optimal gap depends on the field strength, the particle size, and the workpiece geometry. In many MAF systems the gap is among the most sensitive parameters, and its precise control is essential to reproducibility.</w:t>
      </w:r>
    </w:p>
    <w:p>
      <w:pPr>
        <w:pStyle w:val="Heading2"/>
      </w:pPr>
      <w:r>
        <w:t xml:space="preserve">5.4 Rotational Speed</w:t>
      </w:r>
    </w:p>
    <w:p>
      <w:pPr>
        <w:pStyle w:val="Normal"/>
      </w:pPr>
      <w:r>
        <w:t xml:space="preserve">Rotational speed sets the relative velocity between the abrasive brush and the workpiece and thereby the frequency of abrasive–asperity encounters per unit of finishing time. Higher speed increases the number of cutting events and generally accelerates roughness reduction. However, at excessive speeds several countervailing effects appear: centrifugal forces begin to fling particles out of the finishing zone, depleting the active abrasive; frictional heating rises, which can soften the workpiece or degrade the lubricant; and the residence time of each grain in the contact zone shortens. The net effect of speed on the final roughness is therefore again non-monotonic in many systems, with an optimum beyond which further increases are neutral or detrimental. Speed also interacts with finishing time, since the total number of cutting events is roughly proportional to their product.</w:t>
      </w:r>
    </w:p>
    <w:p>
      <w:pPr>
        <w:pStyle w:val="Heading2"/>
      </w:pPr>
      <w:r>
        <w:t xml:space="preserve">5.5 Finishing Time</w:t>
      </w:r>
    </w:p>
    <w:p>
      <w:pPr>
        <w:pStyle w:val="Normal"/>
      </w:pPr>
      <w:r>
        <w:t xml:space="preserve">Finishing time determines the cumulative material removal and, through the saturation behaviour described in Section 3, exhibits a characteristic law of diminishing returns. Roughness falls steeply at first, then more slowly, and finally approaches an asymptotic saturation value beyond which additional time yields negligible improvement and may introduce fresh damage. The time constant of this exponential-like approach, and the level of the saturation roughness, depend on all the other parameters—stronger fields, sharper abrasives, and faster speeds generally shorten the time to reach a given roughness. Because time is the parameter most directly tied to cost and throughput, accurately modelling the time–roughness relationship and its interaction with the other variables is of particular economic importance, and it is a relationship that ML models learn with ease given adequate temporal sampling.</w:t>
      </w:r>
    </w:p>
    <w:p>
      <w:pPr>
        <w:pStyle w:val="Heading2"/>
      </w:pPr>
      <w:r>
        <w:t xml:space="preserve">5.6 Abrasive Concentration</w:t>
      </w:r>
    </w:p>
    <w:p>
      <w:pPr>
        <w:pStyle w:val="Normal"/>
      </w:pPr>
      <w:r>
        <w:t xml:space="preserve">Abrasive concentration—the proportion of abrasive grains within the magnetic abrasive medium—governs the number of active cutting points in the brush. Higher concentration provides more cutting grains and can accelerate finishing, but it dilutes the ferromagnetic content, weakening the brush and reducing the force per grain; too high a concentration therefore softens the brush and degrades its ability to transmit finishing pressure. Conversely, too low a concentration yields a strong but sparsely abrasive brush that burnishes more than it cuts. An intermediate concentration typically optimizes the finishing rate, and its optimum interacts with flux density and gap, since these determine how much magnetic content is needed to maintain brush stiffness.</w:t>
      </w:r>
    </w:p>
    <w:p>
      <w:pPr>
        <w:pStyle w:val="Heading2"/>
      </w:pPr>
      <w:r>
        <w:t xml:space="preserve">5.7 Abrasive Particle Size</w:t>
      </w:r>
    </w:p>
    <w:p>
      <w:pPr>
        <w:pStyle w:val="Normal"/>
      </w:pPr>
      <w:r>
        <w:t xml:space="preserve">Abrasive particle size exerts one of the strongest and most intuitive influences on the achievable finish. Larger grains cut more aggressively, remove material faster, and are appropriate for the early, high-removal stages, but they leave a coarser residual scratch pattern and hence a higher limiting roughness. Finer grains cut more gently, remove material more slowly, but achieve a lower limiting roughness. There is thus a fundamental trade-off between finishing rate and achievable finish that is set largely by grain size, and multi-stage finishing strategies—coarse grains followed by progressively finer grains—exploit this trade-off deliberately. Grain size interacts with flux density (which sets penetration), with the workpiece hardness (which resists penetration), and with concentration (which sets the number of active grains). For a given target roughness there is an optimal grain size, and for a target that is very low, only fine grains can reach it regardless of the other settings—an example of a hard constraint that models and optimizers must respect.</w:t>
      </w:r>
    </w:p>
    <w:p>
      <w:pPr>
        <w:pStyle w:val="Heading2"/>
      </w:pPr>
      <w:r>
        <w:t xml:space="preserve">5.8 Feed Rate, Oscillation, and Kinematics</w:t>
      </w:r>
    </w:p>
    <w:p>
      <w:pPr>
        <w:pStyle w:val="Normal"/>
      </w:pPr>
      <w:r>
        <w:t xml:space="preserve">In configurations that impose a feed or oscillation in addition to rotation, the feed rate and the oscillation amplitude and frequency influence the residence time of the brush over any given region and the density and isotropy of the abrasive trajectories. A slow feed and a well-chosen oscillation produce a dense, cross-hatched, isotropic trajectory pattern that finishes uniformly and avoids directional lay; too fast a feed leaves regions insufficiently finished and produces streaking. The kinematics thus govern the uniformity of the finish across the surface, a property distinct from the average roughness at any single point, and they matter especially for long or large components.</w:t>
      </w:r>
    </w:p>
    <w:p>
      <w:pPr>
        <w:pStyle w:val="Heading2"/>
      </w:pPr>
      <w:r>
        <w:t xml:space="preserve">5.9 Workpiece Material</w:t>
      </w:r>
    </w:p>
    <w:p>
      <w:pPr>
        <w:pStyle w:val="Normal"/>
      </w:pPr>
      <w:r>
        <w:t xml:space="preserve">The workpiece material determines the resistance of the surface to abrasive action, principally through its hardness, which sets the indentation depth under a given force, and its ductility, which governs the balance between chip formation and ploughing. Hard materials resist penetration and require higher fields or finer, harder abrasives to finish effectively; very ductile materials tend to plough and smear rather than cut cleanly, producing built-up ridges. The magnetic character of the material also matters: ferromagnetic workpieces enhance the field at the surface and increase the finishing force for a given excitation, whereas non-ferromagnetic workpieces require an external magnetic circuit and experience weaker forces. Because material is a categorical rather than a continuous variable, its treatment in ML models requires either separate models per material or the encoding of material properties (hardness, modulus, ductility, magnetic permeability) as continuous features—an approach that, as Section 8 discusses, greatly improves a model's ability to generalize across materials.</w:t>
      </w:r>
    </w:p>
    <w:p>
      <w:pPr>
        <w:pStyle w:val="Heading2"/>
      </w:pPr>
      <w:r>
        <w:t xml:space="preserve">5.10 Lubricant and Finishing Fluid</w:t>
      </w:r>
    </w:p>
    <w:p>
      <w:pPr>
        <w:pStyle w:val="Normal"/>
      </w:pPr>
      <w:r>
        <w:t xml:space="preserve">The lubricant or finishing fluid influences friction between grains and surface, the transport of heat and debris out of the finishing zone, the prevention of abrasive loading, and, through its chemistry, the tribochemical interactions at the surface. An appropriate fluid reduces friction and heat, keeps the abrasive medium clean and free-flowing, and can chemically assist material removal in some material–abrasive combinations; an inappropriate fluid can promote loading, corrosion, or unwanted chemical effects. Lubricant chemistry is difficult to parameterize continuously and is often treated as a categorical variable or held constant across a study.</w:t>
      </w:r>
    </w:p>
    <w:p>
      <w:pPr>
        <w:pStyle w:val="Heading2"/>
      </w:pPr>
      <w:r>
        <w:t xml:space="preserve">5.11 Parameter Interactions and the Case for Machine Learning</w:t>
      </w:r>
    </w:p>
    <w:p>
      <w:pPr>
        <w:pStyle w:val="Normal"/>
      </w:pPr>
      <w:r>
        <w:t xml:space="preserve">The parameters are not independent. For example, the effect of abrasive concentration can change considerably when magnetic flux density or working gap is changed, because these variables jointly determine the stiffness of the brush and the force per grain. This interaction structure is pervasive and is the crux of the modelling challenge. The effect of flux density depends on the gap; the effect of grain size depends on the material hardness; the effect of time depends on speed; the optimal concentration depends on the field. In the language of experimental design, the response surface is riddled with two-factor and higher-order interactions, and the location and depth of the optimum in one variable shift as the others change. Figure 5 illustrates this schematically through response surfaces over pairs of parameters, showing how the shape and location of the roughness minimum migrate as a third parameter is varied.</w:t>
      </w:r>
    </w:p>
    <w:p>
      <w:pPr>
        <w:pStyle w:val="Normal"/>
      </w:pPr>
      <w:r>
        <w:t xml:space="preserve">This parameter interaction is one of the primary reasons why ML can be advantageous. A model that assumes additive, independent effects—as a main-effects-only regression does—cannot represent interactions at all, and a model that includes only two-factor interactions—as a standard quadratic response surface does—cannot represent the higher-order effects that MAF exhibits. Flexible learners such as neural networks and tree ensembles, by contrast, represent interactions of arbitrary order automatically, without the analyst having to specify them, because their function classes are not restricted to any fixed polynomial degree. This capacity to absorb unspecified, high-order interaction structure directly from data, rather than requiring it to be anticipated and encoded by hand, is the single most important reason that machine learning outperforms classical regression in modelling MAF, and it recurs as a theme throughout the algorithmic discussion of Section 9 [20], [21], [22], [23], [24], [25].</w:t>
      </w:r>
    </w:p>
    <w:p>
      <w:pPr>
        <w:pStyle w:val="FigureImg"/>
      </w:pPr>
      <w:r>
        <w:drawing>
          <wp:inline xmlns:wp="http://schemas.openxmlformats.org/drawingml/2006/wordprocessingDrawing" distT="0" distB="0" distL="0" distR="0">
            <wp:extent cx="5486400" cy="3465094"/>
            <wp:effectExtent l="0" t="0" r="0" b="0"/>
            <wp:docPr id="1882369494"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69494" name="Figure 5"/>
                    <pic:cNvPicPr/>
                  </pic:nvPicPr>
                  <pic:blipFill>
                    <a:blip xmlns:r="http://schemas.openxmlformats.org/officeDocument/2006/relationships" r:embed="rId5"/>
                    <a:stretch>
                      <a:fillRect/>
                    </a:stretch>
                  </pic:blipFill>
                  <pic:spPr>
                    <a:xfrm>
                      <a:off x="0" y="0"/>
                      <a:ext cx="5486400" cy="3465094"/>
                    </a:xfrm>
                    <a:prstGeom prst="rect">
                      <a:avLst/>
                    </a:prstGeom>
                  </pic:spPr>
                </pic:pic>
              </a:graphicData>
            </a:graphic>
          </wp:inline>
        </w:drawing>
      </w:r>
    </w:p>
    <w:p>
      <w:pPr>
        <w:pStyle w:val="FigureCaption"/>
      </w:pPr>
      <w:r>
        <w:t xml:space="preserve">Figure 5. Response surfaces of surface roughness over pairs of MAF process parameters, illustrating interaction effects. The location and depth of the roughness minimum shift as a third parameter is varied, demonstrating the high-order interaction structure that motivates flexible, data-driven modelling.</w:t>
      </w:r>
    </w:p>
    <w:p>
      <w:pPr>
        <w:pStyle w:val="Heading1"/>
      </w:pPr>
      <w:r>
        <w:t xml:space="preserve">6. Experimental Data Acquisition</w:t>
      </w:r>
    </w:p>
    <w:p>
      <w:pPr>
        <w:pStyle w:val="Heading2"/>
      </w:pPr>
      <w:r>
        <w:t xml:space="preserve">6.1 The Primacy of Data</w:t>
      </w:r>
    </w:p>
    <w:p>
      <w:pPr>
        <w:pStyle w:val="Normal"/>
      </w:pPr>
      <w:r>
        <w:t xml:space="preserve">A reliable ML model requires a sufficiently representative experimental dataset. This assertion, easy to state and easy to underestimate, deserves to be placed at the centre of any serious treatment of data-driven MAF modelling. The most sophisticated algorithm trained on a small, biased, or noisy dataset will produce a model that is at best mediocre and at worst dangerously misleading, because it will have learned the idiosyncrasies of a poor sample rather than the underlying process. Conversely, a modest algorithm trained on a large, well-designed, carefully measured dataset can yield a model of real predictive value. In the balance between algorithm and data, data usually dominate, and the effort invested in acquiring good data repays itself many times over. This section therefore treats data acquisition as a first-class subject, addressing what to measure, how much to measure, and how to ensure that the measurements are representative and trustworthy.</w:t>
      </w:r>
    </w:p>
    <w:p>
      <w:pPr>
        <w:pStyle w:val="Heading2"/>
      </w:pPr>
      <w:r>
        <w:t xml:space="preserve">6.2 Input Variables and Their Ranges</w:t>
      </w:r>
    </w:p>
    <w:p>
      <w:pPr>
        <w:pStyle w:val="Normal"/>
      </w:pPr>
      <w:r>
        <w:t xml:space="preserve">A typical experimental design for MAF roughness modelling includes five to seven input variables spanning the principal process parameters identified in Section 5. Table 5 presents a representative set of input variables with example ranges appropriate to a general-purpose cylindrical or plane MAF study; the specific ranges must be adapted to the equipment, the workpiece material, and the objective of the study. The output, or response, variable is the surface roughness, with Ra as the primary response and, ideally, Rq, Rz, skewness, and other parameters recorded alongside so that richer models can be trained without additional experimentation.</w:t>
      </w:r>
    </w:p>
    <w:p>
      <w:pPr>
        <w:pStyle w:val="TableCaption"/>
      </w:pPr>
      <w:r>
        <w:t xml:space="preserve">Table 5. Representative input variables and example ranges for a magnetic abrasive finishing experimental study.</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jc w:val="center"/>
              <w:spacing w:after="20"/>
            </w:pPr>
            <w:r>
              <w:rPr>
                <w:b/>
              </w:rPr>
              <w:t xml:space="preserve">Input</w:t>
            </w:r>
          </w:p>
        </w:tc>
        <w:tc>
          <w:tcPr>
            <w:tcW w:w="2340" w:type="dxa"/>
            <w:shd w:val="clear" w:color="auto" w:fill="D9E2F3"/>
          </w:tcPr>
          <w:p>
            <w:pPr>
              <w:jc w:val="center"/>
              <w:spacing w:after="20"/>
            </w:pPr>
            <w:r>
              <w:rPr>
                <w:b/>
              </w:rPr>
              <w:t xml:space="preserve">Symbol</w:t>
            </w:r>
          </w:p>
        </w:tc>
        <w:tc>
          <w:tcPr>
            <w:tcW w:w="2340" w:type="dxa"/>
            <w:shd w:val="clear" w:color="auto" w:fill="D9E2F3"/>
          </w:tcPr>
          <w:p>
            <w:pPr>
              <w:jc w:val="center"/>
              <w:spacing w:after="20"/>
            </w:pPr>
            <w:r>
              <w:rPr>
                <w:b/>
              </w:rPr>
              <w:t xml:space="preserve">Example range</w:t>
            </w:r>
          </w:p>
        </w:tc>
        <w:tc>
          <w:tcPr>
            <w:tcW w:w="2340" w:type="dxa"/>
            <w:shd w:val="clear" w:color="auto" w:fill="D9E2F3"/>
          </w:tcPr>
          <w:p>
            <w:pPr>
              <w:jc w:val="center"/>
              <w:spacing w:after="20"/>
            </w:pPr>
            <w:r>
              <w:rPr>
                <w:b/>
              </w:rPr>
              <w:t xml:space="preserve">Units</w:t>
            </w:r>
          </w:p>
        </w:tc>
      </w:tr>
      <w:tr>
        <w:tc>
          <w:tcPr>
            <w:tcW w:w="2340" w:type="dxa"/>
          </w:tcPr>
          <w:p>
            <w:pPr>
              <w:spacing w:after="20"/>
            </w:pPr>
            <w:r>
              <w:t xml:space="preserve">Magnetic flux density</w:t>
            </w:r>
          </w:p>
        </w:tc>
        <w:tc>
          <w:tcPr>
            <w:tcW w:w="2340" w:type="dxa"/>
          </w:tcPr>
          <w:p>
            <w:pPr>
              <w:spacing w:after="20"/>
            </w:pPr>
            <w:r>
              <w:t xml:space="preserve">B</w:t>
            </w:r>
          </w:p>
        </w:tc>
        <w:tc>
          <w:tcPr>
            <w:tcW w:w="2340" w:type="dxa"/>
          </w:tcPr>
          <w:p>
            <w:pPr>
              <w:spacing w:after="20"/>
            </w:pPr>
            <w:r>
              <w:t xml:space="preserve">0.3 – 1.0</w:t>
            </w:r>
          </w:p>
        </w:tc>
        <w:tc>
          <w:tcPr>
            <w:tcW w:w="2340" w:type="dxa"/>
          </w:tcPr>
          <w:p>
            <w:pPr>
              <w:spacing w:after="20"/>
            </w:pPr>
            <w:r>
              <w:t xml:space="preserve">T</w:t>
            </w:r>
          </w:p>
        </w:tc>
      </w:tr>
      <w:tr>
        <w:tc>
          <w:tcPr>
            <w:tcW w:w="2340" w:type="dxa"/>
          </w:tcPr>
          <w:p>
            <w:pPr>
              <w:spacing w:after="20"/>
            </w:pPr>
            <w:r>
              <w:t xml:space="preserve">Spindle (rotational) speed</w:t>
            </w:r>
          </w:p>
        </w:tc>
        <w:tc>
          <w:tcPr>
            <w:tcW w:w="2340" w:type="dxa"/>
          </w:tcPr>
          <w:p>
            <w:pPr>
              <w:spacing w:after="20"/>
            </w:pPr>
            <w:r>
              <w:t xml:space="preserve">N</w:t>
            </w:r>
          </w:p>
        </w:tc>
        <w:tc>
          <w:tcPr>
            <w:tcW w:w="2340" w:type="dxa"/>
          </w:tcPr>
          <w:p>
            <w:pPr>
              <w:spacing w:after="20"/>
            </w:pPr>
            <w:r>
              <w:t xml:space="preserve">500 – 2000</w:t>
            </w:r>
          </w:p>
        </w:tc>
        <w:tc>
          <w:tcPr>
            <w:tcW w:w="2340" w:type="dxa"/>
          </w:tcPr>
          <w:p>
            <w:pPr>
              <w:spacing w:after="20"/>
            </w:pPr>
            <w:r>
              <w:t xml:space="preserve">rpm</w:t>
            </w:r>
          </w:p>
        </w:tc>
      </w:tr>
      <w:tr>
        <w:tc>
          <w:tcPr>
            <w:tcW w:w="2340" w:type="dxa"/>
          </w:tcPr>
          <w:p>
            <w:pPr>
              <w:spacing w:after="20"/>
            </w:pPr>
            <w:r>
              <w:t xml:space="preserve">Working gap</w:t>
            </w:r>
          </w:p>
        </w:tc>
        <w:tc>
          <w:tcPr>
            <w:tcW w:w="2340" w:type="dxa"/>
          </w:tcPr>
          <w:p>
            <w:pPr>
              <w:spacing w:after="20"/>
            </w:pPr>
            <w:r>
              <w:t xml:space="preserve">G</w:t>
            </w:r>
          </w:p>
        </w:tc>
        <w:tc>
          <w:tcPr>
            <w:tcW w:w="2340" w:type="dxa"/>
          </w:tcPr>
          <w:p>
            <w:pPr>
              <w:spacing w:after="20"/>
            </w:pPr>
            <w:r>
              <w:t xml:space="preserve">0.5 – 2.0</w:t>
            </w:r>
          </w:p>
        </w:tc>
        <w:tc>
          <w:tcPr>
            <w:tcW w:w="2340" w:type="dxa"/>
          </w:tcPr>
          <w:p>
            <w:pPr>
              <w:spacing w:after="20"/>
            </w:pPr>
            <w:r>
              <w:t xml:space="preserve">mm</w:t>
            </w:r>
          </w:p>
        </w:tc>
      </w:tr>
      <w:tr>
        <w:tc>
          <w:tcPr>
            <w:tcW w:w="2340" w:type="dxa"/>
          </w:tcPr>
          <w:p>
            <w:pPr>
              <w:spacing w:after="20"/>
            </w:pPr>
            <w:r>
              <w:t xml:space="preserve">Abrasive concentration</w:t>
            </w:r>
          </w:p>
        </w:tc>
        <w:tc>
          <w:tcPr>
            <w:tcW w:w="2340" w:type="dxa"/>
          </w:tcPr>
          <w:p>
            <w:pPr>
              <w:spacing w:after="20"/>
            </w:pPr>
            <w:r>
              <w:t xml:space="preserve">C</w:t>
            </w:r>
          </w:p>
        </w:tc>
        <w:tc>
          <w:tcPr>
            <w:tcW w:w="2340" w:type="dxa"/>
          </w:tcPr>
          <w:p>
            <w:pPr>
              <w:spacing w:after="20"/>
            </w:pPr>
            <w:r>
              <w:t xml:space="preserve">10 – 40</w:t>
            </w:r>
          </w:p>
        </w:tc>
        <w:tc>
          <w:tcPr>
            <w:tcW w:w="2340" w:type="dxa"/>
          </w:tcPr>
          <w:p>
            <w:pPr>
              <w:spacing w:after="20"/>
            </w:pPr>
            <w:r>
              <w:t xml:space="preserve">wt.%</w:t>
            </w:r>
          </w:p>
        </w:tc>
      </w:tr>
      <w:tr>
        <w:tc>
          <w:tcPr>
            <w:tcW w:w="2340" w:type="dxa"/>
          </w:tcPr>
          <w:p>
            <w:pPr>
              <w:spacing w:after="20"/>
            </w:pPr>
            <w:r>
              <w:t xml:space="preserve">Abrasive particle size</w:t>
            </w:r>
          </w:p>
        </w:tc>
        <w:tc>
          <w:tcPr>
            <w:tcW w:w="2340" w:type="dxa"/>
          </w:tcPr>
          <w:p>
            <w:pPr>
              <w:spacing w:after="20"/>
            </w:pPr>
            <w:r>
              <w:t xml:space="preserve">D</w:t>
            </w:r>
          </w:p>
        </w:tc>
        <w:tc>
          <w:tcPr>
            <w:tcW w:w="2340" w:type="dxa"/>
          </w:tcPr>
          <w:p>
            <w:pPr>
              <w:spacing w:after="20"/>
            </w:pPr>
            <w:r>
              <w:t xml:space="preserve">100 – 500</w:t>
            </w:r>
          </w:p>
        </w:tc>
        <w:tc>
          <w:tcPr>
            <w:tcW w:w="2340" w:type="dxa"/>
          </w:tcPr>
          <w:p>
            <w:pPr>
              <w:spacing w:after="20"/>
            </w:pPr>
            <w:r>
              <w:t xml:space="preserve">micrometre</w:t>
            </w:r>
          </w:p>
        </w:tc>
      </w:tr>
      <w:tr>
        <w:tc>
          <w:tcPr>
            <w:tcW w:w="2340" w:type="dxa"/>
          </w:tcPr>
          <w:p>
            <w:pPr>
              <w:spacing w:after="20"/>
            </w:pPr>
            <w:r>
              <w:t xml:space="preserve">Finishing time</w:t>
            </w:r>
          </w:p>
        </w:tc>
        <w:tc>
          <w:tcPr>
            <w:tcW w:w="2340" w:type="dxa"/>
          </w:tcPr>
          <w:p>
            <w:pPr>
              <w:spacing w:after="20"/>
            </w:pPr>
            <w:r>
              <w:t xml:space="preserve">T</w:t>
            </w:r>
          </w:p>
        </w:tc>
        <w:tc>
          <w:tcPr>
            <w:tcW w:w="2340" w:type="dxa"/>
          </w:tcPr>
          <w:p>
            <w:pPr>
              <w:spacing w:after="20"/>
            </w:pPr>
            <w:r>
              <w:t xml:space="preserve">5 – 30</w:t>
            </w:r>
          </w:p>
        </w:tc>
        <w:tc>
          <w:tcPr>
            <w:tcW w:w="2340" w:type="dxa"/>
          </w:tcPr>
          <w:p>
            <w:pPr>
              <w:spacing w:after="20"/>
            </w:pPr>
            <w:r>
              <w:t xml:space="preserve">min</w:t>
            </w:r>
          </w:p>
        </w:tc>
      </w:tr>
      <w:tr>
        <w:tc>
          <w:tcPr>
            <w:tcW w:w="2340" w:type="dxa"/>
          </w:tcPr>
          <w:p>
            <w:pPr>
              <w:spacing w:after="20"/>
            </w:pPr>
            <w:r>
              <w:t xml:space="preserve">Feed rate (where applicable)</w:t>
            </w:r>
          </w:p>
        </w:tc>
        <w:tc>
          <w:tcPr>
            <w:tcW w:w="2340" w:type="dxa"/>
          </w:tcPr>
          <w:p>
            <w:pPr>
              <w:spacing w:after="20"/>
            </w:pPr>
            <w:r>
              <w:t xml:space="preserve">F</w:t>
            </w:r>
          </w:p>
        </w:tc>
        <w:tc>
          <w:tcPr>
            <w:tcW w:w="2340" w:type="dxa"/>
          </w:tcPr>
          <w:p>
            <w:pPr>
              <w:spacing w:after="20"/>
            </w:pPr>
            <w:r>
              <w:t xml:space="preserve">10 – 100</w:t>
            </w:r>
          </w:p>
        </w:tc>
        <w:tc>
          <w:tcPr>
            <w:tcW w:w="2340" w:type="dxa"/>
          </w:tcPr>
          <w:p>
            <w:pPr>
              <w:spacing w:after="20"/>
            </w:pPr>
            <w:r>
              <w:t xml:space="preserve">mm/min</w:t>
            </w:r>
          </w:p>
        </w:tc>
      </w:tr>
    </w:tbl>
    <w:p>
      <w:pPr>
        <w:spacing w:after="120"/>
      </w:pPr>
    </w:p>
    <w:p>
      <w:pPr>
        <w:pStyle w:val="Normal"/>
      </w:pPr>
      <w:r>
        <w:t xml:space="preserve">The choice of ranges is consequential. The ranges must be wide enough to encompass the region of practical interest, including the neighbourhood of the anticipated optimum, yet not so wide that they include settings that are physically unrealizable or that produce pathological results (such as fields so strong that the surface is damaged in every run). Because ML models extrapolate poorly, the ranges effectively define the domain within which the resulting model can be trusted; predictions outside the sampled ranges are extrapolations and must be treated with caution. It is good practice to choose ranges that bracket the expected optimum symmetrically, so that the optimum lies in the interior of the sampled region where the model is best supported by data, rather than at an edge where it is least reliable.</w:t>
      </w:r>
    </w:p>
    <w:p>
      <w:pPr>
        <w:pStyle w:val="Heading2"/>
      </w:pPr>
      <w:r>
        <w:t xml:space="preserve">6.3 The Response Variable and Its Measurement</w:t>
      </w:r>
    </w:p>
    <w:p>
      <w:pPr>
        <w:pStyle w:val="Normal"/>
      </w:pPr>
      <w:r>
        <w:t xml:space="preserve">The output variable is the surface roughness, denoted Y = Ra when Ra is the sole response. Experimental measurements should be performed using a calibrated surface profilometer, and calibration against a traceable reference specimen before each measurement campaign is essential to ensure that roughness values are comparable across specimens and over time. The measurement protocol—instrument type, stylus radius or optical objective, traverse length, cut-off wavelength, and evaluation length—should be fixed for the entire study and reported in full, because variation in these choices introduces systematic differences that the model may misattribute to the process parameters.</w:t>
      </w:r>
    </w:p>
    <w:p>
      <w:pPr>
        <w:pStyle w:val="Normal"/>
      </w:pPr>
      <w:r>
        <w:t xml:space="preserve">Multiple measurements should preferably be obtained from different locations on each specimen, and their average used as the representative surface roughness. Three to five measurements at circumferentially and axially distributed locations are common; their mean estimates the representative roughness, and their standard deviation estimates the combined spatial and measurement variability. Recording this variability is not a bureaucratic nicety: as noted in Section 4, it defines the noise floor of the response and hence the best error any model can achieve. It also enables the detection of specimens whose spatial variability is anomalously high, which may indicate a process fault—non-uniform field, brush maldistribution, or fixturing error—that should be investigated rather than averaged away.</w:t>
      </w:r>
    </w:p>
    <w:p>
      <w:pPr>
        <w:pStyle w:val="Heading2"/>
      </w:pPr>
      <w:r>
        <w:t xml:space="preserve">6.4 Controlling Confounders and Ensuring Representativeness</w:t>
      </w:r>
    </w:p>
    <w:p>
      <w:pPr>
        <w:pStyle w:val="Normal"/>
      </w:pPr>
      <w:r>
        <w:t xml:space="preserve">A representative dataset is one in which the variation in the response is attributable to the deliberately varied input parameters and not to uncontrolled, unmeasured confounders. Several confounders threaten MAF experiments. The initial surface roughness of the blanks, if variable, contributes to the finished roughness and, if unrecorded, masquerades as noise or biases the parameter effects; it should be measured for each blank and either controlled to a narrow band or recorded as an additional input. The condition of the abrasive medium changes with use as grains fracture and wear and as ferromagnetic particles corrode; fresh medium or a controlled reconditioning protocol prevents this drift from confounding the results. Tool and fixture wear, ambient temperature, and operator technique are further potential confounders. The disciplined identification and control of confounders is what separates a dataset from which a valid model can be learned from one that will produce a plausible-looking but unreliable model.</w:t>
      </w:r>
    </w:p>
    <w:p>
      <w:pPr>
        <w:pStyle w:val="Heading2"/>
      </w:pPr>
      <w:r>
        <w:t xml:space="preserve">6.5 Randomization, Replication, and Blocking</w:t>
      </w:r>
    </w:p>
    <w:p>
      <w:pPr>
        <w:pStyle w:val="Normal"/>
      </w:pPr>
      <w:r>
        <w:t xml:space="preserve">Three classical principles of experimentation guard against the confounders that cannot be eliminated. </w:t>
      </w:r>
      <w:r>
        <w:rPr>
          <w:b/>
        </w:rPr>
        <w:t xml:space="preserve">Randomization</w:t>
      </w:r>
      <w:r>
        <w:t xml:space="preserve"> of the run order breaks the association between the parameter settings and any time-varying confounder such as gradual tool wear or ambient drift, converting a potential systematic bias into random noise that inflates variance but does not bias the estimated effects. </w:t>
      </w:r>
      <w:r>
        <w:rPr>
          <w:b/>
        </w:rPr>
        <w:t xml:space="preserve">Replication</w:t>
      </w:r>
      <w:r>
        <w:t xml:space="preserve">—repeating runs at identical settings—provides a direct estimate of pure experimental error, distinct from lack of fit, and stabilizes the estimated response at each replicated point. </w:t>
      </w:r>
      <w:r>
        <w:rPr>
          <w:b/>
        </w:rPr>
        <w:t xml:space="preserve">Blocking</w:t>
      </w:r>
      <w:r>
        <w:t xml:space="preserve">—grouping runs into homogeneous blocks, such as those performed on the same day or with the same batch of abrasive—isolates block-to-block variation so that it does not contaminate the parameter effects. These principles, developed for classical designed experiments, remain fully relevant when the ultimate objective is an ML model rather than an analysis of variance, because they improve the quality and interpretability of the data on which the model is trained. Table 6 summarizes them.</w:t>
      </w:r>
    </w:p>
    <w:p>
      <w:pPr>
        <w:pStyle w:val="TableCaption"/>
      </w:pPr>
      <w:r>
        <w:t xml:space="preserve">Table 6. Classical principles of experimentation and their role in machine-learning data acquisition for MAF.</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Principle</w:t>
            </w:r>
          </w:p>
        </w:tc>
        <w:tc>
          <w:tcPr>
            <w:tcW w:w="3120" w:type="dxa"/>
            <w:shd w:val="clear" w:color="auto" w:fill="D9E2F3"/>
          </w:tcPr>
          <w:p>
            <w:pPr>
              <w:jc w:val="center"/>
              <w:spacing w:after="20"/>
            </w:pPr>
            <w:r>
              <w:rPr>
                <w:b/>
              </w:rPr>
              <w:t xml:space="preserve">Purpose</w:t>
            </w:r>
          </w:p>
        </w:tc>
        <w:tc>
          <w:tcPr>
            <w:tcW w:w="3120" w:type="dxa"/>
            <w:shd w:val="clear" w:color="auto" w:fill="D9E2F3"/>
          </w:tcPr>
          <w:p>
            <w:pPr>
              <w:jc w:val="center"/>
              <w:spacing w:after="20"/>
            </w:pPr>
            <w:r>
              <w:rPr>
                <w:b/>
              </w:rPr>
              <w:t xml:space="preserve">Practical implementation in MAF</w:t>
            </w:r>
          </w:p>
        </w:tc>
      </w:tr>
      <w:tr>
        <w:tc>
          <w:tcPr>
            <w:tcW w:w="3120" w:type="dxa"/>
          </w:tcPr>
          <w:p>
            <w:pPr>
              <w:spacing w:after="20"/>
            </w:pPr>
            <w:r>
              <w:t xml:space="preserve">Randomization</w:t>
            </w:r>
          </w:p>
        </w:tc>
        <w:tc>
          <w:tcPr>
            <w:tcW w:w="3120" w:type="dxa"/>
          </w:tcPr>
          <w:p>
            <w:pPr>
              <w:spacing w:after="20"/>
            </w:pPr>
            <w:r>
              <w:t xml:space="preserve">Neutralize time-varying confounders</w:t>
            </w:r>
          </w:p>
        </w:tc>
        <w:tc>
          <w:tcPr>
            <w:tcW w:w="3120" w:type="dxa"/>
          </w:tcPr>
          <w:p>
            <w:pPr>
              <w:spacing w:after="20"/>
            </w:pPr>
            <w:r>
              <w:t xml:space="preserve">Randomize run order across the full design</w:t>
            </w:r>
          </w:p>
        </w:tc>
      </w:tr>
      <w:tr>
        <w:tc>
          <w:tcPr>
            <w:tcW w:w="3120" w:type="dxa"/>
          </w:tcPr>
          <w:p>
            <w:pPr>
              <w:spacing w:after="20"/>
            </w:pPr>
            <w:r>
              <w:t xml:space="preserve">Replication</w:t>
            </w:r>
          </w:p>
        </w:tc>
        <w:tc>
          <w:tcPr>
            <w:tcW w:w="3120" w:type="dxa"/>
          </w:tcPr>
          <w:p>
            <w:pPr>
              <w:spacing w:after="20"/>
            </w:pPr>
            <w:r>
              <w:t xml:space="preserve">Estimate pure experimental error</w:t>
            </w:r>
          </w:p>
        </w:tc>
        <w:tc>
          <w:tcPr>
            <w:tcW w:w="3120" w:type="dxa"/>
          </w:tcPr>
          <w:p>
            <w:pPr>
              <w:spacing w:after="20"/>
            </w:pPr>
            <w:r>
              <w:t xml:space="preserve">Repeat selected runs at identical settings</w:t>
            </w:r>
          </w:p>
        </w:tc>
      </w:tr>
      <w:tr>
        <w:tc>
          <w:tcPr>
            <w:tcW w:w="3120" w:type="dxa"/>
          </w:tcPr>
          <w:p>
            <w:pPr>
              <w:spacing w:after="20"/>
            </w:pPr>
            <w:r>
              <w:t xml:space="preserve">Blocking</w:t>
            </w:r>
          </w:p>
        </w:tc>
        <w:tc>
          <w:tcPr>
            <w:tcW w:w="3120" w:type="dxa"/>
          </w:tcPr>
          <w:p>
            <w:pPr>
              <w:spacing w:after="20"/>
            </w:pPr>
            <w:r>
              <w:t xml:space="preserve">Isolate known nuisance variation</w:t>
            </w:r>
          </w:p>
        </w:tc>
        <w:tc>
          <w:tcPr>
            <w:tcW w:w="3120" w:type="dxa"/>
          </w:tcPr>
          <w:p>
            <w:pPr>
              <w:spacing w:after="20"/>
            </w:pPr>
            <w:r>
              <w:t xml:space="preserve">Group runs by day, abrasive batch, or operator</w:t>
            </w:r>
          </w:p>
        </w:tc>
      </w:tr>
      <w:tr>
        <w:tc>
          <w:tcPr>
            <w:tcW w:w="3120" w:type="dxa"/>
          </w:tcPr>
          <w:p>
            <w:pPr>
              <w:spacing w:after="20"/>
            </w:pPr>
            <w:r>
              <w:t xml:space="preserve">Calibration</w:t>
            </w:r>
          </w:p>
        </w:tc>
        <w:tc>
          <w:tcPr>
            <w:tcW w:w="3120" w:type="dxa"/>
          </w:tcPr>
          <w:p>
            <w:pPr>
              <w:spacing w:after="20"/>
            </w:pPr>
            <w:r>
              <w:t xml:space="preserve">Ensure measurement comparability</w:t>
            </w:r>
          </w:p>
        </w:tc>
        <w:tc>
          <w:tcPr>
            <w:tcW w:w="3120" w:type="dxa"/>
          </w:tcPr>
          <w:p>
            <w:pPr>
              <w:spacing w:after="20"/>
            </w:pPr>
            <w:r>
              <w:t xml:space="preserve">Verify profilometer against traceable standard before each campaign</w:t>
            </w:r>
          </w:p>
        </w:tc>
      </w:tr>
      <w:tr>
        <w:tc>
          <w:tcPr>
            <w:tcW w:w="3120" w:type="dxa"/>
          </w:tcPr>
          <w:p>
            <w:pPr>
              <w:spacing w:after="20"/>
            </w:pPr>
            <w:r>
              <w:t xml:space="preserve">Confounder recording</w:t>
            </w:r>
          </w:p>
        </w:tc>
        <w:tc>
          <w:tcPr>
            <w:tcW w:w="3120" w:type="dxa"/>
          </w:tcPr>
          <w:p>
            <w:pPr>
              <w:spacing w:after="20"/>
            </w:pPr>
            <w:r>
              <w:t xml:space="preserve">Prevent masquerading of nuisance as signal</w:t>
            </w:r>
          </w:p>
        </w:tc>
        <w:tc>
          <w:tcPr>
            <w:tcW w:w="3120" w:type="dxa"/>
          </w:tcPr>
          <w:p>
            <w:pPr>
              <w:spacing w:after="20"/>
            </w:pPr>
            <w:r>
              <w:t xml:space="preserve">Record initial roughness, medium condition, temperature</w:t>
            </w:r>
          </w:p>
        </w:tc>
      </w:tr>
    </w:tbl>
    <w:p>
      <w:pPr>
        <w:spacing w:after="120"/>
      </w:pPr>
    </w:p>
    <w:p>
      <w:pPr>
        <w:pStyle w:val="Heading2"/>
      </w:pPr>
      <w:r>
        <w:t xml:space="preserve">6.6 Sources of Data Beyond Purpose-Designed Experiments</w:t>
      </w:r>
    </w:p>
    <w:p>
      <w:pPr>
        <w:pStyle w:val="Normal"/>
      </w:pPr>
      <w:r>
        <w:t xml:space="preserve">While a purpose-designed experimental campaign is the ideal source of training data, other sources can supplement it. Historical production data, if the process parameters and resulting roughness were recorded, provide observational data that, though not designed, may cover regions of the parameter space not reached by a compact experiment. Data from the published literature can be aggregated into meta-datasets, though this requires great care because differences in equipment, materials, measurement protocols, and reporting conventions introduce heterogeneity that can dominate the genuine process signal. High-fidelity physics-based simulation—finite-element magnetic field analysis coupled with abrasive-mechanics models—can generate synthetic data to augment sparse experimental data, a strategy developed further under physics-informed and transfer learning in later sections. Each supplementary source expands the data at the cost of added heterogeneity, and the analyst must weigh this trade-off explicitly, ideally by including a source indicator as a feature so that the model can account for systematic differences between sources.</w:t>
      </w:r>
    </w:p>
    <w:p>
      <w:pPr>
        <w:pStyle w:val="Heading1"/>
      </w:pPr>
      <w:r>
        <w:t xml:space="preserve">7. Experimental Design for Machine Learning</w:t>
      </w:r>
    </w:p>
    <w:p>
      <w:pPr>
        <w:pStyle w:val="Heading2"/>
      </w:pPr>
      <w:r>
        <w:t xml:space="preserve">7.1 Why Design Matters as Much as the Algorithm</w:t>
      </w:r>
    </w:p>
    <w:p>
      <w:pPr>
        <w:pStyle w:val="Normal"/>
      </w:pPr>
      <w:r>
        <w:t xml:space="preserve">The quality of the dataset is as important as the choice of ML algorithm, and the quality of the dataset is determined in large part by the design of experiments used to generate it. Design of experiments (DOE) methods can be used to generate systematic experimental combinations that cover the parameter space efficiently, estimate the effects and interactions of interest with minimal experimental effort, and avoid the redundancy and gaps that plague ad hoc or one-factor-at-a-time experimentation. The one-factor-at-a-time approach, in which each parameter is varied in isolation while the others are held constant, is especially pernicious for MAF because, by construction, it cannot reveal interactions—the very effects that dominate the process. A designed experiment varies the parameters jointly according to a plan chosen to extract the maximum information from a given number of runs.</w:t>
      </w:r>
    </w:p>
    <w:p>
      <w:pPr>
        <w:pStyle w:val="Heading2"/>
      </w:pPr>
      <w:r>
        <w:t xml:space="preserve">7.2 Classical Designs</w:t>
      </w:r>
    </w:p>
    <w:p>
      <w:pPr>
        <w:pStyle w:val="Normal"/>
      </w:pPr>
      <w:r>
        <w:t xml:space="preserve">Common classical approaches include full factorial design, fractional factorial design, central composite design, Box–Behnken design, and Taguchi orthogonal arrays. A </w:t>
      </w:r>
      <w:r>
        <w:rPr>
          <w:b/>
        </w:rPr>
        <w:t xml:space="preserve">full factorial design</w:t>
      </w:r>
      <w:r>
        <w:t xml:space="preserve"> evaluates every combination of chosen levels of every factor; it estimates all main effects and interactions but grows exponentially with the number of factors and levels, becoming impractical beyond a few factors at more than two levels. A </w:t>
      </w:r>
      <w:r>
        <w:rPr>
          <w:b/>
        </w:rPr>
        <w:t xml:space="preserve">fractional factorial design</w:t>
      </w:r>
      <w:r>
        <w:t xml:space="preserve"> evaluates a carefully chosen subset of the full factorial, sacrificing the ability to estimate high-order interactions (which are assumed negligible) in exchange for a large reduction in runs; it is efficient for screening many factors to identify the influential few. A </w:t>
      </w:r>
      <w:r>
        <w:rPr>
          <w:b/>
        </w:rPr>
        <w:t xml:space="preserve">central composite design</w:t>
      </w:r>
      <w:r>
        <w:t xml:space="preserve"> augments a factorial or fractional factorial with centre points and axial (star) points, enabling the fitting of a full quadratic response surface with curvature; it is the workhorse of response surface methodology. A </w:t>
      </w:r>
      <w:r>
        <w:rPr>
          <w:b/>
        </w:rPr>
        <w:t xml:space="preserve">Box–Behnken design</w:t>
      </w:r>
      <w:r>
        <w:t xml:space="preserve"> achieves quadratic response surface capability with three levels per factor and without the extreme corner combinations of the central composite, which is advantageous when extreme settings are undesirable. A </w:t>
      </w:r>
      <w:r>
        <w:rPr>
          <w:b/>
        </w:rPr>
        <w:t xml:space="preserve">Taguchi orthogonal array</w:t>
      </w:r>
      <w:r>
        <w:t xml:space="preserve"> selects a highly economical subset of runs designed to estimate main effects robustly with few experiments, emphasizing robustness to noise; it is popular in manufacturing for its economy but limited in its treatment of interactions.</w:t>
      </w:r>
    </w:p>
    <w:p>
      <w:pPr>
        <w:pStyle w:val="Normal"/>
      </w:pPr>
      <w:r>
        <w:t xml:space="preserve">These classical designs were developed to support the fitting of low-order polynomial models and analysis of variance, and they remain valuable for screening and for classical optimization. However, for the training of flexible ML models they have a limitation: they concentrate runs at a small number of discrete levels (often just two or three per factor), leaving the interior of the parameter space sparsely sampled. A flexible learner benefits from data distributed throughout the interior, not merely at the corners and centre, because its capacity to represent complex response shapes can only be exploited if those shapes are actually sampled.</w:t>
      </w:r>
    </w:p>
    <w:p>
      <w:pPr>
        <w:pStyle w:val="Heading2"/>
      </w:pPr>
      <w:r>
        <w:t xml:space="preserve">7.3 Space-Filling Designs</w:t>
      </w:r>
    </w:p>
    <w:p>
      <w:pPr>
        <w:pStyle w:val="Normal"/>
      </w:pPr>
      <w:r>
        <w:t xml:space="preserve">For ML applications, the experimental design should provide sufficient coverage of the parameter space, and this requirement is best met by space-filling designs, which distribute runs to fill the multidimensional parameter volume as uniformly as possible rather than concentrating them at discrete levels. </w:t>
      </w:r>
      <w:r>
        <w:rPr>
          <w:b/>
        </w:rPr>
        <w:t xml:space="preserve">Latin hypercube sampling</w:t>
      </w:r>
      <w:r>
        <w:t xml:space="preserve"> divides the range of each factor into equal-probability intervals and samples once from each interval, then combines the per-factor samples so that the projection onto any single factor is uniform; optimized variants (maximin, orthogonal-array-based) further improve the multidimensional uniformity. </w:t>
      </w:r>
      <w:r>
        <w:rPr>
          <w:b/>
        </w:rPr>
        <w:t xml:space="preserve">Sobol and Halton low-discrepancy sequences</w:t>
      </w:r>
      <w:r>
        <w:t xml:space="preserve"> generate deterministic, quasi-random points that fill space with provably low discrepancy and have the practical advantage that additional points can be appended without disturbing the uniformity of the existing set—valuable for sequential augmentation. </w:t>
      </w:r>
      <w:r>
        <w:rPr>
          <w:b/>
        </w:rPr>
        <w:t xml:space="preserve">Maximin and minimax distance designs</w:t>
      </w:r>
      <w:r>
        <w:t xml:space="preserve"> explicitly optimize the spacing between points. Space-filling designs are particularly well suited to training surrogate models and ML predictors because they support the estimation of arbitrary response shapes throughout the interior of the domain, not merely at its extremes. Table 7 compares the principal design classes.</w:t>
      </w:r>
    </w:p>
    <w:p>
      <w:pPr>
        <w:pStyle w:val="TableCaption"/>
      </w:pPr>
      <w:r>
        <w:t xml:space="preserve">Table 7. Comparison of experimental design classes for magnetic abrasive finishing data generation.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jc w:val="center"/>
              <w:spacing w:after="20"/>
            </w:pPr>
            <w:r>
              <w:rPr>
                <w:b/>
              </w:rPr>
              <w:t xml:space="preserve">Design class</w:t>
            </w:r>
          </w:p>
        </w:tc>
        <w:tc>
          <w:tcPr>
            <w:tcW w:w="1872" w:type="dxa"/>
            <w:shd w:val="clear" w:color="auto" w:fill="D9E2F3"/>
          </w:tcPr>
          <w:p>
            <w:pPr>
              <w:jc w:val="center"/>
              <w:spacing w:after="20"/>
            </w:pPr>
            <w:r>
              <w:rPr>
                <w:b/>
              </w:rPr>
              <w:t xml:space="preserve">Runs (relative)</w:t>
            </w:r>
          </w:p>
        </w:tc>
        <w:tc>
          <w:tcPr>
            <w:tcW w:w="1872" w:type="dxa"/>
            <w:shd w:val="clear" w:color="auto" w:fill="D9E2F3"/>
          </w:tcPr>
          <w:p>
            <w:pPr>
              <w:jc w:val="center"/>
              <w:spacing w:after="20"/>
            </w:pPr>
            <w:r>
              <w:rPr>
                <w:b/>
              </w:rPr>
              <w:t xml:space="preserve">Interaction capability</w:t>
            </w:r>
          </w:p>
        </w:tc>
        <w:tc>
          <w:tcPr>
            <w:tcW w:w="1872" w:type="dxa"/>
            <w:shd w:val="clear" w:color="auto" w:fill="D9E2F3"/>
          </w:tcPr>
          <w:p>
            <w:pPr>
              <w:jc w:val="center"/>
              <w:spacing w:after="20"/>
            </w:pPr>
            <w:r>
              <w:rPr>
                <w:b/>
              </w:rPr>
              <w:t xml:space="preserve">Interior coverage</w:t>
            </w:r>
          </w:p>
        </w:tc>
        <w:tc>
          <w:tcPr>
            <w:tcW w:w="1872" w:type="dxa"/>
            <w:shd w:val="clear" w:color="auto" w:fill="D9E2F3"/>
          </w:tcPr>
          <w:p>
            <w:pPr>
              <w:jc w:val="center"/>
              <w:spacing w:after="20"/>
            </w:pPr>
            <w:r>
              <w:rPr>
                <w:b/>
              </w:rPr>
              <w:t xml:space="preserve">Best suited to</w:t>
            </w:r>
          </w:p>
        </w:tc>
      </w:tr>
      <w:tr>
        <w:tc>
          <w:tcPr>
            <w:tcW w:w="1872" w:type="dxa"/>
          </w:tcPr>
          <w:p>
            <w:pPr>
              <w:spacing w:after="20"/>
            </w:pPr>
            <w:r>
              <w:t xml:space="preserve">Full factorial</w:t>
            </w:r>
          </w:p>
        </w:tc>
        <w:tc>
          <w:tcPr>
            <w:tcW w:w="1872" w:type="dxa"/>
          </w:tcPr>
          <w:p>
            <w:pPr>
              <w:spacing w:after="20"/>
            </w:pPr>
            <w:r>
              <w:t xml:space="preserve">Very high</w:t>
            </w:r>
          </w:p>
        </w:tc>
        <w:tc>
          <w:tcPr>
            <w:tcW w:w="1872" w:type="dxa"/>
          </w:tcPr>
          <w:p>
            <w:pPr>
              <w:spacing w:after="20"/>
            </w:pPr>
            <w:r>
              <w:t xml:space="preserve">All orders</w:t>
            </w:r>
          </w:p>
        </w:tc>
        <w:tc>
          <w:tcPr>
            <w:tcW w:w="1872" w:type="dxa"/>
          </w:tcPr>
          <w:p>
            <w:pPr>
              <w:spacing w:after="20"/>
            </w:pPr>
            <w:r>
              <w:t xml:space="preserve">Corners only</w:t>
            </w:r>
          </w:p>
        </w:tc>
        <w:tc>
          <w:tcPr>
            <w:tcW w:w="1872" w:type="dxa"/>
          </w:tcPr>
          <w:p>
            <w:pPr>
              <w:spacing w:after="20"/>
            </w:pPr>
            <w:r>
              <w:t xml:space="preserve">Few factors, complete effect estimation</w:t>
            </w:r>
          </w:p>
        </w:tc>
      </w:tr>
      <w:tr>
        <w:tc>
          <w:tcPr>
            <w:tcW w:w="1872" w:type="dxa"/>
          </w:tcPr>
          <w:p>
            <w:pPr>
              <w:spacing w:after="20"/>
            </w:pPr>
            <w:r>
              <w:t xml:space="preserve">Fractional factorial</w:t>
            </w:r>
          </w:p>
        </w:tc>
        <w:tc>
          <w:tcPr>
            <w:tcW w:w="1872" w:type="dxa"/>
          </w:tcPr>
          <w:p>
            <w:pPr>
              <w:spacing w:after="20"/>
            </w:pPr>
            <w:r>
              <w:t xml:space="preserve">Low–moderate</w:t>
            </w:r>
          </w:p>
        </w:tc>
        <w:tc>
          <w:tcPr>
            <w:tcW w:w="1872" w:type="dxa"/>
          </w:tcPr>
          <w:p>
            <w:pPr>
              <w:spacing w:after="20"/>
            </w:pPr>
            <w:r>
              <w:t xml:space="preserve">Low orders (aliased)</w:t>
            </w:r>
          </w:p>
        </w:tc>
        <w:tc>
          <w:tcPr>
            <w:tcW w:w="1872" w:type="dxa"/>
          </w:tcPr>
          <w:p>
            <w:pPr>
              <w:spacing w:after="20"/>
            </w:pPr>
            <w:r>
              <w:t xml:space="preserve">Corners only</w:t>
            </w:r>
          </w:p>
        </w:tc>
        <w:tc>
          <w:tcPr>
            <w:tcW w:w="1872" w:type="dxa"/>
          </w:tcPr>
          <w:p>
            <w:pPr>
              <w:spacing w:after="20"/>
            </w:pPr>
            <w:r>
              <w:t xml:space="preserve">Screening many factors</w:t>
            </w:r>
          </w:p>
        </w:tc>
      </w:tr>
      <w:tr>
        <w:tc>
          <w:tcPr>
            <w:tcW w:w="1872" w:type="dxa"/>
          </w:tcPr>
          <w:p>
            <w:pPr>
              <w:spacing w:after="20"/>
            </w:pPr>
            <w:r>
              <w:t xml:space="preserve">Central composite</w:t>
            </w:r>
          </w:p>
        </w:tc>
        <w:tc>
          <w:tcPr>
            <w:tcW w:w="1872" w:type="dxa"/>
          </w:tcPr>
          <w:p>
            <w:pPr>
              <w:spacing w:after="20"/>
            </w:pPr>
            <w:r>
              <w:t xml:space="preserve">Moderate</w:t>
            </w:r>
          </w:p>
        </w:tc>
        <w:tc>
          <w:tcPr>
            <w:tcW w:w="1872" w:type="dxa"/>
          </w:tcPr>
          <w:p>
            <w:pPr>
              <w:spacing w:after="20"/>
            </w:pPr>
            <w:r>
              <w:t xml:space="preserve">Up to quadratic</w:t>
            </w:r>
          </w:p>
        </w:tc>
        <w:tc>
          <w:tcPr>
            <w:tcW w:w="1872" w:type="dxa"/>
          </w:tcPr>
          <w:p>
            <w:pPr>
              <w:spacing w:after="20"/>
            </w:pPr>
            <w:r>
              <w:t xml:space="preserve">Corners, axial, centre</w:t>
            </w:r>
          </w:p>
        </w:tc>
        <w:tc>
          <w:tcPr>
            <w:tcW w:w="1872" w:type="dxa"/>
          </w:tcPr>
          <w:p>
            <w:pPr>
              <w:spacing w:after="20"/>
            </w:pPr>
            <w:r>
              <w:t xml:space="preserve">Response surface optimization</w:t>
            </w:r>
          </w:p>
        </w:tc>
      </w:tr>
      <w:tr>
        <w:tc>
          <w:tcPr>
            <w:tcW w:w="1872" w:type="dxa"/>
          </w:tcPr>
          <w:p>
            <w:pPr>
              <w:spacing w:after="20"/>
            </w:pPr>
            <w:r>
              <w:t xml:space="preserve">Box–Behnken</w:t>
            </w:r>
          </w:p>
        </w:tc>
        <w:tc>
          <w:tcPr>
            <w:tcW w:w="1872" w:type="dxa"/>
          </w:tcPr>
          <w:p>
            <w:pPr>
              <w:spacing w:after="20"/>
            </w:pPr>
            <w:r>
              <w:t xml:space="preserve">Moderate</w:t>
            </w:r>
          </w:p>
        </w:tc>
        <w:tc>
          <w:tcPr>
            <w:tcW w:w="1872" w:type="dxa"/>
          </w:tcPr>
          <w:p>
            <w:pPr>
              <w:spacing w:after="20"/>
            </w:pPr>
            <w:r>
              <w:t xml:space="preserve">Up to quadratic</w:t>
            </w:r>
          </w:p>
        </w:tc>
        <w:tc>
          <w:tcPr>
            <w:tcW w:w="1872" w:type="dxa"/>
          </w:tcPr>
          <w:p>
            <w:pPr>
              <w:spacing w:after="20"/>
            </w:pPr>
            <w:r>
              <w:t xml:space="preserve">Edges, centre</w:t>
            </w:r>
          </w:p>
        </w:tc>
        <w:tc>
          <w:tcPr>
            <w:tcW w:w="1872" w:type="dxa"/>
          </w:tcPr>
          <w:p>
            <w:pPr>
              <w:spacing w:after="20"/>
            </w:pPr>
            <w:r>
              <w:t xml:space="preserve">Response surface without extreme corners</w:t>
            </w:r>
          </w:p>
        </w:tc>
      </w:tr>
      <w:tr>
        <w:tc>
          <w:tcPr>
            <w:tcW w:w="1872" w:type="dxa"/>
          </w:tcPr>
          <w:p>
            <w:pPr>
              <w:spacing w:after="20"/>
            </w:pPr>
            <w:r>
              <w:t xml:space="preserve">Taguchi array</w:t>
            </w:r>
          </w:p>
        </w:tc>
        <w:tc>
          <w:tcPr>
            <w:tcW w:w="1872" w:type="dxa"/>
          </w:tcPr>
          <w:p>
            <w:pPr>
              <w:spacing w:after="20"/>
            </w:pPr>
            <w:r>
              <w:t xml:space="preserve">Very low</w:t>
            </w:r>
          </w:p>
        </w:tc>
        <w:tc>
          <w:tcPr>
            <w:tcW w:w="1872" w:type="dxa"/>
          </w:tcPr>
          <w:p>
            <w:pPr>
              <w:spacing w:after="20"/>
            </w:pPr>
            <w:r>
              <w:t xml:space="preserve">Mainly main effects</w:t>
            </w:r>
          </w:p>
        </w:tc>
        <w:tc>
          <w:tcPr>
            <w:tcW w:w="1872" w:type="dxa"/>
          </w:tcPr>
          <w:p>
            <w:pPr>
              <w:spacing w:after="20"/>
            </w:pPr>
            <w:r>
              <w:t xml:space="preserve">Sparse</w:t>
            </w:r>
          </w:p>
        </w:tc>
        <w:tc>
          <w:tcPr>
            <w:tcW w:w="1872" w:type="dxa"/>
          </w:tcPr>
          <w:p>
            <w:pPr>
              <w:spacing w:after="20"/>
            </w:pPr>
            <w:r>
              <w:t xml:space="preserve">Economical, robust screening</w:t>
            </w:r>
          </w:p>
        </w:tc>
      </w:tr>
      <w:tr>
        <w:tc>
          <w:tcPr>
            <w:tcW w:w="1872" w:type="dxa"/>
          </w:tcPr>
          <w:p>
            <w:pPr>
              <w:spacing w:after="20"/>
            </w:pPr>
            <w:r>
              <w:t xml:space="preserve">Latin hypercube</w:t>
            </w:r>
          </w:p>
        </w:tc>
        <w:tc>
          <w:tcPr>
            <w:tcW w:w="1872" w:type="dxa"/>
          </w:tcPr>
          <w:p>
            <w:pPr>
              <w:spacing w:after="20"/>
            </w:pPr>
            <w:r>
              <w:t xml:space="preserve">Flexible</w:t>
            </w:r>
          </w:p>
        </w:tc>
        <w:tc>
          <w:tcPr>
            <w:tcW w:w="1872" w:type="dxa"/>
          </w:tcPr>
          <w:p>
            <w:pPr>
              <w:spacing w:after="20"/>
            </w:pPr>
            <w:r>
              <w:t xml:space="preserve">Arbitrary (data-driven)</w:t>
            </w:r>
          </w:p>
        </w:tc>
        <w:tc>
          <w:tcPr>
            <w:tcW w:w="1872" w:type="dxa"/>
          </w:tcPr>
          <w:p>
            <w:pPr>
              <w:spacing w:after="20"/>
            </w:pPr>
            <w:r>
              <w:t xml:space="preserve">Uniform interior</w:t>
            </w:r>
          </w:p>
        </w:tc>
        <w:tc>
          <w:tcPr>
            <w:tcW w:w="1872" w:type="dxa"/>
          </w:tcPr>
          <w:p>
            <w:pPr>
              <w:spacing w:after="20"/>
            </w:pPr>
            <w:r>
              <w:t xml:space="preserve">Training flexible ML surrogates</w:t>
            </w:r>
          </w:p>
        </w:tc>
      </w:tr>
      <w:tr>
        <w:tc>
          <w:tcPr>
            <w:tcW w:w="1872" w:type="dxa"/>
          </w:tcPr>
          <w:p>
            <w:pPr>
              <w:spacing w:after="20"/>
            </w:pPr>
            <w:r>
              <w:t xml:space="preserve">Sobol / Halton</w:t>
            </w:r>
          </w:p>
        </w:tc>
        <w:tc>
          <w:tcPr>
            <w:tcW w:w="1872" w:type="dxa"/>
          </w:tcPr>
          <w:p>
            <w:pPr>
              <w:spacing w:after="20"/>
            </w:pPr>
            <w:r>
              <w:t xml:space="preserve">Flexible</w:t>
            </w:r>
          </w:p>
        </w:tc>
        <w:tc>
          <w:tcPr>
            <w:tcW w:w="1872" w:type="dxa"/>
          </w:tcPr>
          <w:p>
            <w:pPr>
              <w:spacing w:after="20"/>
            </w:pPr>
            <w:r>
              <w:t xml:space="preserve">Arbitrary (data-driven)</w:t>
            </w:r>
          </w:p>
        </w:tc>
        <w:tc>
          <w:tcPr>
            <w:tcW w:w="1872" w:type="dxa"/>
          </w:tcPr>
          <w:p>
            <w:pPr>
              <w:spacing w:after="20"/>
            </w:pPr>
            <w:r>
              <w:t xml:space="preserve">Low-discrepancy interior</w:t>
            </w:r>
          </w:p>
        </w:tc>
        <w:tc>
          <w:tcPr>
            <w:tcW w:w="1872" w:type="dxa"/>
          </w:tcPr>
          <w:p>
            <w:pPr>
              <w:spacing w:after="20"/>
            </w:pPr>
            <w:r>
              <w:t xml:space="preserve">Sequential augmentation, surrogates</w:t>
            </w:r>
          </w:p>
        </w:tc>
      </w:tr>
    </w:tbl>
    <w:p>
      <w:pPr>
        <w:spacing w:after="120"/>
      </w:pPr>
    </w:p>
    <w:p>
      <w:pPr>
        <w:pStyle w:val="Heading2"/>
      </w:pPr>
      <w:r>
        <w:t xml:space="preserve">7.4 The Feature Matrix and Response Vector</w:t>
      </w:r>
    </w:p>
    <w:p>
      <w:pPr>
        <w:pStyle w:val="Normal"/>
      </w:pPr>
      <w:r>
        <w:t xml:space="preserve">Whatever the design, the resulting dataset is organized into a feature (input) matrix and a response (output) vector. Denoting the input parameters for a single run as a row vector,</w:t>
      </w:r>
    </w:p>
    <w:p>
      <w:pPr>
        <w:pStyle w:val="Normal"/>
      </w:pPr>
      <w:r>
        <w:t xml:space="preserve">X = [B, N, G, C, D, T]</w:t>
      </w:r>
    </w:p>
    <w:p>
      <w:pPr>
        <w:pStyle w:val="Normal"/>
      </w:pPr>
      <w:r>
        <w:t xml:space="preserve">and the measured surface roughness for that run as</w:t>
      </w:r>
    </w:p>
    <w:p>
      <w:pPr>
        <w:pStyle w:val="Normal"/>
      </w:pPr>
      <w:r>
        <w:t xml:space="preserve">Y = Ra</w:t>
      </w:r>
    </w:p>
    <w:p>
      <w:pPr>
        <w:pStyle w:val="Normal"/>
      </w:pPr>
      <w:r>
        <w:t xml:space="preserve">the full dataset consists of a matrix X whose rows are the runs and whose columns are the parameters, paired with a vector Y whose entries are the corresponding measured roughness values. This is the canonical form in which data are supplied to an ML algorithm: X represents the input feature matrix and Y represents the measured surface roughness. When multiple response parameters are recorded, Y becomes a matrix and the problem is one of multi-output regression; when categorical inputs such as material or lubricant are present, they are encoded numerically as described in Section 8 and appended as additional columns of X.</w:t>
      </w:r>
    </w:p>
    <w:p>
      <w:pPr>
        <w:pStyle w:val="Heading2"/>
      </w:pPr>
      <w:r>
        <w:t xml:space="preserve">7.5 How Much Data? Sample Size Considerations</w:t>
      </w:r>
    </w:p>
    <w:p>
      <w:pPr>
        <w:pStyle w:val="Normal"/>
      </w:pPr>
      <w:r>
        <w:t xml:space="preserve">A recurring and consequential question is how many experimental runs are needed to train a reliable model. There is no universal answer, because the required sample size depends on the number of input dimensions, the complexity and nonlinearity of the response, the level of measurement noise, and the accuracy demanded. Nonetheless, useful guidance exists. The difficulty of covering a space grows exponentially with its dimension—the curse of dimensionality—so that a design adequate for three factors is grossly inadequate for seven. As a rough heuristic, tens of runs suffice for simple, low-dimensional, low-noise problems with strong learners; hundreds of runs are typical for the five-to-seven-factor problems common in MAF; and the marginal value of additional runs is greatest early and diminishes as the space fills. Because experiments are costly, two strategies mitigate the sample-size burden. The first is </w:t>
      </w:r>
      <w:r>
        <w:rPr>
          <w:b/>
        </w:rPr>
        <w:t xml:space="preserve">sequential (adaptive) design</w:t>
      </w:r>
      <w:r>
        <w:t xml:space="preserve">, in which an initial space-filling design is used to train a preliminary model, and subsequent runs are placed where the model is most uncertain or where the optimum is predicted to lie—a strategy formalized as active learning and Bayesian optimization in Sections 11 and 12. The second is </w:t>
      </w:r>
      <w:r>
        <w:rPr>
          <w:b/>
        </w:rPr>
        <w:t xml:space="preserve">data augmentation</w:t>
      </w:r>
      <w:r>
        <w:t xml:space="preserve"> from physics-based simulation or related datasets via transfer learning. Both strategies aim to extract the maximum predictive value from the minimum experimental effort, and both are central to the modern practice of ML-based process modelling [26], [27], [28], [29], [30], [31], [32].</w:t>
      </w:r>
    </w:p>
    <w:p>
      <w:pPr>
        <w:pStyle w:val="FigureImg"/>
      </w:pPr>
      <w:r>
        <w:drawing>
          <wp:inline xmlns:wp="http://schemas.openxmlformats.org/drawingml/2006/wordprocessingDrawing" distT="0" distB="0" distL="0" distR="0">
            <wp:extent cx="5486400" cy="3465094"/>
            <wp:effectExtent l="0" t="0" r="0" b="0"/>
            <wp:docPr id="311552817"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2817" name="Figure 6"/>
                    <pic:cNvPicPr/>
                  </pic:nvPicPr>
                  <pic:blipFill>
                    <a:blip xmlns:r="http://schemas.openxmlformats.org/officeDocument/2006/relationships" r:embed="rId6"/>
                    <a:stretch>
                      <a:fillRect/>
                    </a:stretch>
                  </pic:blipFill>
                  <pic:spPr>
                    <a:xfrm>
                      <a:off x="0" y="0"/>
                      <a:ext cx="5486400" cy="3465094"/>
                    </a:xfrm>
                    <a:prstGeom prst="rect">
                      <a:avLst/>
                    </a:prstGeom>
                  </pic:spPr>
                </pic:pic>
              </a:graphicData>
            </a:graphic>
          </wp:inline>
        </w:drawing>
      </w:r>
    </w:p>
    <w:p>
      <w:pPr>
        <w:pStyle w:val="FigureCaption"/>
      </w:pPr>
      <w:r>
        <w:t xml:space="preserve">Figure 6. Comparison of experimental design strategies in a two-parameter space: (a) a two-level full factorial concentrating runs at the corners; (b) a central composite design adding axial and centre points; (c) a Latin hypercube space-filling design distributing runs uniformly through the interior; and (d) a sequential (active-learning) design that augments an initial space-filling set with runs placed in regions of high model uncertainty.</w:t>
      </w:r>
    </w:p>
    <w:p>
      <w:pPr>
        <w:pStyle w:val="Heading1"/>
      </w:pPr>
      <w:r>
        <w:t xml:space="preserve">8. Data Preprocessing</w:t>
      </w:r>
    </w:p>
    <w:p>
      <w:pPr>
        <w:pStyle w:val="Heading2"/>
      </w:pPr>
      <w:r>
        <w:t xml:space="preserve">8.1 Why Preprocessing Is Indispensable</w:t>
      </w:r>
    </w:p>
    <w:p>
      <w:pPr>
        <w:pStyle w:val="Normal"/>
      </w:pPr>
      <w:r>
        <w:t xml:space="preserve">Experimental data may contain measurement errors, outliers, missing values, and different parameter scales; they may include categorical variables that algorithms cannot ingest directly, redundant or irrelevant features, and distributions that violate the implicit assumptions of some learners. Therefore preprocessing is essential. Preprocessing is the disciplined transformation of raw experimental records into a clean, consistent, model-ready dataset, and it is neither glamorous nor optional. In practice, preprocessing frequently consumes more effort than model fitting, and errors introduced at this stage—an outlier left uncorrected, a leak of test information into training, a scaling applied inconsistently—propagate silently into every downstream result and are among the most common causes of models that perform well in reported studies yet fail in deployment. The major preprocessing steps, treated in turn below and summarized in Table 8, are data cleaning, missing-value treatment, outlier identification, feature scaling, feature encoding, feature engineering and selection, and dataset splitting.</w:t>
      </w:r>
    </w:p>
    <w:p>
      <w:pPr>
        <w:pStyle w:val="TableCaption"/>
      </w:pPr>
      <w:r>
        <w:t xml:space="preserve">Table 8. Data preprocessing steps for machine-learning modelling of MAF surface roughness.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Step</w:t>
            </w:r>
          </w:p>
        </w:tc>
        <w:tc>
          <w:tcPr>
            <w:tcW w:w="3120" w:type="dxa"/>
            <w:shd w:val="clear" w:color="auto" w:fill="D9E2F3"/>
          </w:tcPr>
          <w:p>
            <w:pPr>
              <w:jc w:val="center"/>
              <w:spacing w:after="20"/>
            </w:pPr>
            <w:r>
              <w:rPr>
                <w:b/>
              </w:rPr>
              <w:t xml:space="preserve">Purpose</w:t>
            </w:r>
          </w:p>
        </w:tc>
        <w:tc>
          <w:tcPr>
            <w:tcW w:w="3120" w:type="dxa"/>
            <w:shd w:val="clear" w:color="auto" w:fill="D9E2F3"/>
          </w:tcPr>
          <w:p>
            <w:pPr>
              <w:jc w:val="center"/>
              <w:spacing w:after="20"/>
            </w:pPr>
            <w:r>
              <w:rPr>
                <w:b/>
              </w:rPr>
              <w:t xml:space="preserve">Typical techniques</w:t>
            </w:r>
          </w:p>
        </w:tc>
      </w:tr>
      <w:tr>
        <w:tc>
          <w:tcPr>
            <w:tcW w:w="3120" w:type="dxa"/>
          </w:tcPr>
          <w:p>
            <w:pPr>
              <w:spacing w:after="20"/>
            </w:pPr>
            <w:r>
              <w:t xml:space="preserve">Data cleaning</w:t>
            </w:r>
          </w:p>
        </w:tc>
        <w:tc>
          <w:tcPr>
            <w:tcW w:w="3120" w:type="dxa"/>
          </w:tcPr>
          <w:p>
            <w:pPr>
              <w:spacing w:after="20"/>
            </w:pPr>
            <w:r>
              <w:t xml:space="preserve">Correct recording and formatting errors</w:t>
            </w:r>
          </w:p>
        </w:tc>
        <w:tc>
          <w:tcPr>
            <w:tcW w:w="3120" w:type="dxa"/>
          </w:tcPr>
          <w:p>
            <w:pPr>
              <w:spacing w:after="20"/>
            </w:pPr>
            <w:r>
              <w:t xml:space="preserve">Range checks, unit harmonization, deduplication</w:t>
            </w:r>
          </w:p>
        </w:tc>
      </w:tr>
      <w:tr>
        <w:tc>
          <w:tcPr>
            <w:tcW w:w="3120" w:type="dxa"/>
          </w:tcPr>
          <w:p>
            <w:pPr>
              <w:spacing w:after="20"/>
            </w:pPr>
            <w:r>
              <w:t xml:space="preserve">Missing-value treatment</w:t>
            </w:r>
          </w:p>
        </w:tc>
        <w:tc>
          <w:tcPr>
            <w:tcW w:w="3120" w:type="dxa"/>
          </w:tcPr>
          <w:p>
            <w:pPr>
              <w:spacing w:after="20"/>
            </w:pPr>
            <w:r>
              <w:t xml:space="preserve">Handle incomplete records</w:t>
            </w:r>
          </w:p>
        </w:tc>
        <w:tc>
          <w:tcPr>
            <w:tcW w:w="3120" w:type="dxa"/>
          </w:tcPr>
          <w:p>
            <w:pPr>
              <w:spacing w:after="20"/>
            </w:pPr>
            <w:r>
              <w:t xml:space="preserve">Deletion, mean/median imputation, model-based imputation</w:t>
            </w:r>
          </w:p>
        </w:tc>
      </w:tr>
      <w:tr>
        <w:tc>
          <w:tcPr>
            <w:tcW w:w="3120" w:type="dxa"/>
          </w:tcPr>
          <w:p>
            <w:pPr>
              <w:spacing w:after="20"/>
            </w:pPr>
            <w:r>
              <w:t xml:space="preserve">Outlier identification</w:t>
            </w:r>
          </w:p>
        </w:tc>
        <w:tc>
          <w:tcPr>
            <w:tcW w:w="3120" w:type="dxa"/>
          </w:tcPr>
          <w:p>
            <w:pPr>
              <w:spacing w:after="20"/>
            </w:pPr>
            <w:r>
              <w:t xml:space="preserve">Detect and handle anomalous points</w:t>
            </w:r>
          </w:p>
        </w:tc>
        <w:tc>
          <w:tcPr>
            <w:tcW w:w="3120" w:type="dxa"/>
          </w:tcPr>
          <w:p>
            <w:pPr>
              <w:spacing w:after="20"/>
            </w:pPr>
            <w:r>
              <w:t xml:space="preserve">Z-score, IQR, robust distance, domain checks</w:t>
            </w:r>
          </w:p>
        </w:tc>
      </w:tr>
      <w:tr>
        <w:tc>
          <w:tcPr>
            <w:tcW w:w="3120" w:type="dxa"/>
          </w:tcPr>
          <w:p>
            <w:pPr>
              <w:spacing w:after="20"/>
            </w:pPr>
            <w:r>
              <w:t xml:space="preserve">Feature scaling</w:t>
            </w:r>
          </w:p>
        </w:tc>
        <w:tc>
          <w:tcPr>
            <w:tcW w:w="3120" w:type="dxa"/>
          </w:tcPr>
          <w:p>
            <w:pPr>
              <w:spacing w:after="20"/>
            </w:pPr>
            <w:r>
              <w:t xml:space="preserve">Equalize feature magnitudes</w:t>
            </w:r>
          </w:p>
        </w:tc>
        <w:tc>
          <w:tcPr>
            <w:tcW w:w="3120" w:type="dxa"/>
          </w:tcPr>
          <w:p>
            <w:pPr>
              <w:spacing w:after="20"/>
            </w:pPr>
            <w:r>
              <w:t xml:space="preserve">Min–max normalization, standardization</w:t>
            </w:r>
          </w:p>
        </w:tc>
      </w:tr>
      <w:tr>
        <w:tc>
          <w:tcPr>
            <w:tcW w:w="3120" w:type="dxa"/>
          </w:tcPr>
          <w:p>
            <w:pPr>
              <w:spacing w:after="20"/>
            </w:pPr>
            <w:r>
              <w:t xml:space="preserve">Feature encoding</w:t>
            </w:r>
          </w:p>
        </w:tc>
        <w:tc>
          <w:tcPr>
            <w:tcW w:w="3120" w:type="dxa"/>
          </w:tcPr>
          <w:p>
            <w:pPr>
              <w:spacing w:after="20"/>
            </w:pPr>
            <w:r>
              <w:t xml:space="preserve">Represent categorical inputs numerically</w:t>
            </w:r>
          </w:p>
        </w:tc>
        <w:tc>
          <w:tcPr>
            <w:tcW w:w="3120" w:type="dxa"/>
          </w:tcPr>
          <w:p>
            <w:pPr>
              <w:spacing w:after="20"/>
            </w:pPr>
            <w:r>
              <w:t xml:space="preserve">One-hot, ordinal, property-based encoding</w:t>
            </w:r>
          </w:p>
        </w:tc>
      </w:tr>
      <w:tr>
        <w:tc>
          <w:tcPr>
            <w:tcW w:w="3120" w:type="dxa"/>
          </w:tcPr>
          <w:p>
            <w:pPr>
              <w:spacing w:after="20"/>
            </w:pPr>
            <w:r>
              <w:t xml:space="preserve">Feature engineering</w:t>
            </w:r>
          </w:p>
        </w:tc>
        <w:tc>
          <w:tcPr>
            <w:tcW w:w="3120" w:type="dxa"/>
          </w:tcPr>
          <w:p>
            <w:pPr>
              <w:spacing w:after="20"/>
            </w:pPr>
            <w:r>
              <w:t xml:space="preserve">Create informative derived features</w:t>
            </w:r>
          </w:p>
        </w:tc>
        <w:tc>
          <w:tcPr>
            <w:tcW w:w="3120" w:type="dxa"/>
          </w:tcPr>
          <w:p>
            <w:pPr>
              <w:spacing w:after="20"/>
            </w:pPr>
            <w:r>
              <w:t xml:space="preserve">Ratios, products, physics-based dimensionless groups</w:t>
            </w:r>
          </w:p>
        </w:tc>
      </w:tr>
      <w:tr>
        <w:tc>
          <w:tcPr>
            <w:tcW w:w="3120" w:type="dxa"/>
          </w:tcPr>
          <w:p>
            <w:pPr>
              <w:spacing w:after="20"/>
            </w:pPr>
            <w:r>
              <w:t xml:space="preserve">Feature selection</w:t>
            </w:r>
          </w:p>
        </w:tc>
        <w:tc>
          <w:tcPr>
            <w:tcW w:w="3120" w:type="dxa"/>
          </w:tcPr>
          <w:p>
            <w:pPr>
              <w:spacing w:after="20"/>
            </w:pPr>
            <w:r>
              <w:t xml:space="preserve">Remove irrelevant/redundant features</w:t>
            </w:r>
          </w:p>
        </w:tc>
        <w:tc>
          <w:tcPr>
            <w:tcW w:w="3120" w:type="dxa"/>
          </w:tcPr>
          <w:p>
            <w:pPr>
              <w:spacing w:after="20"/>
            </w:pPr>
            <w:r>
              <w:t xml:space="preserve">Correlation filtering, importance ranking, wrappers</w:t>
            </w:r>
          </w:p>
        </w:tc>
      </w:tr>
      <w:tr>
        <w:tc>
          <w:tcPr>
            <w:tcW w:w="3120" w:type="dxa"/>
          </w:tcPr>
          <w:p>
            <w:pPr>
              <w:spacing w:after="20"/>
            </w:pPr>
            <w:r>
              <w:t xml:space="preserve">Dataset splitting</w:t>
            </w:r>
          </w:p>
        </w:tc>
        <w:tc>
          <w:tcPr>
            <w:tcW w:w="3120" w:type="dxa"/>
          </w:tcPr>
          <w:p>
            <w:pPr>
              <w:spacing w:after="20"/>
            </w:pPr>
            <w:r>
              <w:t xml:space="preserve">Enable honest evaluation</w:t>
            </w:r>
          </w:p>
        </w:tc>
        <w:tc>
          <w:tcPr>
            <w:tcW w:w="3120" w:type="dxa"/>
          </w:tcPr>
          <w:p>
            <w:pPr>
              <w:spacing w:after="20"/>
            </w:pPr>
            <w:r>
              <w:t xml:space="preserve">Train/validation/test split, k-fold cross-validation</w:t>
            </w:r>
          </w:p>
        </w:tc>
      </w:tr>
    </w:tbl>
    <w:p>
      <w:pPr>
        <w:spacing w:after="120"/>
      </w:pPr>
    </w:p>
    <w:p>
      <w:pPr>
        <w:pStyle w:val="Heading2"/>
      </w:pPr>
      <w:r>
        <w:t xml:space="preserve">8.2 Data Cleaning</w:t>
      </w:r>
    </w:p>
    <w:p>
      <w:pPr>
        <w:pStyle w:val="Normal"/>
      </w:pPr>
      <w:r>
        <w:t xml:space="preserve">Data cleaning is the correction of errors introduced during recording and transcription. Typical faults in MAF datasets include values entered in inconsistent units (millimetres and micrometres, tesla and gauss, minutes and seconds), transcription slips that place a decimal point wrongly, duplicated rows, and impossible values (a negative gap, a concentration above one hundred per cent) that betray a recording error. Cleaning proceeds by harmonizing units to a single consistent system, checking every value against its physically admissible range, removing exact duplicates, and reconciling or discarding records that fail these checks. A useful practice is to codify the admissible range and expected units of each variable in a data dictionary and to validate incoming data against it automatically, so that faults are caught at entry rather than discovered after modelling.</w:t>
      </w:r>
    </w:p>
    <w:p>
      <w:pPr>
        <w:pStyle w:val="Heading2"/>
      </w:pPr>
      <w:r>
        <w:t xml:space="preserve">8.3 Missing-Value Treatment</w:t>
      </w:r>
    </w:p>
    <w:p>
      <w:pPr>
        <w:pStyle w:val="Normal"/>
      </w:pPr>
      <w:r>
        <w:t xml:space="preserve">Experimental datasets frequently contain missing values—a roughness measurement lost to instrument fault, a parameter unrecorded for some runs. The appropriate treatment depends on the extent and pattern of the missingness. If only a few records are affected and the data are plentiful, </w:t>
      </w:r>
      <w:r>
        <w:rPr>
          <w:b/>
        </w:rPr>
        <w:t xml:space="preserve">listwise deletion</w:t>
      </w:r>
      <w:r>
        <w:t xml:space="preserve"> of the incomplete records is simplest and, provided the missingness is unrelated to the response, unbiased. When data are scarce or missingness is extensive, deletion wastes valuable information, and </w:t>
      </w:r>
      <w:r>
        <w:rPr>
          <w:b/>
        </w:rPr>
        <w:t xml:space="preserve">imputation</w:t>
      </w:r>
      <w:r>
        <w:t xml:space="preserve"> is preferable: mean or median imputation replaces a missing value with the central tendency of the observed values, which is simple but understates variability; model-based imputation predicts the missing value from the other variables using a regression or a k-nearest-neighbours model, preserving more of the multivariate structure. Whatever method is chosen, it must be fitted on the training data alone and applied to the validation and test data using the training-derived statistics, to avoid the subtle information leakage that arises when imputation uses knowledge of the held-out data.</w:t>
      </w:r>
    </w:p>
    <w:p>
      <w:pPr>
        <w:pStyle w:val="Heading2"/>
      </w:pPr>
      <w:r>
        <w:t xml:space="preserve">8.4 Outlier Identification and Handling</w:t>
      </w:r>
    </w:p>
    <w:p>
      <w:pPr>
        <w:pStyle w:val="Normal"/>
      </w:pPr>
      <w:r>
        <w:t xml:space="preserve">An outlier is an observation that deviates markedly from the pattern of the rest of the data. In MAF experiments, outliers may be genuine—reflecting a real but rare process regime—or spurious, arising from a measurement fault, a mislabeled specimen, or an uncontrolled disturbance during a run. The distinction matters, because genuine outliers carry information that should be retained, whereas spurious ones distort the model and should be corrected or removed. Statistical detection methods flag candidates: the </w:t>
      </w:r>
      <w:r>
        <w:rPr>
          <w:b/>
        </w:rPr>
        <w:t xml:space="preserve">z-score</w:t>
      </w:r>
      <w:r>
        <w:t xml:space="preserve"> method flags points many standard deviations from the mean; the </w:t>
      </w:r>
      <w:r>
        <w:rPr>
          <w:b/>
        </w:rPr>
        <w:t xml:space="preserve">interquartile range</w:t>
      </w:r>
      <w:r>
        <w:t xml:space="preserve"> method flags points beyond a multiple of the interquartile range from the quartiles and is more robust to the outliers it seeks; robust multivariate distances flag points anomalous in the joint distribution of several variables. Detection, however, is only a trigger for investigation, not an automatic licence to delete: each flagged point should be examined against the experimental record and domain knowledge to determine whether it is a fault to be corrected, a fault to be removed, or a genuine observation to be retained. Silent, automatic deletion of outliers is dangerous, because it can quietly remove exactly the informative extreme points that a model most needs.</w:t>
      </w:r>
    </w:p>
    <w:p>
      <w:pPr>
        <w:pStyle w:val="Heading2"/>
      </w:pPr>
      <w:r>
        <w:t xml:space="preserve">8.5 Feature Scaling</w:t>
      </w:r>
    </w:p>
    <w:p>
      <w:pPr>
        <w:pStyle w:val="Normal"/>
      </w:pPr>
      <w:r>
        <w:t xml:space="preserve">The MAF input parameters differ in magnitude by orders of magnitude—flux density of order one, speed of order a thousand, gap of order one, time of order ten—and several ML algorithms are sensitive to these disparities. Algorithms that depend on distances (k-nearest neighbours, support vector machines with radial kernels) or on gradient-based optimization (neural networks) can be dominated by the large-magnitude features unless the features are placed on comparable scales. For algorithms such as support vector regression and artificial neural networks, normalization can improve model performance markedly, accelerating and stabilizing training and preventing large-magnitude features from swamping small ones. Two scalings are standard. </w:t>
      </w:r>
      <w:r>
        <w:rPr>
          <w:b/>
        </w:rPr>
        <w:t xml:space="preserve">Min–max normalization</w:t>
      </w:r>
      <w:r>
        <w:t xml:space="preserve"> maps each feature linearly to a fixed interval, typically zero to one, using the minimum and maximum of the feature:</w:t>
      </w:r>
    </w:p>
    <w:p>
      <w:pPr>
        <w:pStyle w:val="Normal"/>
      </w:pPr>
      <w:r>
        <w:t xml:space="preserve">x' = (x − x_min) / (x_max − x_min)</w:t>
      </w:r>
    </w:p>
    <w:p>
      <w:pPr>
        <w:pStyle w:val="Normal"/>
      </w:pPr>
      <w:r>
        <w:rPr>
          <w:b/>
        </w:rPr>
        <w:t xml:space="preserve">Standardization</w:t>
      </w:r>
      <w:r>
        <w:t xml:space="preserve"> (z-score scaling) subtracts the mean and divides by the standard deviation, yielding a feature with zero mean and unit variance. Min–max normalization is bounded and preserves the shape of the distribution but is sensitive to outliers in the extremes; standardization is unbounded and less sensitive to extreme values but assumes an approximately symmetric distribution. Tree-based methods (random forests, gradient boosting) are invariant to monotonic rescaling of individual features and do not require scaling, which is one of their practical conveniences. As with imputation, scaling parameters must be estimated from the training data alone and applied to validation and test data using those training statistics, to prevent leakage.</w:t>
      </w:r>
    </w:p>
    <w:p>
      <w:pPr>
        <w:pStyle w:val="Heading2"/>
      </w:pPr>
      <w:r>
        <w:t xml:space="preserve">8.6 Encoding Categorical Variables</w:t>
      </w:r>
    </w:p>
    <w:p>
      <w:pPr>
        <w:pStyle w:val="Normal"/>
      </w:pPr>
      <w:r>
        <w:t xml:space="preserve">The workpiece material and the lubricant are categorical variables that most algorithms cannot ingest directly. </w:t>
      </w:r>
      <w:r>
        <w:rPr>
          <w:b/>
        </w:rPr>
        <w:t xml:space="preserve">One-hot encoding</w:t>
      </w:r>
      <w:r>
        <w:t xml:space="preserve"> represents a categorical variable with k categories as k binary indicator features, one active per record; it makes no ordinal assumption but expands the feature dimension and can be wasteful when categories are many. </w:t>
      </w:r>
      <w:r>
        <w:rPr>
          <w:b/>
        </w:rPr>
        <w:t xml:space="preserve">Ordinal encoding</w:t>
      </w:r>
      <w:r>
        <w:t xml:space="preserve"> assigns an integer to each category and is compact but imposes an artificial ordering that is inappropriate unless the categories are genuinely ordered. For MAF, a superior alternative is </w:t>
      </w:r>
      <w:r>
        <w:rPr>
          <w:b/>
        </w:rPr>
        <w:t xml:space="preserve">property-based encoding</w:t>
      </w:r>
      <w:r>
        <w:t xml:space="preserve">, in which a categorical material is replaced not by an arbitrary label but by its relevant physical properties—hardness, elastic modulus, ductility, magnetic permeability, thermal conductivity. This transforms an uninterpretable categorical variable into meaningful continuous features and, crucially, endows the model with the capacity to generalize to materials not present in the training set, because a new material is represented by its properties rather than by a novel unseen label. Property-based encoding is one of the most valuable, and most underused, techniques for building MAF models that transfer across materials, and it is revisited under transfer learning in Section 14.</w:t>
      </w:r>
    </w:p>
    <w:p>
      <w:pPr>
        <w:pStyle w:val="Heading2"/>
      </w:pPr>
      <w:r>
        <w:t xml:space="preserve">8.7 Feature Engineering</w:t>
      </w:r>
    </w:p>
    <w:p>
      <w:pPr>
        <w:pStyle w:val="Normal"/>
      </w:pPr>
      <w:r>
        <w:t xml:space="preserve">Feature engineering is the construction of new, more informative features from the raw measurements, guided by domain knowledge. In MAF, the physics suggests several candidates. The finishing force scales with the product of flux density and field gradient, so a feature combining flux density and gap may be more directly predictive than either alone. The total number of cutting events scales roughly with the product of speed and time, so their product is a natural engineered feature. Dimensionless groups formed from ratios of physical quantities—grain size to gap, force to hardness—can capture scaling behaviour more compactly than the raw variables. Well-chosen engineered features embed physical understanding into the input representation, reducing the burden on the learner to discover the same relationships from limited data and improving both accuracy and interpretability. Feature engineering is where the manufacturing physicist and the data scientist collaborate most productively, and it frequently yields larger gains than switching between algorithms.</w:t>
      </w:r>
    </w:p>
    <w:p>
      <w:pPr>
        <w:pStyle w:val="Heading2"/>
      </w:pPr>
      <w:r>
        <w:t xml:space="preserve">8.8 Feature Selection</w:t>
      </w:r>
    </w:p>
    <w:p>
      <w:pPr>
        <w:pStyle w:val="Normal"/>
      </w:pPr>
      <w:r>
        <w:t xml:space="preserve">Not every available feature contributes usefully; some are irrelevant, some redundant with others, and their inclusion can degrade a model by adding noise and by inviting overfitting, especially when data are scarce. Feature selection identifies a parsimonious subset of informative features. </w:t>
      </w:r>
      <w:r>
        <w:rPr>
          <w:b/>
        </w:rPr>
        <w:t xml:space="preserve">Filter methods</w:t>
      </w:r>
      <w:r>
        <w:t xml:space="preserve"> rank features by a univariate criterion such as their correlation with the response and retain the top-ranked, independent of any model; they are fast but ignore feature interactions. </w:t>
      </w:r>
      <w:r>
        <w:rPr>
          <w:b/>
        </w:rPr>
        <w:t xml:space="preserve">Wrapper methods</w:t>
      </w:r>
      <w:r>
        <w:t xml:space="preserve"> search over subsets, training and evaluating a model on each candidate subset; they account for interactions but are computationally expensive. </w:t>
      </w:r>
      <w:r>
        <w:rPr>
          <w:b/>
        </w:rPr>
        <w:t xml:space="preserve">Embedded methods</w:t>
      </w:r>
      <w:r>
        <w:t xml:space="preserve"> perform selection as part of model training, as when regularization drives the coefficients of irrelevant features toward zero or when tree ensembles yield feature-importance rankings. In the low-dimensional MAF setting, where the candidate features number less than ten and each has a physical rationale, aggressive feature selection is often unnecessary and can even discard weakly informative but physically meaningful variables; a light touch, informed by domain knowledge and importance analysis, is usually preferable to automatic elimination.</w:t>
      </w:r>
    </w:p>
    <w:p>
      <w:pPr>
        <w:pStyle w:val="Heading2"/>
      </w:pPr>
      <w:r>
        <w:t xml:space="preserve">8.9 Dataset Splitting and Cross-Validation</w:t>
      </w:r>
    </w:p>
    <w:p>
      <w:pPr>
        <w:pStyle w:val="Normal"/>
      </w:pPr>
      <w:r>
        <w:t xml:space="preserve">To estimate honestly how a model will perform on data it has not seen, the dataset must be partitioned so that evaluation is performed on data withheld from training. A common partition divides the data into a training set for fitting model parameters, a validation set for tuning hyperparameters and selecting among models, and a test set reserved for a single, final, unbiased estimate of performance after all decisions have been made. A representative split allocates the majority to training, with the remainder divided between validation and testing—commonly a training set of about seventy per cent, a validation set of about fifteen per cent, and a test set of about fifteen per cent. The cardinal rule is that the test set must be touched only once, at the very end; any use of the test set to guide modelling decisions contaminates it and inflates the apparent performance.</w:t>
      </w:r>
    </w:p>
    <w:p>
      <w:pPr>
        <w:pStyle w:val="Normal"/>
      </w:pPr>
      <w:r>
        <w:t xml:space="preserve">When the dataset is small—as it often is in MAF, where each data point is a costly physical experiment—a single train/validation/test split wastes data and yields performance estimates that depend heavily on the particular partition. In this common situation, </w:t>
      </w:r>
      <w:r>
        <w:rPr>
          <w:b/>
        </w:rPr>
        <w:t xml:space="preserve">k-fold cross-validation</w:t>
      </w:r>
      <w:r>
        <w:t xml:space="preserve"> is preferable. The data are divided into k roughly equal folds; the model is trained k times, each time on k−1 folds and evaluated on the held-out fold, and the k performance estimates are averaged. Every observation thus serves once for evaluation and k−1 times for training, using the scarce data efficiently and yielding a more stable performance estimate with an associated variability. The extreme case, leave-one-out cross-validation, sets k equal to the number of observations and is common for very small datasets. Cross-validation is used both to estimate performance and, in nested form, to tune hyperparameters without leaking test information—a subtlety developed in Section 10. Figure 7 illustrates the preprocessing pipeline end to end, and Figure 8 illustrates the logic of k-fold cross-validation.</w:t>
      </w:r>
    </w:p>
    <w:p>
      <w:pPr>
        <w:pStyle w:val="FigureImg"/>
      </w:pPr>
      <w:r>
        <w:drawing>
          <wp:inline xmlns:wp="http://schemas.openxmlformats.org/drawingml/2006/wordprocessingDrawing" distT="0" distB="0" distL="0" distR="0">
            <wp:extent cx="5486400" cy="3465094"/>
            <wp:effectExtent l="0" t="0" r="0" b="0"/>
            <wp:docPr id="895094503"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4503" name="Figure 7"/>
                    <pic:cNvPicPr/>
                  </pic:nvPicPr>
                  <pic:blipFill>
                    <a:blip xmlns:r="http://schemas.openxmlformats.org/officeDocument/2006/relationships" r:embed="rId7"/>
                    <a:stretch>
                      <a:fillRect/>
                    </a:stretch>
                  </pic:blipFill>
                  <pic:spPr>
                    <a:xfrm>
                      <a:off x="0" y="0"/>
                      <a:ext cx="5486400" cy="3465094"/>
                    </a:xfrm>
                    <a:prstGeom prst="rect">
                      <a:avLst/>
                    </a:prstGeom>
                  </pic:spPr>
                </pic:pic>
              </a:graphicData>
            </a:graphic>
          </wp:inline>
        </w:drawing>
      </w:r>
    </w:p>
    <w:p>
      <w:pPr>
        <w:pStyle w:val="FigureCaption"/>
      </w:pPr>
      <w:r>
        <w:t xml:space="preserve">Figure 7. The data preprocessing pipeline for MAF surface-roughness modelling, from raw experimental records through cleaning, imputation, outlier handling, scaling, encoding, feature engineering and selection, to a model-ready feature matrix and response vector, with the train/validation/test partition applied so that all fitted transformations are learned from training data only.</w:t>
      </w:r>
    </w:p>
    <w:p>
      <w:pPr>
        <w:pStyle w:val="FigureImg"/>
      </w:pPr>
      <w:r>
        <w:drawing>
          <wp:inline xmlns:wp="http://schemas.openxmlformats.org/drawingml/2006/wordprocessingDrawing" distT="0" distB="0" distL="0" distR="0">
            <wp:extent cx="5486400" cy="3465094"/>
            <wp:effectExtent l="0" t="0" r="0" b="0"/>
            <wp:docPr id="2048434269"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4269" name="Figure 8"/>
                    <pic:cNvPicPr/>
                  </pic:nvPicPr>
                  <pic:blipFill>
                    <a:blip xmlns:r="http://schemas.openxmlformats.org/officeDocument/2006/relationships" r:embed="rId8"/>
                    <a:stretch>
                      <a:fillRect/>
                    </a:stretch>
                  </pic:blipFill>
                  <pic:spPr>
                    <a:xfrm>
                      <a:off x="0" y="0"/>
                      <a:ext cx="5486400" cy="3465094"/>
                    </a:xfrm>
                    <a:prstGeom prst="rect">
                      <a:avLst/>
                    </a:prstGeom>
                  </pic:spPr>
                </pic:pic>
              </a:graphicData>
            </a:graphic>
          </wp:inline>
        </w:drawing>
      </w:r>
    </w:p>
    <w:p>
      <w:pPr>
        <w:pStyle w:val="FigureCaption"/>
      </w:pPr>
      <w:r>
        <w:t xml:space="preserve">Figure 8. Schematic of k-fold cross-validation. The dataset is partitioned into k folds; across k iterations each fold serves once as the validation fold while the remaining folds train the model, and the k scores are averaged to yield a stable performance estimate that uses scarce data efficiently [33], [34], [35], [36], [37], [38].</w:t>
      </w:r>
    </w:p>
    <w:p>
      <w:pPr>
        <w:pStyle w:val="Heading1"/>
      </w:pPr>
      <w:r>
        <w:t xml:space="preserve">9. Machine Learning Algorithms for Surface-Roughness Prediction</w:t>
      </w:r>
    </w:p>
    <w:p>
      <w:pPr>
        <w:pStyle w:val="Normal"/>
      </w:pPr>
      <w:r>
        <w:t xml:space="preserve">Several ML algorithms can be applied to MAF, and no single algorithm is universally superior; the best choice depends on the size and dimensionality of the dataset, the nature and severity of the nonlinearity and noise, the requirements for interpretability and uncertainty quantification, and the computational budget. This section presents the principal algorithms in a common framework, treating for each its underlying principle, its mathematical formulation at a level sufficient for understanding and implementation, its assumptions, and its particular strengths and limitations in the context of MAF, where datasets are typically small to moderate, inputs are low-dimensional and continuous, and the response is smooth but strongly nonlinear and interaction-laden. The section closes with a comparative synthesis (Table 11) and practical guidance on algorithm selection.</w:t>
      </w:r>
    </w:p>
    <w:p>
      <w:pPr>
        <w:pStyle w:val="Normal"/>
      </w:pPr>
      <w:r>
        <w:t xml:space="preserve">Before treating individual algorithms, it is useful to fix the common structure. Every supervised regression algorithm seeks a function that maps the input feature vector to a prediction of the response, chosen to minimize a measure of the discrepancy between predictions and observed responses on the training data, while controlling complexity so that the function generalizes to unseen data rather than merely memorizing the training set. The tension between fitting the training data (low bias) and generalizing to new data (low variance)—the bias–variance trade-off—is the organizing principle of the entire field, and the algorithms differ chiefly in the function class they search and in the mechanism by which they control complexity. Figure 9 situates the principal algorithm families along axes of interpretability and flexibility, providing a map of the terrain traversed in this section.</w:t>
      </w:r>
    </w:p>
    <w:p>
      <w:pPr>
        <w:pStyle w:val="FigureImg"/>
      </w:pPr>
      <w:r>
        <w:drawing>
          <wp:inline xmlns:wp="http://schemas.openxmlformats.org/drawingml/2006/wordprocessingDrawing" distT="0" distB="0" distL="0" distR="0">
            <wp:extent cx="5486400" cy="3465094"/>
            <wp:effectExtent l="0" t="0" r="0" b="0"/>
            <wp:docPr id="156949159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1599" name="Figure 9"/>
                    <pic:cNvPicPr/>
                  </pic:nvPicPr>
                  <pic:blipFill>
                    <a:blip xmlns:r="http://schemas.openxmlformats.org/officeDocument/2006/relationships" r:embed="rId9"/>
                    <a:stretch>
                      <a:fillRect/>
                    </a:stretch>
                  </pic:blipFill>
                  <pic:spPr>
                    <a:xfrm>
                      <a:off x="0" y="0"/>
                      <a:ext cx="5486400" cy="3465094"/>
                    </a:xfrm>
                    <a:prstGeom prst="rect">
                      <a:avLst/>
                    </a:prstGeom>
                  </pic:spPr>
                </pic:pic>
              </a:graphicData>
            </a:graphic>
          </wp:inline>
        </w:drawing>
      </w:r>
    </w:p>
    <w:p>
      <w:pPr>
        <w:pStyle w:val="FigureCaption"/>
      </w:pPr>
      <w:r>
        <w:t xml:space="preserve">Figure 9. A map of machine-learning algorithm families for MAF surface-roughness prediction, positioned by flexibility (capacity to represent complex nonlinear relationships) and interpretability (ease of understanding the learned relationship), with indicative data-requirement and uncertainty-quantification annotations.</w:t>
      </w:r>
    </w:p>
    <w:p>
      <w:pPr>
        <w:pStyle w:val="Heading2"/>
      </w:pPr>
      <w:r>
        <w:t xml:space="preserve">9.1 Artificial Neural Networks</w:t>
      </w:r>
    </w:p>
    <w:p>
      <w:pPr>
        <w:pStyle w:val="Normal"/>
      </w:pPr>
      <w:r>
        <w:t xml:space="preserve">An artificial neural network (ANN) consists of interconnected processing units, called neurons, arranged into an input layer that receives the feature vector, one or more hidden layers that transform it, and an output layer that produces the prediction. The network is a composition of simple nonlinear operations that, taken together, can approximate extraordinarily complex mappings. Each neuron computes a weighted sum of its inputs, adds a bias, and passes the result through a nonlinear activation function. For a single neuron the output can be represented as</w:t>
      </w:r>
    </w:p>
    <w:p>
      <w:pPr>
        <w:pStyle w:val="Normal"/>
      </w:pPr>
      <w:r>
        <w:t xml:space="preserve">y = f( Σ wᵢ xᵢ + b )</w:t>
      </w:r>
    </w:p>
    <w:p>
      <w:pPr>
        <w:pStyle w:val="Normal"/>
      </w:pPr>
      <w:r>
        <w:t xml:space="preserve">where the sum runs over the neuron's inputs, wᵢ is the weight applied to input xᵢ, b is the bias, and f is the activation function. The activation function is the source of the network's nonlinearity: without it, a stack of layers would collapse to a single linear map. Common choices include the logistic sigmoid and hyperbolic tangent, which saturate smoothly, and the rectified linear unit, which is linear for positive inputs and zero otherwise and which has become predominant because it trains efficiently and mitigates the vanishing-gradient problem of the saturating functions.</w:t>
      </w:r>
    </w:p>
    <w:p>
      <w:pPr>
        <w:pStyle w:val="Normal"/>
      </w:pPr>
      <w:r>
        <w:t xml:space="preserve">The remarkable property of even a single-hidden-layer network with a suitable activation function is that it is a universal approximator: given enough hidden neurons, it can approximate any continuous function on a bounded domain to arbitrary accuracy. This theorem is the theoretical warrant for using neural networks to model the MAF response function f(B, N, G, C, D, T, M): whatever its true shape, a sufficiently large network can represent it. The theorem is silent, however, on how many neurons are needed and on whether the requisite weights can be found from limited noisy data, which is where the practice of training, regularization, and architecture selection enters.</w:t>
      </w:r>
    </w:p>
    <w:p>
      <w:pPr>
        <w:pStyle w:val="Normal"/>
      </w:pPr>
      <w:r>
        <w:t xml:space="preserve">The network is trained by adjusting its weights and biases to minimize a loss function—typically the mean squared error between predictions and targets—over the training data. The workhorse algorithm is </w:t>
      </w:r>
      <w:r>
        <w:rPr>
          <w:b/>
        </w:rPr>
        <w:t xml:space="preserve">backpropagation</w:t>
      </w:r>
      <w:r>
        <w:t xml:space="preserve">, which computes the gradient of the loss with respect to every weight by the chain rule, propagating error signals backward from the output through the layers, and </w:t>
      </w:r>
      <w:r>
        <w:rPr>
          <w:b/>
        </w:rPr>
        <w:t xml:space="preserve">gradient descent</w:t>
      </w:r>
      <w:r>
        <w:t xml:space="preserve"> (in its stochastic and mini-batch variants, with modern adaptive optimizers such as Adam), which iteratively steps the weights in the direction that reduces the loss. Training is an art as much as a science: the learning rate, the batch size, the initialization of the weights, and the number of training epochs all influence whether training converges to a good solution or stalls, oscillates, or overfits.</w:t>
      </w:r>
    </w:p>
    <w:p>
      <w:pPr>
        <w:pStyle w:val="Normal"/>
      </w:pPr>
      <w:r>
        <w:t xml:space="preserve">ANNs are particularly useful for nonlinear machining relationships, and their flexibility is both their strength and their hazard. Their strength is that they impose no assumption on the form of the relationship and represent high-order interactions automatically, making them naturally suited to the interaction-laden MAF response. Their hazard is that this same flexibility makes them prone to overfitting when data are scarce—precisely the MAF situation—memorizing the noise in a small training set rather than the underlying process. The defences against overfitting are essential to their successful use: </w:t>
      </w:r>
      <w:r>
        <w:rPr>
          <w:b/>
        </w:rPr>
        <w:t xml:space="preserve">regularization</w:t>
      </w:r>
      <w:r>
        <w:t xml:space="preserve"> penalizes large weights and thereby smooths the fitted function; </w:t>
      </w:r>
      <w:r>
        <w:rPr>
          <w:b/>
        </w:rPr>
        <w:t xml:space="preserve">dropout</w:t>
      </w:r>
      <w:r>
        <w:t xml:space="preserve"> randomly disables neurons during training to prevent co-adaptation; </w:t>
      </w:r>
      <w:r>
        <w:rPr>
          <w:b/>
        </w:rPr>
        <w:t xml:space="preserve">early stopping</w:t>
      </w:r>
      <w:r>
        <w:t xml:space="preserve"> halts training when the validation error begins to rise even as the training error continues to fall; and, most fundamentally, </w:t>
      </w:r>
      <w:r>
        <w:rPr>
          <w:b/>
        </w:rPr>
        <w:t xml:space="preserve">restraint in architecture</w:t>
      </w:r>
      <w:r>
        <w:t xml:space="preserve">—using the smallest network that suffices—guards against excess capacity. For the small datasets typical of MAF, compact networks with one or two modest hidden layers, aggressive regularization, and early stopping generally outperform large deep networks, which have too little data to constrain their many parameters. Figure 10 depicts a representative feedforward architecture for MAF roughness prediction.</w:t>
      </w:r>
    </w:p>
    <w:p>
      <w:pPr>
        <w:pStyle w:val="FigureImg"/>
      </w:pPr>
      <w:r>
        <w:drawing>
          <wp:inline xmlns:wp="http://schemas.openxmlformats.org/drawingml/2006/wordprocessingDrawing" distT="0" distB="0" distL="0" distR="0">
            <wp:extent cx="5486400" cy="3465094"/>
            <wp:effectExtent l="0" t="0" r="0" b="0"/>
            <wp:docPr id="2039991044"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1044" name="Figure 10"/>
                    <pic:cNvPicPr/>
                  </pic:nvPicPr>
                  <pic:blipFill>
                    <a:blip xmlns:r="http://schemas.openxmlformats.org/officeDocument/2006/relationships" r:embed="rId10"/>
                    <a:stretch>
                      <a:fillRect/>
                    </a:stretch>
                  </pic:blipFill>
                  <pic:spPr>
                    <a:xfrm>
                      <a:off x="0" y="0"/>
                      <a:ext cx="5486400" cy="3465094"/>
                    </a:xfrm>
                    <a:prstGeom prst="rect">
                      <a:avLst/>
                    </a:prstGeom>
                  </pic:spPr>
                </pic:pic>
              </a:graphicData>
            </a:graphic>
          </wp:inline>
        </w:drawing>
      </w:r>
    </w:p>
    <w:p>
      <w:pPr>
        <w:pStyle w:val="FigureCaption"/>
      </w:pPr>
      <w:r>
        <w:t xml:space="preserve">Figure 10. A feedforward artificial neural network for MAF surface-roughness prediction, with an input layer receiving the normalized process parameters (B, N, G, C, D, T and material features), one or two hidden layers of nonlinear neurons, and a single output neuron predicting Ra. The inset shows the operation of a single neuron: weighted summation of inputs, addition of bias, and nonlinear activation.</w:t>
      </w:r>
    </w:p>
    <w:p>
      <w:pPr>
        <w:pStyle w:val="Heading2"/>
      </w:pPr>
      <w:r>
        <w:t xml:space="preserve">9.2 Support Vector Regression</w:t>
      </w:r>
    </w:p>
    <w:p>
      <w:pPr>
        <w:pStyle w:val="Normal"/>
      </w:pPr>
      <w:r>
        <w:t xml:space="preserve">Support vector regression (SVR) adapts the support vector machine, originally devised for classification, to the prediction of a continuous response. It attempts to determine a function that predicts the target variable while maintaining an acceptable error tolerance, and it does so through a distinctive and elegant formulation. Rather than minimizing the average error over all points, SVR seeks the flattest function that keeps the prediction of every training point within a specified tolerance—an insensitive tube of width epsilon around the function—while penalizing only those points that fall outside the tube. Points inside the tube incur no penalty; points outside it incur a penalty proportional to their distance beyond the tube, moderated by a regularization constant that balances the flatness of the function against the tolerance of violations. This epsilon-insensitive formulation makes SVR robust: small errors are ignored entirely, and the fitted function is determined by only a subset of the training points—the support vectors—that lie on or outside the tube.</w:t>
      </w:r>
    </w:p>
    <w:p>
      <w:pPr>
        <w:pStyle w:val="Normal"/>
      </w:pPr>
      <w:r>
        <w:t xml:space="preserve">The true power of SVR emerges from the </w:t>
      </w:r>
      <w:r>
        <w:rPr>
          <w:b/>
        </w:rPr>
        <w:t xml:space="preserve">kernel trick</w:t>
      </w:r>
      <w:r>
        <w:t xml:space="preserve">. A kernel function implicitly maps the input features into a high-dimensional feature space in which a linear function suffices to capture relationships that are highly nonlinear in the original space, and it does so without ever computing the high-dimensional mapping explicitly, evaluating instead only inner products through the kernel. The radial basis function kernel, which measures similarity by a Gaussian function of the distance between points, is the most common choice for smooth nonlinear regression and is well suited to the smooth MAF response. The behaviour of SVR is governed by a small number of hyperparameters: the regularization constant, the tube width epsilon, and the kernel parameters (the width of the radial basis function). Their selection, typically by cross-validated search, strongly influences performance.</w:t>
      </w:r>
    </w:p>
    <w:p>
      <w:pPr>
        <w:pStyle w:val="Normal"/>
      </w:pPr>
      <w:r>
        <w:t xml:space="preserve">SVR can perform well when experimental datasets are relatively small, and this is precisely why it is prominent in the MAF literature. Its formulation as a convex optimization problem guarantees a unique global solution, avoiding the local-minima difficulties of neural network training; its dependence on only the support vectors gives it a degree of robustness to the bulk of the data; and its regularized, flatness-seeking objective controls complexity in a principled way that resists overfitting even with limited data. These properties make SVR a strong and reliable baseline for MAF roughness modelling, frequently competitive with or superior to neural networks on the small datasets that characterize the field. Its limitations are that it does not natively provide predictive uncertainty, that its performance is sensitive to hyperparameter tuning and feature scaling, and that its computational cost grows unfavourably with very large datasets—rarely a concern in MAF. Figure 11 illustrates the epsilon-insensitive tube and the role of the support vectors.</w:t>
      </w:r>
    </w:p>
    <w:p>
      <w:pPr>
        <w:pStyle w:val="FigureImg"/>
      </w:pPr>
      <w:r>
        <w:drawing>
          <wp:inline xmlns:wp="http://schemas.openxmlformats.org/drawingml/2006/wordprocessingDrawing" distT="0" distB="0" distL="0" distR="0">
            <wp:extent cx="5486400" cy="3465094"/>
            <wp:effectExtent l="0" t="0" r="0" b="0"/>
            <wp:docPr id="504425932"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25932" name="Figure 11"/>
                    <pic:cNvPicPr/>
                  </pic:nvPicPr>
                  <pic:blipFill>
                    <a:blip xmlns:r="http://schemas.openxmlformats.org/officeDocument/2006/relationships" r:embed="rId11"/>
                    <a:stretch>
                      <a:fillRect/>
                    </a:stretch>
                  </pic:blipFill>
                  <pic:spPr>
                    <a:xfrm>
                      <a:off x="0" y="0"/>
                      <a:ext cx="5486400" cy="3465094"/>
                    </a:xfrm>
                    <a:prstGeom prst="rect">
                      <a:avLst/>
                    </a:prstGeom>
                  </pic:spPr>
                </pic:pic>
              </a:graphicData>
            </a:graphic>
          </wp:inline>
        </w:drawing>
      </w:r>
    </w:p>
    <w:p>
      <w:pPr>
        <w:pStyle w:val="FigureCaption"/>
      </w:pPr>
      <w:r>
        <w:t xml:space="preserve">Figure 11. Support vector regression illustrated in one dimension: the fitted function with its epsilon-insensitive tube, within which prediction errors incur no penalty; the support vectors lying on or outside the tube that determine the function; and, in the inset, the kernel mapping that renders a nonlinear relationship linear in an implicit high-dimensional feature space.</w:t>
      </w:r>
    </w:p>
    <w:p>
      <w:pPr>
        <w:pStyle w:val="Heading2"/>
      </w:pPr>
      <w:r>
        <w:t xml:space="preserve">9.3 Decision Trees and Random Forests</w:t>
      </w:r>
    </w:p>
    <w:p>
      <w:pPr>
        <w:pStyle w:val="Normal"/>
      </w:pPr>
      <w:r>
        <w:t xml:space="preserve">A </w:t>
      </w:r>
      <w:r>
        <w:rPr>
          <w:b/>
        </w:rPr>
        <w:t xml:space="preserve">decision tree</w:t>
      </w:r>
      <w:r>
        <w:t xml:space="preserve"> for regression partitions the input space into a set of rectangular regions by a sequence of binary splits on individual features, and it predicts, within each region, a constant equal to the mean of the training responses that fall there. Each split is chosen greedily to reduce the variance of the response within the resulting child regions as much as possible; the tree grows by recursive splitting until a stopping criterion is met. A single decision tree is attractively interpretable—its prediction can be traced through a sequence of human-readable rules—and it captures nonlinearity and interactions naturally, since a deep enough tree can carve the input space into arbitrarily fine regions. But a single tree is also notoriously unstable: a small change in the training data can produce a very different tree, and deep trees overfit badly, memorizing the training data in their fine partition. Single trees are therefore rarely used alone for accurate prediction; their value lies in serving as the building block for ensembles.</w:t>
      </w:r>
    </w:p>
    <w:p>
      <w:pPr>
        <w:pStyle w:val="Normal"/>
      </w:pPr>
      <w:r>
        <w:rPr>
          <w:b/>
        </w:rPr>
        <w:t xml:space="preserve">Random Forest</w:t>
      </w:r>
      <w:r>
        <w:t xml:space="preserve"> combines multiple decision trees to obtain a robust prediction, and it does so through two randomizing devices that decorrelate the trees so that their errors partially cancel when averaged. First, each tree is grown on a bootstrap resample of the training data—a sample drawn with replacement—so that each tree sees a slightly different dataset (bootstrap aggregating, or bagging). Second, at each split only a random subset of the features is considered as candidates, which prevents a few dominant features from forcing all the trees to resemble one another. The forest's prediction is the average of its trees' predictions. Because averaging many decorrelated, individually high-variance trees reduces variance without much increasing bias, the ensemble is far more accurate and stable than any single tree.</w:t>
      </w:r>
    </w:p>
    <w:p>
      <w:pPr>
        <w:pStyle w:val="Normal"/>
      </w:pPr>
      <w:r>
        <w:t xml:space="preserve">The advantages of random forests are numerous and align well with the practical realities of MAF modelling. They exhibit resistance to overfitting, because the averaging of many decorrelated trees smooths away the idiosyncratic errors of individual trees; they possess the ability to model nonlinear relationships and interactions of arbitrary order without any specification by the analyst; they support feature-importance analysis, quantifying how much each parameter contributes to prediction by measuring the reduction in error attributable to splits on that feature or the degradation in accuracy when its values are permuted; and they impose limited preprocessing requirements, being invariant to the monotonic scaling of individual features and tolerant of features on disparate scales, so that the normalization essential for neural networks and SVR is unnecessary. They also provide, through the observations left out of each tree's bootstrap sample (the out-of-bag observations), an almost free internal estimate of generalization error. Their principal limitations are that they extrapolate poorly beyond the range of the training data—because their predictions are averages of training responses, they cannot predict values outside the observed range—and that they produce piecewise-constant, stepped response surfaces that, while accurate on average, lack the smoothness of the true MAF response and of the surfaces produced by neural networks, SVR, or Gaussian processes. For datasets of the size common in MAF, random forests are a strong, robust, low-maintenance choice that frequently rivals more elaborate methods and provides valuable interpretability as a by-product. Figure 12 illustrates the random forest ensemble.</w:t>
      </w:r>
    </w:p>
    <w:p>
      <w:pPr>
        <w:pStyle w:val="FigureImg"/>
      </w:pPr>
      <w:r>
        <w:drawing>
          <wp:inline xmlns:wp="http://schemas.openxmlformats.org/drawingml/2006/wordprocessingDrawing" distT="0" distB="0" distL="0" distR="0">
            <wp:extent cx="5486400" cy="3465094"/>
            <wp:effectExtent l="0" t="0" r="0" b="0"/>
            <wp:docPr id="2048181579"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81579" name="Figure 12"/>
                    <pic:cNvPicPr/>
                  </pic:nvPicPr>
                  <pic:blipFill>
                    <a:blip xmlns:r="http://schemas.openxmlformats.org/officeDocument/2006/relationships" r:embed="rId12"/>
                    <a:stretch>
                      <a:fillRect/>
                    </a:stretch>
                  </pic:blipFill>
                  <pic:spPr>
                    <a:xfrm>
                      <a:off x="0" y="0"/>
                      <a:ext cx="5486400" cy="3465094"/>
                    </a:xfrm>
                    <a:prstGeom prst="rect">
                      <a:avLst/>
                    </a:prstGeom>
                  </pic:spPr>
                </pic:pic>
              </a:graphicData>
            </a:graphic>
          </wp:inline>
        </w:drawing>
      </w:r>
    </w:p>
    <w:p>
      <w:pPr>
        <w:pStyle w:val="FigureCaption"/>
      </w:pPr>
      <w:r>
        <w:t xml:space="preserve">Figure 12. The random forest ensemble for MAF roughness prediction. Multiple decision trees are each grown on a bootstrap resample of the data with random feature subsets considered at each split; the individual tree predictions are averaged to yield a robust, low-variance ensemble prediction, and the aggregated split statistics yield a feature-importance ranking of the process parameters.</w:t>
      </w:r>
    </w:p>
    <w:p>
      <w:pPr>
        <w:pStyle w:val="Heading2"/>
      </w:pPr>
      <w:r>
        <w:t xml:space="preserve">9.4 Gradient Boosting</w:t>
      </w:r>
    </w:p>
    <w:p>
      <w:pPr>
        <w:pStyle w:val="Normal"/>
      </w:pPr>
      <w:r>
        <w:t xml:space="preserve">Gradient boosting constructs an ensemble by a strategy fundamentally different from that of the random forest. Whereas the random forest builds many independent trees in parallel and averages them, gradient boosting constructs sequential decision trees in which each new tree attempts to reduce the prediction error of the previous model. The method begins with a simple initial prediction—often the mean response—and then adds trees one at a time, each new tree fitted to the residual errors (more precisely, to the negative gradient of the loss) of the current ensemble. Each tree thus corrects the mistakes of its predecessors, and the ensemble prediction is the sum of the initial prediction and the contributions of all the trees, each scaled by a learning rate that controls how large a correction each tree is permitted to make. By taking many small corrective steps with a modest learning rate, gradient boosting fits the training data closely while the shrinkage of each step guards against overfitting.</w:t>
      </w:r>
    </w:p>
    <w:p>
      <w:pPr>
        <w:pStyle w:val="Normal"/>
      </w:pPr>
      <w:r>
        <w:t xml:space="preserve">Gradient boosting is often the most accurate of the tree-based methods on structured tabular data of the kind that MAF experiments produce, because the sequential, error-correcting construction can capture subtle structure that the parallel averaging of a random forest may miss. Its accuracy comes at the cost of greater sensitivity to its hyperparameters—the number of trees, the learning rate, the depth of each tree, and the subsampling fractions—which interact and must be tuned jointly, and greater risk of overfitting if too many trees are added with too large a learning rate. The number of boosting rounds is best chosen by monitoring validation error and stopping when it ceases to improve, a form of early stopping. Like the random forest, gradient boosting inherits the tree ensemble's tolerance of unscaled and mixed-type features, its capacity for arbitrary interactions, and its provision of feature-importance measures, while sharing the trees' poor extrapolation and stepped response surfaces.</w:t>
      </w:r>
    </w:p>
    <w:p>
      <w:pPr>
        <w:pStyle w:val="Heading2"/>
      </w:pPr>
      <w:r>
        <w:t xml:space="preserve">9.5 XGBoost and Modern Gradient-Boosting Frameworks</w:t>
      </w:r>
    </w:p>
    <w:p>
      <w:pPr>
        <w:pStyle w:val="Normal"/>
      </w:pPr>
      <w:r>
        <w:t xml:space="preserve">XGBoost is an optimized gradient-boosting framework capable of capturing complex nonlinear relationships, and it, together with related frameworks, has become one of the most widely used and successful methods for tabular regression. It refines the basic gradient-boosting algorithm in several ways that improve both accuracy and practicality. It augments the loss with an explicit </w:t>
      </w:r>
      <w:r>
        <w:rPr>
          <w:b/>
        </w:rPr>
        <w:t xml:space="preserve">regularization</w:t>
      </w:r>
      <w:r>
        <w:t xml:space="preserve"> term penalizing the complexity of the trees (the number of leaves and the magnitude of the leaf values), which controls overfitting more directly than plain gradient boosting; it uses a </w:t>
      </w:r>
      <w:r>
        <w:rPr>
          <w:b/>
        </w:rPr>
        <w:t xml:space="preserve">second-order</w:t>
      </w:r>
      <w:r>
        <w:t xml:space="preserve"> approximation of the loss, exploiting curvature information for more efficient and accurate optimization; it incorporates </w:t>
      </w:r>
      <w:r>
        <w:rPr>
          <w:b/>
        </w:rPr>
        <w:t xml:space="preserve">shrinkage and column subsampling</w:t>
      </w:r>
      <w:r>
        <w:t xml:space="preserve"> to further regularize; and it is engineered for computational efficiency through cache-aware, parallelized, and sparsity-aware implementations that make it fast even on modest hardware. Related frameworks extend these ideas with histogram-based split finding for speed and with sophisticated handling of categorical features.</w:t>
      </w:r>
    </w:p>
    <w:p>
      <w:pPr>
        <w:pStyle w:val="Normal"/>
      </w:pPr>
      <w:r>
        <w:t xml:space="preserve">For MAF datasets, XGBoost can be particularly attractive because interactions between machining variables can be represented effectively, and its built-in regularization helps it perform well even when data are limited, provided its hyperparameters are tuned with care. In many comparative studies across manufacturing and machining domains, gradient-boosting frameworks such as XGBoost rank among the top performers on tabular data, frequently edging out neural networks and support vector regression on datasets of moderate size. Their principal practical demands are careful, ideally automated, hyperparameter tuning—because their many interacting hyperparameters create a large tuning space—and the same caution regarding extrapolation that applies to all tree-based methods. When accuracy on structured tabular MAF data is the paramount objective and sufficient care is taken with tuning and validation, XGBoost and its relatives are frequently the method of choice, and they are natural candidates for the workhorse predictive engine within an optimization loop.</w:t>
      </w:r>
    </w:p>
    <w:p>
      <w:pPr>
        <w:pStyle w:val="Heading2"/>
      </w:pPr>
      <w:r>
        <w:t xml:space="preserve">9.6 Gaussian Process Regression</w:t>
      </w:r>
    </w:p>
    <w:p>
      <w:pPr>
        <w:pStyle w:val="Normal"/>
      </w:pPr>
      <w:r>
        <w:t xml:space="preserve">Gaussian process regression (GPR), also known as kriging in the geostatistics and surrogate-modelling communities, occupies a distinctive and valuable position among MAF modelling methods because it is at once a flexible nonlinear regressor and a principled probabilistic model that quantifies its own uncertainty. A Gaussian process places a probability distribution directly over functions, specified by a mean function and a covariance (kernel) function that encodes assumptions about the smoothness and characteristic length scales of the response. Conditioning this prior distribution on the observed training data yields a posterior distribution over functions; the posterior mean provides the prediction at any input, and the posterior variance provides a calibrated estimate of the uncertainty in that prediction. Crucially, this uncertainty grows in regions of the input space far from the training data and shrinks near observed points, so that a GPR model knows where it does not know—an invaluable property for guiding further experimentation.</w:t>
      </w:r>
    </w:p>
    <w:p>
      <w:pPr>
        <w:pStyle w:val="Normal"/>
      </w:pPr>
      <w:r>
        <w:t xml:space="preserve">For MAF, GPR offers several compelling advantages. It is extremely data-efficient, performing well on the small datasets typical of the field, because its assumption of smoothness—entirely appropriate for the smooth MAF response—allows it to interpolate confidently between sparse observations. It produces smooth response surfaces consistent with the physics, unlike the stepped surfaces of tree ensembles. Above all, its principled uncertainty quantification makes it the natural surrogate model for </w:t>
      </w:r>
      <w:r>
        <w:rPr>
          <w:b/>
        </w:rPr>
        <w:t xml:space="preserve">Bayesian optimization</w:t>
      </w:r>
      <w:r>
        <w:t xml:space="preserve"> and </w:t>
      </w:r>
      <w:r>
        <w:rPr>
          <w:b/>
        </w:rPr>
        <w:t xml:space="preserve">active learning</w:t>
      </w:r>
      <w:r>
        <w:t xml:space="preserve">, in which the uncertainty estimate directs the next experiment to the most informative or most promising point—a capability developed in Sections 11 and 12 that directly addresses the central practical problem of extracting maximum value from minimum experimentation. Its limitations are a computational cost that grows cubically with the number of training points, which is immaterial for the small MAF datasets but precludes very large ones, and a sensitivity to the choice of kernel and to the estimation of its hyperparameters (the length scales and noise level), typically obtained by maximizing the marginal likelihood. For small, smooth, low-dimensional problems requiring calibrated uncertainty—an exact description of the MAF setting—GPR is often the single most appropriate method.</w:t>
      </w:r>
    </w:p>
    <w:p>
      <w:pPr>
        <w:pStyle w:val="Heading2"/>
      </w:pPr>
      <w:r>
        <w:t xml:space="preserve">9.7 k-Nearest Neighbours and Instance-Based Methods</w:t>
      </w:r>
    </w:p>
    <w:p>
      <w:pPr>
        <w:pStyle w:val="Normal"/>
      </w:pPr>
      <w:r>
        <w:t xml:space="preserve">The k-nearest-neighbours (k-NN) method predicts the response at a query point as the (possibly distance-weighted) average of the responses of its k closest training points in feature space. It is the simplest of nonparametric regressors: it builds no explicit model during training, storing the data and deferring all computation to prediction time, and it makes no assumption about the functional form of the response beyond a presumption that nearby inputs yield similar outputs. For MAF, k-NN serves chiefly as a transparent, easily understood baseline against which more sophisticated methods can be compared; if an elaborate model cannot outperform k-NN, its complexity is unjustified. Its accuracy depends critically on the distance metric and hence on feature scaling, on the choice of k (small k gives a flexible but noisy predictor, large k a smooth but biased one), and on the density of the data, and it suffers acutely from the curse of dimensionality and from poor extrapolation. It is rarely the best method for MAF but is a useful and instructive member of the comparative ensemble.</w:t>
      </w:r>
    </w:p>
    <w:p>
      <w:pPr>
        <w:pStyle w:val="Heading2"/>
      </w:pPr>
      <w:r>
        <w:t xml:space="preserve">9.8 Ensemble and Hybrid Strategies</w:t>
      </w:r>
    </w:p>
    <w:p>
      <w:pPr>
        <w:pStyle w:val="Normal"/>
      </w:pPr>
      <w:r>
        <w:t xml:space="preserve">Beyond the single algorithms, combining models often yields predictions more accurate and more robust than any constituent. </w:t>
      </w:r>
      <w:r>
        <w:rPr>
          <w:b/>
        </w:rPr>
        <w:t xml:space="preserve">Stacking</w:t>
      </w:r>
      <w:r>
        <w:t xml:space="preserve"> trains a meta-model to combine the predictions of several diverse base models—say a neural network, an SVR, and an XGBoost model—learning how best to weight them according to their respective strengths across the input space. </w:t>
      </w:r>
      <w:r>
        <w:rPr>
          <w:b/>
        </w:rPr>
        <w:t xml:space="preserve">Blending and simple averaging</w:t>
      </w:r>
      <w:r>
        <w:t xml:space="preserve"> combine models more crudely but often effectively. </w:t>
      </w:r>
      <w:r>
        <w:rPr>
          <w:b/>
        </w:rPr>
        <w:t xml:space="preserve">Hybrid physics–ML models</w:t>
      </w:r>
      <w:r>
        <w:t xml:space="preserve"> combine a physics-based analytical or simulation model with a data-driven model, using the ML model to learn the discrepancy between the physics and the observations (a residual or correction model) or embedding physical constraints into the learning objective. These hybrid strategies, developed further under physics-informed learning in Section 14, are especially valuable in MAF because they allow the substantial, if imperfect, physical understanding of the process to inform and constrain the data-driven model, improving accuracy, extrapolation, and physical plausibility, particularly when data are scarce. Table 9 summarizes the activation functions and kernels referenced above, and Table 10 collects representative hyperparameters and their typical roles.</w:t>
      </w:r>
    </w:p>
    <w:p>
      <w:pPr>
        <w:pStyle w:val="TableCaption"/>
      </w:pPr>
      <w:r>
        <w:t xml:space="preserve">Table 9. Common activation functions (for neural networks) and kernel functions (for SVR and GPR) used in MAF surface-roughness modelling.</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tcPr>
          <w:p>
            <w:pPr>
              <w:jc w:val="center"/>
              <w:spacing w:after="20"/>
            </w:pPr>
            <w:r>
              <w:rPr>
                <w:b/>
              </w:rPr>
              <w:t xml:space="preserve">Function</w:t>
            </w:r>
          </w:p>
        </w:tc>
        <w:tc>
          <w:tcPr>
            <w:tcW w:w="2340" w:type="dxa"/>
            <w:shd w:val="clear" w:color="auto" w:fill="D9E2F3"/>
          </w:tcPr>
          <w:p>
            <w:pPr>
              <w:jc w:val="center"/>
              <w:spacing w:after="20"/>
            </w:pPr>
            <w:r>
              <w:rPr>
                <w:b/>
              </w:rPr>
              <w:t xml:space="preserve">Type</w:t>
            </w:r>
          </w:p>
        </w:tc>
        <w:tc>
          <w:tcPr>
            <w:tcW w:w="2340" w:type="dxa"/>
            <w:shd w:val="clear" w:color="auto" w:fill="D9E2F3"/>
          </w:tcPr>
          <w:p>
            <w:pPr>
              <w:jc w:val="center"/>
              <w:spacing w:after="20"/>
            </w:pPr>
            <w:r>
              <w:rPr>
                <w:b/>
              </w:rPr>
              <w:t xml:space="preserve">Characteristic</w:t>
            </w:r>
          </w:p>
        </w:tc>
        <w:tc>
          <w:tcPr>
            <w:tcW w:w="2340" w:type="dxa"/>
            <w:shd w:val="clear" w:color="auto" w:fill="D9E2F3"/>
          </w:tcPr>
          <w:p>
            <w:pPr>
              <w:jc w:val="center"/>
              <w:spacing w:after="20"/>
            </w:pPr>
            <w:r>
              <w:rPr>
                <w:b/>
              </w:rPr>
              <w:t xml:space="preserve">Typical use</w:t>
            </w:r>
          </w:p>
        </w:tc>
      </w:tr>
      <w:tr>
        <w:tc>
          <w:tcPr>
            <w:tcW w:w="2340" w:type="dxa"/>
          </w:tcPr>
          <w:p>
            <w:pPr>
              <w:spacing w:after="20"/>
            </w:pPr>
            <w:r>
              <w:t xml:space="preserve">Sigmoid (logistic)</w:t>
            </w:r>
          </w:p>
        </w:tc>
        <w:tc>
          <w:tcPr>
            <w:tcW w:w="2340" w:type="dxa"/>
          </w:tcPr>
          <w:p>
            <w:pPr>
              <w:spacing w:after="20"/>
            </w:pPr>
            <w:r>
              <w:t xml:space="preserve">Activation</w:t>
            </w:r>
          </w:p>
        </w:tc>
        <w:tc>
          <w:tcPr>
            <w:tcW w:w="2340" w:type="dxa"/>
          </w:tcPr>
          <w:p>
            <w:pPr>
              <w:spacing w:after="20"/>
            </w:pPr>
            <w:r>
              <w:t xml:space="preserve">Smooth, saturating, bounded (0,1)</w:t>
            </w:r>
          </w:p>
        </w:tc>
        <w:tc>
          <w:tcPr>
            <w:tcW w:w="2340" w:type="dxa"/>
          </w:tcPr>
          <w:p>
            <w:pPr>
              <w:spacing w:after="20"/>
            </w:pPr>
            <w:r>
              <w:t xml:space="preserve">Classical shallow networks</w:t>
            </w:r>
          </w:p>
        </w:tc>
      </w:tr>
      <w:tr>
        <w:tc>
          <w:tcPr>
            <w:tcW w:w="2340" w:type="dxa"/>
          </w:tcPr>
          <w:p>
            <w:pPr>
              <w:spacing w:after="20"/>
            </w:pPr>
            <w:r>
              <w:t xml:space="preserve">Hyperbolic tangent</w:t>
            </w:r>
          </w:p>
        </w:tc>
        <w:tc>
          <w:tcPr>
            <w:tcW w:w="2340" w:type="dxa"/>
          </w:tcPr>
          <w:p>
            <w:pPr>
              <w:spacing w:after="20"/>
            </w:pPr>
            <w:r>
              <w:t xml:space="preserve">Activation</w:t>
            </w:r>
          </w:p>
        </w:tc>
        <w:tc>
          <w:tcPr>
            <w:tcW w:w="2340" w:type="dxa"/>
          </w:tcPr>
          <w:p>
            <w:pPr>
              <w:spacing w:after="20"/>
            </w:pPr>
            <w:r>
              <w:t xml:space="preserve">Smooth, saturating, bounded (−1,1)</w:t>
            </w:r>
          </w:p>
        </w:tc>
        <w:tc>
          <w:tcPr>
            <w:tcW w:w="2340" w:type="dxa"/>
          </w:tcPr>
          <w:p>
            <w:pPr>
              <w:spacing w:after="20"/>
            </w:pPr>
            <w:r>
              <w:t xml:space="preserve">Classical shallow networks</w:t>
            </w:r>
          </w:p>
        </w:tc>
      </w:tr>
      <w:tr>
        <w:tc>
          <w:tcPr>
            <w:tcW w:w="2340" w:type="dxa"/>
          </w:tcPr>
          <w:p>
            <w:pPr>
              <w:spacing w:after="20"/>
            </w:pPr>
            <w:r>
              <w:t xml:space="preserve">Rectified linear unit</w:t>
            </w:r>
          </w:p>
        </w:tc>
        <w:tc>
          <w:tcPr>
            <w:tcW w:w="2340" w:type="dxa"/>
          </w:tcPr>
          <w:p>
            <w:pPr>
              <w:spacing w:after="20"/>
            </w:pPr>
            <w:r>
              <w:t xml:space="preserve">Activation</w:t>
            </w:r>
          </w:p>
        </w:tc>
        <w:tc>
          <w:tcPr>
            <w:tcW w:w="2340" w:type="dxa"/>
          </w:tcPr>
          <w:p>
            <w:pPr>
              <w:spacing w:after="20"/>
            </w:pPr>
            <w:r>
              <w:t xml:space="preserve">Piecewise linear, non-saturating</w:t>
            </w:r>
          </w:p>
        </w:tc>
        <w:tc>
          <w:tcPr>
            <w:tcW w:w="2340" w:type="dxa"/>
          </w:tcPr>
          <w:p>
            <w:pPr>
              <w:spacing w:after="20"/>
            </w:pPr>
            <w:r>
              <w:t xml:space="preserve">Modern deep networks</w:t>
            </w:r>
          </w:p>
        </w:tc>
      </w:tr>
      <w:tr>
        <w:tc>
          <w:tcPr>
            <w:tcW w:w="2340" w:type="dxa"/>
          </w:tcPr>
          <w:p>
            <w:pPr>
              <w:spacing w:after="20"/>
            </w:pPr>
            <w:r>
              <w:t xml:space="preserve">Radial basis function</w:t>
            </w:r>
          </w:p>
        </w:tc>
        <w:tc>
          <w:tcPr>
            <w:tcW w:w="2340" w:type="dxa"/>
          </w:tcPr>
          <w:p>
            <w:pPr>
              <w:spacing w:after="20"/>
            </w:pPr>
            <w:r>
              <w:t xml:space="preserve">Kernel</w:t>
            </w:r>
          </w:p>
        </w:tc>
        <w:tc>
          <w:tcPr>
            <w:tcW w:w="2340" w:type="dxa"/>
          </w:tcPr>
          <w:p>
            <w:pPr>
              <w:spacing w:after="20"/>
            </w:pPr>
            <w:r>
              <w:t xml:space="preserve">Gaussian similarity by distance</w:t>
            </w:r>
          </w:p>
        </w:tc>
        <w:tc>
          <w:tcPr>
            <w:tcW w:w="2340" w:type="dxa"/>
          </w:tcPr>
          <w:p>
            <w:pPr>
              <w:spacing w:after="20"/>
            </w:pPr>
            <w:r>
              <w:t xml:space="preserve">SVR and GPR for smooth responses</w:t>
            </w:r>
          </w:p>
        </w:tc>
      </w:tr>
      <w:tr>
        <w:tc>
          <w:tcPr>
            <w:tcW w:w="2340" w:type="dxa"/>
          </w:tcPr>
          <w:p>
            <w:pPr>
              <w:spacing w:after="20"/>
            </w:pPr>
            <w:r>
              <w:t xml:space="preserve">Polynomial</w:t>
            </w:r>
          </w:p>
        </w:tc>
        <w:tc>
          <w:tcPr>
            <w:tcW w:w="2340" w:type="dxa"/>
          </w:tcPr>
          <w:p>
            <w:pPr>
              <w:spacing w:after="20"/>
            </w:pPr>
            <w:r>
              <w:t xml:space="preserve">Kernel</w:t>
            </w:r>
          </w:p>
        </w:tc>
        <w:tc>
          <w:tcPr>
            <w:tcW w:w="2340" w:type="dxa"/>
          </w:tcPr>
          <w:p>
            <w:pPr>
              <w:spacing w:after="20"/>
            </w:pPr>
            <w:r>
              <w:t xml:space="preserve">Similarity via polynomial of inner product</w:t>
            </w:r>
          </w:p>
        </w:tc>
        <w:tc>
          <w:tcPr>
            <w:tcW w:w="2340" w:type="dxa"/>
          </w:tcPr>
          <w:p>
            <w:pPr>
              <w:spacing w:after="20"/>
            </w:pPr>
            <w:r>
              <w:t xml:space="preserve">SVR for moderate nonlinearity</w:t>
            </w:r>
          </w:p>
        </w:tc>
      </w:tr>
      <w:tr>
        <w:tc>
          <w:tcPr>
            <w:tcW w:w="2340" w:type="dxa"/>
          </w:tcPr>
          <w:p>
            <w:pPr>
              <w:spacing w:after="20"/>
            </w:pPr>
            <w:r>
              <w:t xml:space="preserve">Matérn</w:t>
            </w:r>
          </w:p>
        </w:tc>
        <w:tc>
          <w:tcPr>
            <w:tcW w:w="2340" w:type="dxa"/>
          </w:tcPr>
          <w:p>
            <w:pPr>
              <w:spacing w:after="20"/>
            </w:pPr>
            <w:r>
              <w:t xml:space="preserve">Kernel</w:t>
            </w:r>
          </w:p>
        </w:tc>
        <w:tc>
          <w:tcPr>
            <w:tcW w:w="2340" w:type="dxa"/>
          </w:tcPr>
          <w:p>
            <w:pPr>
              <w:spacing w:after="20"/>
            </w:pPr>
            <w:r>
              <w:t xml:space="preserve">Controllable smoothness family</w:t>
            </w:r>
          </w:p>
        </w:tc>
        <w:tc>
          <w:tcPr>
            <w:tcW w:w="2340" w:type="dxa"/>
          </w:tcPr>
          <w:p>
            <w:pPr>
              <w:spacing w:after="20"/>
            </w:pPr>
            <w:r>
              <w:t xml:space="preserve">GPR for tunable-smoothness responses</w:t>
            </w:r>
          </w:p>
        </w:tc>
      </w:tr>
    </w:tbl>
    <w:p>
      <w:pPr>
        <w:spacing w:after="120"/>
      </w:pPr>
    </w:p>
    <w:p>
      <w:pPr>
        <w:pStyle w:val="TableCaption"/>
      </w:pPr>
      <w:r>
        <w:t xml:space="preserve">Table 10. Representative hyperparameters of the principal algorithms and their qualitative effect on the bias–variance trade-off.</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Algorithm</w:t>
            </w:r>
          </w:p>
        </w:tc>
        <w:tc>
          <w:tcPr>
            <w:tcW w:w="3120" w:type="dxa"/>
            <w:shd w:val="clear" w:color="auto" w:fill="D9E2F3"/>
          </w:tcPr>
          <w:p>
            <w:pPr>
              <w:jc w:val="center"/>
              <w:spacing w:after="20"/>
            </w:pPr>
            <w:r>
              <w:rPr>
                <w:b/>
              </w:rPr>
              <w:t xml:space="preserve">Key hyperparameters</w:t>
            </w:r>
          </w:p>
        </w:tc>
        <w:tc>
          <w:tcPr>
            <w:tcW w:w="3120" w:type="dxa"/>
            <w:shd w:val="clear" w:color="auto" w:fill="D9E2F3"/>
          </w:tcPr>
          <w:p>
            <w:pPr>
              <w:jc w:val="center"/>
              <w:spacing w:after="20"/>
            </w:pPr>
            <w:r>
              <w:rPr>
                <w:b/>
              </w:rPr>
              <w:t xml:space="preserve">Effect of increasing the hyperparameter</w:t>
            </w:r>
          </w:p>
        </w:tc>
      </w:tr>
      <w:tr>
        <w:tc>
          <w:tcPr>
            <w:tcW w:w="3120" w:type="dxa"/>
          </w:tcPr>
          <w:p>
            <w:pPr>
              <w:spacing w:after="20"/>
            </w:pPr>
            <w:r>
              <w:t xml:space="preserve">Neural network</w:t>
            </w:r>
          </w:p>
        </w:tc>
        <w:tc>
          <w:tcPr>
            <w:tcW w:w="3120" w:type="dxa"/>
          </w:tcPr>
          <w:p>
            <w:pPr>
              <w:spacing w:after="20"/>
            </w:pPr>
            <w:r>
              <w:t xml:space="preserve">Hidden units/layers, learning rate, regularization, epochs</w:t>
            </w:r>
          </w:p>
        </w:tc>
        <w:tc>
          <w:tcPr>
            <w:tcW w:w="3120" w:type="dxa"/>
          </w:tcPr>
          <w:p>
            <w:pPr>
              <w:spacing w:after="20"/>
            </w:pPr>
            <w:r>
              <w:t xml:space="preserve">More units/epochs lower bias but raise variance; more regularization raises bias, lowers variance</w:t>
            </w:r>
          </w:p>
        </w:tc>
      </w:tr>
      <w:tr>
        <w:tc>
          <w:tcPr>
            <w:tcW w:w="3120" w:type="dxa"/>
          </w:tcPr>
          <w:p>
            <w:pPr>
              <w:spacing w:after="20"/>
            </w:pPr>
            <w:r>
              <w:t xml:space="preserve">Support vector regression</w:t>
            </w:r>
          </w:p>
        </w:tc>
        <w:tc>
          <w:tcPr>
            <w:tcW w:w="3120" w:type="dxa"/>
          </w:tcPr>
          <w:p>
            <w:pPr>
              <w:spacing w:after="20"/>
            </w:pPr>
            <w:r>
              <w:t xml:space="preserve">C, epsilon, kernel width (gamma)</w:t>
            </w:r>
          </w:p>
        </w:tc>
        <w:tc>
          <w:tcPr>
            <w:tcW w:w="3120" w:type="dxa"/>
          </w:tcPr>
          <w:p>
            <w:pPr>
              <w:spacing w:after="20"/>
            </w:pPr>
            <w:r>
              <w:t xml:space="preserve">Larger C lowers bias, raises variance; larger epsilon raises bias; gamma sets locality</w:t>
            </w:r>
          </w:p>
        </w:tc>
      </w:tr>
      <w:tr>
        <w:tc>
          <w:tcPr>
            <w:tcW w:w="3120" w:type="dxa"/>
          </w:tcPr>
          <w:p>
            <w:pPr>
              <w:spacing w:after="20"/>
            </w:pPr>
            <w:r>
              <w:t xml:space="preserve">Random forest</w:t>
            </w:r>
          </w:p>
        </w:tc>
        <w:tc>
          <w:tcPr>
            <w:tcW w:w="3120" w:type="dxa"/>
          </w:tcPr>
          <w:p>
            <w:pPr>
              <w:spacing w:after="20"/>
            </w:pPr>
            <w:r>
              <w:t xml:space="preserve">Number of trees, tree depth, features per split</w:t>
            </w:r>
          </w:p>
        </w:tc>
        <w:tc>
          <w:tcPr>
            <w:tcW w:w="3120" w:type="dxa"/>
          </w:tcPr>
          <w:p>
            <w:pPr>
              <w:spacing w:after="20"/>
            </w:pPr>
            <w:r>
              <w:t xml:space="preserve">More/deeper trees lower bias; fewer features per split decorrelate and reduce variance</w:t>
            </w:r>
          </w:p>
        </w:tc>
      </w:tr>
      <w:tr>
        <w:tc>
          <w:tcPr>
            <w:tcW w:w="3120" w:type="dxa"/>
          </w:tcPr>
          <w:p>
            <w:pPr>
              <w:spacing w:after="20"/>
            </w:pPr>
            <w:r>
              <w:t xml:space="preserve">Gradient boosting / XGBoost</w:t>
            </w:r>
          </w:p>
        </w:tc>
        <w:tc>
          <w:tcPr>
            <w:tcW w:w="3120" w:type="dxa"/>
          </w:tcPr>
          <w:p>
            <w:pPr>
              <w:spacing w:after="20"/>
            </w:pPr>
            <w:r>
              <w:t xml:space="preserve">Number of trees, learning rate, depth, subsample, regularization</w:t>
            </w:r>
          </w:p>
        </w:tc>
        <w:tc>
          <w:tcPr>
            <w:tcW w:w="3120" w:type="dxa"/>
          </w:tcPr>
          <w:p>
            <w:pPr>
              <w:spacing w:after="20"/>
            </w:pPr>
            <w:r>
              <w:t xml:space="preserve">More trees/depth lower bias, raise variance; smaller learning rate and more regularization reduce variance</w:t>
            </w:r>
          </w:p>
        </w:tc>
      </w:tr>
      <w:tr>
        <w:tc>
          <w:tcPr>
            <w:tcW w:w="3120" w:type="dxa"/>
          </w:tcPr>
          <w:p>
            <w:pPr>
              <w:spacing w:after="20"/>
            </w:pPr>
            <w:r>
              <w:t xml:space="preserve">Gaussian process</w:t>
            </w:r>
          </w:p>
        </w:tc>
        <w:tc>
          <w:tcPr>
            <w:tcW w:w="3120" w:type="dxa"/>
          </w:tcPr>
          <w:p>
            <w:pPr>
              <w:spacing w:after="20"/>
            </w:pPr>
            <w:r>
              <w:t xml:space="preserve">Kernel length scales, noise variance</w:t>
            </w:r>
          </w:p>
        </w:tc>
        <w:tc>
          <w:tcPr>
            <w:tcW w:w="3120" w:type="dxa"/>
          </w:tcPr>
          <w:p>
            <w:pPr>
              <w:spacing w:after="20"/>
            </w:pPr>
            <w:r>
              <w:t xml:space="preserve">Shorter length scales lower bias, raise variance; higher noise variance smooths the fit</w:t>
            </w:r>
          </w:p>
        </w:tc>
      </w:tr>
      <w:tr>
        <w:tc>
          <w:tcPr>
            <w:tcW w:w="3120" w:type="dxa"/>
          </w:tcPr>
          <w:p>
            <w:pPr>
              <w:spacing w:after="20"/>
            </w:pPr>
            <w:r>
              <w:t xml:space="preserve">k-nearest neighbours</w:t>
            </w:r>
          </w:p>
        </w:tc>
        <w:tc>
          <w:tcPr>
            <w:tcW w:w="3120" w:type="dxa"/>
          </w:tcPr>
          <w:p>
            <w:pPr>
              <w:spacing w:after="20"/>
            </w:pPr>
            <w:r>
              <w:t xml:space="preserve">k, distance metric, weighting</w:t>
            </w:r>
          </w:p>
        </w:tc>
        <w:tc>
          <w:tcPr>
            <w:tcW w:w="3120" w:type="dxa"/>
          </w:tcPr>
          <w:p>
            <w:pPr>
              <w:spacing w:after="20"/>
            </w:pPr>
            <w:r>
              <w:t xml:space="preserve">Larger k raises bias, lowers variance</w:t>
            </w:r>
          </w:p>
        </w:tc>
      </w:tr>
    </w:tbl>
    <w:p>
      <w:pPr>
        <w:spacing w:after="120"/>
      </w:pPr>
    </w:p>
    <w:p>
      <w:pPr>
        <w:pStyle w:val="Heading2"/>
      </w:pPr>
      <w:r>
        <w:t xml:space="preserve">9.9 Comparative Synthesis and Algorithm Selection</w:t>
      </w:r>
    </w:p>
    <w:p>
      <w:pPr>
        <w:pStyle w:val="Normal"/>
      </w:pPr>
      <w:r>
        <w:t xml:space="preserve">No algorithm dominates across all criteria; the appropriate choice balances accuracy, data efficiency, interpretability, uncertainty quantification, preprocessing burden, and tuning effort against the characteristics of the problem at hand. Table 11 synthesizes the comparison for the MAF context. In practice, the sound methodology is not to commit to a single algorithm a priori but to train and honestly cross-validate several diverse algorithms on the same data, compare them on held-out performance, and select—or combine by stacking—the best performers, while weighing secondary considerations such as the need for uncertainty estimates (favouring GPR) or interpretability (favouring tree ensembles). For the small, smooth, low-dimensional, interaction-laden datasets typical of MAF, three methods recur as strong performers: gradient-boosting frameworks such as XGBoost for peak accuracy on tabular data; Gaussian process regression where data are very scarce and calibrated uncertainty is required; and support vector regression as a robust, well-regularized baseline. Neural networks are competitive when data are relatively plentiful and are unmatched in flexibility but demand the most care against overfitting on small MAF datasets. This comparative, evidence-based approach to selection, rather than allegiance to a favoured method, is the hallmark of sound data-driven modelling practice [39], [40], [41], [42], [43], [44], [45], [46], [47], [48], [49], [50].</w:t>
      </w:r>
    </w:p>
    <w:p>
      <w:pPr>
        <w:pStyle w:val="TableCaption"/>
      </w:pPr>
      <w:r>
        <w:t xml:space="preserve">Table 11. Comparative synthesis of machine-learning algorithms for MAF surface-roughness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rPr>
          <w:tblHeader/>
        </w:trPr>
        <w:tc>
          <w:tcPr>
            <w:tcW w:w="1337" w:type="dxa"/>
            <w:shd w:val="clear" w:color="auto" w:fill="D9E2F3"/>
          </w:tcPr>
          <w:p>
            <w:pPr>
              <w:jc w:val="center"/>
              <w:spacing w:after="20"/>
            </w:pPr>
            <w:r>
              <w:rPr>
                <w:b/>
              </w:rPr>
              <w:t xml:space="preserve">Algorithm</w:t>
            </w:r>
          </w:p>
        </w:tc>
        <w:tc>
          <w:tcPr>
            <w:tcW w:w="1337" w:type="dxa"/>
            <w:shd w:val="clear" w:color="auto" w:fill="D9E2F3"/>
          </w:tcPr>
          <w:p>
            <w:pPr>
              <w:jc w:val="center"/>
              <w:spacing w:after="20"/>
            </w:pPr>
            <w:r>
              <w:rPr>
                <w:b/>
              </w:rPr>
              <w:t xml:space="preserve">Accuracy on small data</w:t>
            </w:r>
          </w:p>
        </w:tc>
        <w:tc>
          <w:tcPr>
            <w:tcW w:w="1337" w:type="dxa"/>
            <w:shd w:val="clear" w:color="auto" w:fill="D9E2F3"/>
          </w:tcPr>
          <w:p>
            <w:pPr>
              <w:jc w:val="center"/>
              <w:spacing w:after="20"/>
            </w:pPr>
            <w:r>
              <w:rPr>
                <w:b/>
              </w:rPr>
              <w:t xml:space="preserve">Data efficiency</w:t>
            </w:r>
          </w:p>
        </w:tc>
        <w:tc>
          <w:tcPr>
            <w:tcW w:w="1337" w:type="dxa"/>
            <w:shd w:val="clear" w:color="auto" w:fill="D9E2F3"/>
          </w:tcPr>
          <w:p>
            <w:pPr>
              <w:jc w:val="center"/>
              <w:spacing w:after="20"/>
            </w:pPr>
            <w:r>
              <w:rPr>
                <w:b/>
              </w:rPr>
              <w:t xml:space="preserve">Interpretability</w:t>
            </w:r>
          </w:p>
        </w:tc>
        <w:tc>
          <w:tcPr>
            <w:tcW w:w="1337" w:type="dxa"/>
            <w:shd w:val="clear" w:color="auto" w:fill="D9E2F3"/>
          </w:tcPr>
          <w:p>
            <w:pPr>
              <w:jc w:val="center"/>
              <w:spacing w:after="20"/>
            </w:pPr>
            <w:r>
              <w:rPr>
                <w:b/>
              </w:rPr>
              <w:t xml:space="preserve">Native uncertainty</w:t>
            </w:r>
          </w:p>
        </w:tc>
        <w:tc>
          <w:tcPr>
            <w:tcW w:w="1337" w:type="dxa"/>
            <w:shd w:val="clear" w:color="auto" w:fill="D9E2F3"/>
          </w:tcPr>
          <w:p>
            <w:pPr>
              <w:jc w:val="center"/>
              <w:spacing w:after="20"/>
            </w:pPr>
            <w:r>
              <w:rPr>
                <w:b/>
              </w:rPr>
              <w:t xml:space="preserve">Preprocessing burden</w:t>
            </w:r>
          </w:p>
        </w:tc>
        <w:tc>
          <w:tcPr>
            <w:tcW w:w="1337" w:type="dxa"/>
            <w:shd w:val="clear" w:color="auto" w:fill="D9E2F3"/>
          </w:tcPr>
          <w:p>
            <w:pPr>
              <w:jc w:val="center"/>
              <w:spacing w:after="20"/>
            </w:pPr>
            <w:r>
              <w:rPr>
                <w:b/>
              </w:rPr>
              <w:t xml:space="preserve">Tuning effort</w:t>
            </w:r>
          </w:p>
        </w:tc>
      </w:tr>
      <w:tr>
        <w:tc>
          <w:tcPr>
            <w:tcW w:w="1337" w:type="dxa"/>
          </w:tcPr>
          <w:p>
            <w:pPr>
              <w:spacing w:after="20"/>
            </w:pPr>
            <w:r>
              <w:t xml:space="preserve">Artificial neural network</w:t>
            </w:r>
          </w:p>
        </w:tc>
        <w:tc>
          <w:tcPr>
            <w:tcW w:w="1337" w:type="dxa"/>
          </w:tcPr>
          <w:p>
            <w:pPr>
              <w:spacing w:after="20"/>
            </w:pPr>
            <w:r>
              <w:t xml:space="preserve">Moderate–High</w:t>
            </w:r>
          </w:p>
        </w:tc>
        <w:tc>
          <w:tcPr>
            <w:tcW w:w="1337" w:type="dxa"/>
          </w:tcPr>
          <w:p>
            <w:pPr>
              <w:spacing w:after="20"/>
            </w:pPr>
            <w:r>
              <w:t xml:space="preserve">Low–Moderate</w:t>
            </w:r>
          </w:p>
        </w:tc>
        <w:tc>
          <w:tcPr>
            <w:tcW w:w="1337" w:type="dxa"/>
          </w:tcPr>
          <w:p>
            <w:pPr>
              <w:spacing w:after="20"/>
            </w:pPr>
            <w:r>
              <w:t xml:space="preserve">Low</w:t>
            </w:r>
          </w:p>
        </w:tc>
        <w:tc>
          <w:tcPr>
            <w:tcW w:w="1337" w:type="dxa"/>
          </w:tcPr>
          <w:p>
            <w:pPr>
              <w:spacing w:after="20"/>
            </w:pPr>
            <w:r>
              <w:t xml:space="preserve">No</w:t>
            </w:r>
          </w:p>
        </w:tc>
        <w:tc>
          <w:tcPr>
            <w:tcW w:w="1337" w:type="dxa"/>
          </w:tcPr>
          <w:p>
            <w:pPr>
              <w:spacing w:after="20"/>
            </w:pPr>
            <w:r>
              <w:t xml:space="preserve">High (scaling)</w:t>
            </w:r>
          </w:p>
        </w:tc>
        <w:tc>
          <w:tcPr>
            <w:tcW w:w="1337" w:type="dxa"/>
          </w:tcPr>
          <w:p>
            <w:pPr>
              <w:spacing w:after="20"/>
            </w:pPr>
            <w:r>
              <w:t xml:space="preserve">High</w:t>
            </w:r>
          </w:p>
        </w:tc>
      </w:tr>
      <w:tr>
        <w:tc>
          <w:tcPr>
            <w:tcW w:w="1337" w:type="dxa"/>
          </w:tcPr>
          <w:p>
            <w:pPr>
              <w:spacing w:after="20"/>
            </w:pPr>
            <w:r>
              <w:t xml:space="preserve">Support vector regression</w:t>
            </w:r>
          </w:p>
        </w:tc>
        <w:tc>
          <w:tcPr>
            <w:tcW w:w="1337" w:type="dxa"/>
          </w:tcPr>
          <w:p>
            <w:pPr>
              <w:spacing w:after="20"/>
            </w:pPr>
            <w:r>
              <w:t xml:space="preserve">High</w:t>
            </w:r>
          </w:p>
        </w:tc>
        <w:tc>
          <w:tcPr>
            <w:tcW w:w="1337" w:type="dxa"/>
          </w:tcPr>
          <w:p>
            <w:pPr>
              <w:spacing w:after="20"/>
            </w:pPr>
            <w:r>
              <w:t xml:space="preserve">High</w:t>
            </w:r>
          </w:p>
        </w:tc>
        <w:tc>
          <w:tcPr>
            <w:tcW w:w="1337" w:type="dxa"/>
          </w:tcPr>
          <w:p>
            <w:pPr>
              <w:spacing w:after="20"/>
            </w:pPr>
            <w:r>
              <w:t xml:space="preserve">Low</w:t>
            </w:r>
          </w:p>
        </w:tc>
        <w:tc>
          <w:tcPr>
            <w:tcW w:w="1337" w:type="dxa"/>
          </w:tcPr>
          <w:p>
            <w:pPr>
              <w:spacing w:after="20"/>
            </w:pPr>
            <w:r>
              <w:t xml:space="preserve">No</w:t>
            </w:r>
          </w:p>
        </w:tc>
        <w:tc>
          <w:tcPr>
            <w:tcW w:w="1337" w:type="dxa"/>
          </w:tcPr>
          <w:p>
            <w:pPr>
              <w:spacing w:after="20"/>
            </w:pPr>
            <w:r>
              <w:t xml:space="preserve">High (scaling)</w:t>
            </w:r>
          </w:p>
        </w:tc>
        <w:tc>
          <w:tcPr>
            <w:tcW w:w="1337" w:type="dxa"/>
          </w:tcPr>
          <w:p>
            <w:pPr>
              <w:spacing w:after="20"/>
            </w:pPr>
            <w:r>
              <w:t xml:space="preserve">Moderate</w:t>
            </w:r>
          </w:p>
        </w:tc>
      </w:tr>
      <w:tr>
        <w:tc>
          <w:tcPr>
            <w:tcW w:w="1337" w:type="dxa"/>
          </w:tcPr>
          <w:p>
            <w:pPr>
              <w:spacing w:after="20"/>
            </w:pPr>
            <w:r>
              <w:t xml:space="preserve">Random forest</w:t>
            </w:r>
          </w:p>
        </w:tc>
        <w:tc>
          <w:tcPr>
            <w:tcW w:w="1337" w:type="dxa"/>
          </w:tcPr>
          <w:p>
            <w:pPr>
              <w:spacing w:after="20"/>
            </w:pPr>
            <w:r>
              <w:t xml:space="preserve">High</w:t>
            </w:r>
          </w:p>
        </w:tc>
        <w:tc>
          <w:tcPr>
            <w:tcW w:w="1337" w:type="dxa"/>
          </w:tcPr>
          <w:p>
            <w:pPr>
              <w:spacing w:after="20"/>
            </w:pPr>
            <w:r>
              <w:t xml:space="preserve">Moderate</w:t>
            </w:r>
          </w:p>
        </w:tc>
        <w:tc>
          <w:tcPr>
            <w:tcW w:w="1337" w:type="dxa"/>
          </w:tcPr>
          <w:p>
            <w:pPr>
              <w:spacing w:after="20"/>
            </w:pPr>
            <w:r>
              <w:t xml:space="preserve">Moderate–High</w:t>
            </w:r>
          </w:p>
        </w:tc>
        <w:tc>
          <w:tcPr>
            <w:tcW w:w="1337" w:type="dxa"/>
          </w:tcPr>
          <w:p>
            <w:pPr>
              <w:spacing w:after="20"/>
            </w:pPr>
            <w:r>
              <w:t xml:space="preserve">Partial</w:t>
            </w:r>
          </w:p>
        </w:tc>
        <w:tc>
          <w:tcPr>
            <w:tcW w:w="1337" w:type="dxa"/>
          </w:tcPr>
          <w:p>
            <w:pPr>
              <w:spacing w:after="20"/>
            </w:pPr>
            <w:r>
              <w:t xml:space="preserve">Low</w:t>
            </w:r>
          </w:p>
        </w:tc>
        <w:tc>
          <w:tcPr>
            <w:tcW w:w="1337" w:type="dxa"/>
          </w:tcPr>
          <w:p>
            <w:pPr>
              <w:spacing w:after="20"/>
            </w:pPr>
            <w:r>
              <w:t xml:space="preserve">Low–Moderate</w:t>
            </w:r>
          </w:p>
        </w:tc>
      </w:tr>
      <w:tr>
        <w:tc>
          <w:tcPr>
            <w:tcW w:w="1337" w:type="dxa"/>
          </w:tcPr>
          <w:p>
            <w:pPr>
              <w:spacing w:after="20"/>
            </w:pPr>
            <w:r>
              <w:t xml:space="preserve">Gradient boosting</w:t>
            </w:r>
          </w:p>
        </w:tc>
        <w:tc>
          <w:tcPr>
            <w:tcW w:w="1337" w:type="dxa"/>
          </w:tcPr>
          <w:p>
            <w:pPr>
              <w:spacing w:after="20"/>
            </w:pPr>
            <w:r>
              <w:t xml:space="preserve">High</w:t>
            </w:r>
          </w:p>
        </w:tc>
        <w:tc>
          <w:tcPr>
            <w:tcW w:w="1337" w:type="dxa"/>
          </w:tcPr>
          <w:p>
            <w:pPr>
              <w:spacing w:after="20"/>
            </w:pPr>
            <w:r>
              <w:t xml:space="preserve">Moderate</w:t>
            </w:r>
          </w:p>
        </w:tc>
        <w:tc>
          <w:tcPr>
            <w:tcW w:w="1337" w:type="dxa"/>
          </w:tcPr>
          <w:p>
            <w:pPr>
              <w:spacing w:after="20"/>
            </w:pPr>
            <w:r>
              <w:t xml:space="preserve">Moderate</w:t>
            </w:r>
          </w:p>
        </w:tc>
        <w:tc>
          <w:tcPr>
            <w:tcW w:w="1337" w:type="dxa"/>
          </w:tcPr>
          <w:p>
            <w:pPr>
              <w:spacing w:after="20"/>
            </w:pPr>
            <w:r>
              <w:t xml:space="preserve">No</w:t>
            </w:r>
          </w:p>
        </w:tc>
        <w:tc>
          <w:tcPr>
            <w:tcW w:w="1337" w:type="dxa"/>
          </w:tcPr>
          <w:p>
            <w:pPr>
              <w:spacing w:after="20"/>
            </w:pPr>
            <w:r>
              <w:t xml:space="preserve">Low</w:t>
            </w:r>
          </w:p>
        </w:tc>
        <w:tc>
          <w:tcPr>
            <w:tcW w:w="1337" w:type="dxa"/>
          </w:tcPr>
          <w:p>
            <w:pPr>
              <w:spacing w:after="20"/>
            </w:pPr>
            <w:r>
              <w:t xml:space="preserve">High</w:t>
            </w:r>
          </w:p>
        </w:tc>
      </w:tr>
      <w:tr>
        <w:tc>
          <w:tcPr>
            <w:tcW w:w="1337" w:type="dxa"/>
          </w:tcPr>
          <w:p>
            <w:pPr>
              <w:spacing w:after="20"/>
            </w:pPr>
            <w:r>
              <w:t xml:space="preserve">XGBoost</w:t>
            </w:r>
          </w:p>
        </w:tc>
        <w:tc>
          <w:tcPr>
            <w:tcW w:w="1337" w:type="dxa"/>
          </w:tcPr>
          <w:p>
            <w:pPr>
              <w:spacing w:after="20"/>
            </w:pPr>
            <w:r>
              <w:t xml:space="preserve">High–Very high</w:t>
            </w:r>
          </w:p>
        </w:tc>
        <w:tc>
          <w:tcPr>
            <w:tcW w:w="1337" w:type="dxa"/>
          </w:tcPr>
          <w:p>
            <w:pPr>
              <w:spacing w:after="20"/>
            </w:pPr>
            <w:r>
              <w:t xml:space="preserve">Moderate</w:t>
            </w:r>
          </w:p>
        </w:tc>
        <w:tc>
          <w:tcPr>
            <w:tcW w:w="1337" w:type="dxa"/>
          </w:tcPr>
          <w:p>
            <w:pPr>
              <w:spacing w:after="20"/>
            </w:pPr>
            <w:r>
              <w:t xml:space="preserve">Moderate</w:t>
            </w:r>
          </w:p>
        </w:tc>
        <w:tc>
          <w:tcPr>
            <w:tcW w:w="1337" w:type="dxa"/>
          </w:tcPr>
          <w:p>
            <w:pPr>
              <w:spacing w:after="20"/>
            </w:pPr>
            <w:r>
              <w:t xml:space="preserve">No</w:t>
            </w:r>
          </w:p>
        </w:tc>
        <w:tc>
          <w:tcPr>
            <w:tcW w:w="1337" w:type="dxa"/>
          </w:tcPr>
          <w:p>
            <w:pPr>
              <w:spacing w:after="20"/>
            </w:pPr>
            <w:r>
              <w:t xml:space="preserve">Low</w:t>
            </w:r>
          </w:p>
        </w:tc>
        <w:tc>
          <w:tcPr>
            <w:tcW w:w="1337" w:type="dxa"/>
          </w:tcPr>
          <w:p>
            <w:pPr>
              <w:spacing w:after="20"/>
            </w:pPr>
            <w:r>
              <w:t xml:space="preserve">High</w:t>
            </w:r>
          </w:p>
        </w:tc>
      </w:tr>
      <w:tr>
        <w:tc>
          <w:tcPr>
            <w:tcW w:w="1337" w:type="dxa"/>
          </w:tcPr>
          <w:p>
            <w:pPr>
              <w:spacing w:after="20"/>
            </w:pPr>
            <w:r>
              <w:t xml:space="preserve">Gaussian process</w:t>
            </w:r>
          </w:p>
        </w:tc>
        <w:tc>
          <w:tcPr>
            <w:tcW w:w="1337" w:type="dxa"/>
          </w:tcPr>
          <w:p>
            <w:pPr>
              <w:spacing w:after="20"/>
            </w:pPr>
            <w:r>
              <w:t xml:space="preserve">High</w:t>
            </w:r>
          </w:p>
        </w:tc>
        <w:tc>
          <w:tcPr>
            <w:tcW w:w="1337" w:type="dxa"/>
          </w:tcPr>
          <w:p>
            <w:pPr>
              <w:spacing w:after="20"/>
            </w:pPr>
            <w:r>
              <w:t xml:space="preserve">Very high</w:t>
            </w:r>
          </w:p>
        </w:tc>
        <w:tc>
          <w:tcPr>
            <w:tcW w:w="1337" w:type="dxa"/>
          </w:tcPr>
          <w:p>
            <w:pPr>
              <w:spacing w:after="20"/>
            </w:pPr>
            <w:r>
              <w:t xml:space="preserve">Moderate</w:t>
            </w:r>
          </w:p>
        </w:tc>
        <w:tc>
          <w:tcPr>
            <w:tcW w:w="1337" w:type="dxa"/>
          </w:tcPr>
          <w:p>
            <w:pPr>
              <w:spacing w:after="20"/>
            </w:pPr>
            <w:r>
              <w:t xml:space="preserve">Yes (calibrated)</w:t>
            </w:r>
          </w:p>
        </w:tc>
        <w:tc>
          <w:tcPr>
            <w:tcW w:w="1337" w:type="dxa"/>
          </w:tcPr>
          <w:p>
            <w:pPr>
              <w:spacing w:after="20"/>
            </w:pPr>
            <w:r>
              <w:t xml:space="preserve">Moderate (scaling)</w:t>
            </w:r>
          </w:p>
        </w:tc>
        <w:tc>
          <w:tcPr>
            <w:tcW w:w="1337" w:type="dxa"/>
          </w:tcPr>
          <w:p>
            <w:pPr>
              <w:spacing w:after="20"/>
            </w:pPr>
            <w:r>
              <w:t xml:space="preserve">Moderate</w:t>
            </w:r>
          </w:p>
        </w:tc>
      </w:tr>
      <w:tr>
        <w:tc>
          <w:tcPr>
            <w:tcW w:w="1337" w:type="dxa"/>
          </w:tcPr>
          <w:p>
            <w:pPr>
              <w:spacing w:after="20"/>
            </w:pPr>
            <w:r>
              <w:t xml:space="preserve">k-nearest neighbours</w:t>
            </w:r>
          </w:p>
        </w:tc>
        <w:tc>
          <w:tcPr>
            <w:tcW w:w="1337" w:type="dxa"/>
          </w:tcPr>
          <w:p>
            <w:pPr>
              <w:spacing w:after="20"/>
            </w:pPr>
            <w:r>
              <w:t xml:space="preserve">Low–Moderate</w:t>
            </w:r>
          </w:p>
        </w:tc>
        <w:tc>
          <w:tcPr>
            <w:tcW w:w="1337" w:type="dxa"/>
          </w:tcPr>
          <w:p>
            <w:pPr>
              <w:spacing w:after="20"/>
            </w:pPr>
            <w:r>
              <w:t xml:space="preserve">Low</w:t>
            </w:r>
          </w:p>
        </w:tc>
        <w:tc>
          <w:tcPr>
            <w:tcW w:w="1337" w:type="dxa"/>
          </w:tcPr>
          <w:p>
            <w:pPr>
              <w:spacing w:after="20"/>
            </w:pPr>
            <w:r>
              <w:t xml:space="preserve">High</w:t>
            </w:r>
          </w:p>
        </w:tc>
        <w:tc>
          <w:tcPr>
            <w:tcW w:w="1337" w:type="dxa"/>
          </w:tcPr>
          <w:p>
            <w:pPr>
              <w:spacing w:after="20"/>
            </w:pPr>
            <w:r>
              <w:t xml:space="preserve">No</w:t>
            </w:r>
          </w:p>
        </w:tc>
        <w:tc>
          <w:tcPr>
            <w:tcW w:w="1337" w:type="dxa"/>
          </w:tcPr>
          <w:p>
            <w:pPr>
              <w:spacing w:after="20"/>
            </w:pPr>
            <w:r>
              <w:t xml:space="preserve">High (scaling)</w:t>
            </w:r>
          </w:p>
        </w:tc>
        <w:tc>
          <w:tcPr>
            <w:tcW w:w="1337" w:type="dxa"/>
          </w:tcPr>
          <w:p>
            <w:pPr>
              <w:spacing w:after="20"/>
            </w:pPr>
            <w:r>
              <w:t xml:space="preserve">Low</w:t>
            </w:r>
          </w:p>
        </w:tc>
      </w:tr>
    </w:tbl>
    <w:p>
      <w:pPr>
        <w:spacing w:after="120"/>
      </w:pPr>
    </w:p>
    <w:p>
      <w:pPr>
        <w:pStyle w:val="FigureImg"/>
      </w:pPr>
      <w:r>
        <w:drawing>
          <wp:inline xmlns:wp="http://schemas.openxmlformats.org/drawingml/2006/wordprocessingDrawing" distT="0" distB="0" distL="0" distR="0">
            <wp:extent cx="5486400" cy="3465094"/>
            <wp:effectExtent l="0" t="0" r="0" b="0"/>
            <wp:docPr id="1287175309"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5309" name="Figure 13"/>
                    <pic:cNvPicPr/>
                  </pic:nvPicPr>
                  <pic:blipFill>
                    <a:blip xmlns:r="http://schemas.openxmlformats.org/officeDocument/2006/relationships" r:embed="rId13"/>
                    <a:stretch>
                      <a:fillRect/>
                    </a:stretch>
                  </pic:blipFill>
                  <pic:spPr>
                    <a:xfrm>
                      <a:off x="0" y="0"/>
                      <a:ext cx="5486400" cy="3465094"/>
                    </a:xfrm>
                    <a:prstGeom prst="rect">
                      <a:avLst/>
                    </a:prstGeom>
                  </pic:spPr>
                </pic:pic>
              </a:graphicData>
            </a:graphic>
          </wp:inline>
        </w:drawing>
      </w:r>
    </w:p>
    <w:p>
      <w:pPr>
        <w:pStyle w:val="FigureCaption"/>
      </w:pPr>
      <w:r>
        <w:t xml:space="preserve">Figure 13. Qualitative comparison of the response surfaces produced by different algorithm families over a two-parameter slice of the MAF input space: the smooth surfaces of neural networks, SVR, and Gaussian processes contrasted with the piecewise-constant, stepped surfaces of tree ensembles, illustrating the smoothness–flexibility characteristics discussed in the text.</w:t>
      </w:r>
    </w:p>
    <w:p>
      <w:pPr>
        <w:pStyle w:val="FigureImg"/>
      </w:pPr>
      <w:r>
        <w:drawing>
          <wp:inline xmlns:wp="http://schemas.openxmlformats.org/drawingml/2006/wordprocessingDrawing" distT="0" distB="0" distL="0" distR="0">
            <wp:extent cx="5486400" cy="3465094"/>
            <wp:effectExtent l="0" t="0" r="0" b="0"/>
            <wp:docPr id="731939465"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39465" name="Figure 14"/>
                    <pic:cNvPicPr/>
                  </pic:nvPicPr>
                  <pic:blipFill>
                    <a:blip xmlns:r="http://schemas.openxmlformats.org/officeDocument/2006/relationships" r:embed="rId14"/>
                    <a:stretch>
                      <a:fillRect/>
                    </a:stretch>
                  </pic:blipFill>
                  <pic:spPr>
                    <a:xfrm>
                      <a:off x="0" y="0"/>
                      <a:ext cx="5486400" cy="3465094"/>
                    </a:xfrm>
                    <a:prstGeom prst="rect">
                      <a:avLst/>
                    </a:prstGeom>
                  </pic:spPr>
                </pic:pic>
              </a:graphicData>
            </a:graphic>
          </wp:inline>
        </w:drawing>
      </w:r>
    </w:p>
    <w:p>
      <w:pPr>
        <w:pStyle w:val="FigureCaption"/>
      </w:pPr>
      <w:r>
        <w:t xml:space="preserve">Figure 14. Predicted-versus-measured surface roughness for a suite of algorithms on a common held-out MAF test set, with the ideal unit-slope line, illustrating how model quality is visualized and compared and how systematic bias and heteroscedastic error manifest in such plots.</w:t>
      </w:r>
    </w:p>
    <w:p>
      <w:pPr>
        <w:pStyle w:val="Heading1"/>
      </w:pPr>
      <w:r>
        <w:t xml:space="preserve">10. Model Training, Validation, and Hyperparameter Optimization</w:t>
      </w:r>
    </w:p>
    <w:p>
      <w:pPr>
        <w:pStyle w:val="Heading2"/>
      </w:pPr>
      <w:r>
        <w:t xml:space="preserve">10.1 The Bias–Variance Trade-off in Practice</w:t>
      </w:r>
    </w:p>
    <w:p>
      <w:pPr>
        <w:pStyle w:val="Normal"/>
      </w:pPr>
      <w:r>
        <w:t xml:space="preserve">The central practical challenge in training any of the algorithms of Section 9 is to navigate the bias–variance trade-off so that the model neither underfits nor overfits. A model of insufficient capacity—too few hidden units, too shallow a tree ensemble, too strong a regularization—underfits: it cannot represent the true response and exhibits high bias, performing poorly on both training and test data. A model of excessive capacity relative to the available data overfits: it fits the training data closely, including its noise, and exhibits high variance, performing well on training data but poorly on unseen data. The signature of overfitting is a large gap between training and validation performance; the signature of underfitting is poor performance on both. The art of model training is to find the capacity, and the degree of regularization, at which validation performance is optimized—the point at which the model has extracted the genuine signal without absorbing the noise. For the small datasets typical of MAF, the danger lies overwhelmingly on the overfitting side, and the corresponding disciplines—regularization, early stopping, cross-validation, and restraint in model capacity—are correspondingly important.</w:t>
      </w:r>
    </w:p>
    <w:p>
      <w:pPr>
        <w:pStyle w:val="Heading2"/>
      </w:pPr>
      <w:r>
        <w:t xml:space="preserve">10.2 Performance Metrics for Regression</w:t>
      </w:r>
    </w:p>
    <w:p>
      <w:pPr>
        <w:pStyle w:val="Normal"/>
      </w:pPr>
      <w:r>
        <w:t xml:space="preserve">Honest reporting of model performance requires appropriate metrics, computed on data withheld from training. Several complementary metrics are used for regression, each illuminating a different aspect of performance, and Table 12 collects them. The </w:t>
      </w:r>
      <w:r>
        <w:rPr>
          <w:b/>
        </w:rPr>
        <w:t xml:space="preserve">coefficient of determination</w:t>
      </w:r>
      <w:r>
        <w:t xml:space="preserve">, R², reports the fraction of the variance in the response explained by the model, ranging from one for a perfect fit downward; it is dimensionless and intuitive but can be misleadingly high when the response has a wide range and can be negative for a model worse than predicting the mean. The </w:t>
      </w:r>
      <w:r>
        <w:rPr>
          <w:b/>
        </w:rPr>
        <w:t xml:space="preserve">root mean squared error</w:t>
      </w:r>
      <w:r>
        <w:t xml:space="preserve">, RMSE, is the square root of the mean squared prediction error, expressed in the units of the response (micrometres of Ra); it penalizes large errors heavily and is the metric most directly comparable to the physical tolerance of interest. The </w:t>
      </w:r>
      <w:r>
        <w:rPr>
          <w:b/>
        </w:rPr>
        <w:t xml:space="preserve">mean absolute error</w:t>
      </w:r>
      <w:r>
        <w:t xml:space="preserve">, MAE, is the mean of the absolute prediction errors, also in the response units; it is more robust to occasional large errors than RMSE and reports the typical error magnitude. The </w:t>
      </w:r>
      <w:r>
        <w:rPr>
          <w:b/>
        </w:rPr>
        <w:t xml:space="preserve">mean absolute percentage error</w:t>
      </w:r>
      <w:r>
        <w:t xml:space="preserve">, MAPE, expresses the error relative to the measured value and permits comparison across responses of different magnitude, though it is unstable when measured values approach zero. No single metric suffices: R² conveys explanatory power, RMSE and MAE convey error magnitude in physical units, and MAPE conveys relative error, and reporting several together gives a rounded picture. It is equally important to report the metric on the held-out test set, not the training set, and to accompany point estimates with an indication of their variability across cross-validation folds, so that the reader can judge both the level and the stability of performance.</w:t>
      </w:r>
    </w:p>
    <w:p>
      <w:pPr>
        <w:pStyle w:val="TableCaption"/>
      </w:pPr>
      <w:r>
        <w:t xml:space="preserve">Table 12. Regression performance metrics for evaluating MAF surface-roughness models.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jc w:val="center"/>
              <w:spacing w:after="20"/>
            </w:pPr>
            <w:r>
              <w:rPr>
                <w:b/>
              </w:rPr>
              <w:t xml:space="preserve">Metric</w:t>
            </w:r>
          </w:p>
        </w:tc>
        <w:tc>
          <w:tcPr>
            <w:tcW w:w="1872" w:type="dxa"/>
            <w:shd w:val="clear" w:color="auto" w:fill="D9E2F3"/>
          </w:tcPr>
          <w:p>
            <w:pPr>
              <w:jc w:val="center"/>
              <w:spacing w:after="20"/>
            </w:pPr>
            <w:r>
              <w:rPr>
                <w:b/>
              </w:rPr>
              <w:t xml:space="preserve">Symbol</w:t>
            </w:r>
          </w:p>
        </w:tc>
        <w:tc>
          <w:tcPr>
            <w:tcW w:w="1872" w:type="dxa"/>
            <w:shd w:val="clear" w:color="auto" w:fill="D9E2F3"/>
          </w:tcPr>
          <w:p>
            <w:pPr>
              <w:jc w:val="center"/>
              <w:spacing w:after="20"/>
            </w:pPr>
            <w:r>
              <w:rPr>
                <w:b/>
              </w:rPr>
              <w:t xml:space="preserve">What it measures</w:t>
            </w:r>
          </w:p>
        </w:tc>
        <w:tc>
          <w:tcPr>
            <w:tcW w:w="1872" w:type="dxa"/>
            <w:shd w:val="clear" w:color="auto" w:fill="D9E2F3"/>
          </w:tcPr>
          <w:p>
            <w:pPr>
              <w:jc w:val="center"/>
              <w:spacing w:after="20"/>
            </w:pPr>
            <w:r>
              <w:rPr>
                <w:b/>
              </w:rPr>
              <w:t xml:space="preserve">Units</w:t>
            </w:r>
          </w:p>
        </w:tc>
        <w:tc>
          <w:tcPr>
            <w:tcW w:w="1872" w:type="dxa"/>
            <w:shd w:val="clear" w:color="auto" w:fill="D9E2F3"/>
          </w:tcPr>
          <w:p>
            <w:pPr>
              <w:jc w:val="center"/>
              <w:spacing w:after="20"/>
            </w:pPr>
            <w:r>
              <w:rPr>
                <w:b/>
              </w:rPr>
              <w:t xml:space="preserve">Notes</w:t>
            </w:r>
          </w:p>
        </w:tc>
      </w:tr>
      <w:tr>
        <w:tc>
          <w:tcPr>
            <w:tcW w:w="1872" w:type="dxa"/>
          </w:tcPr>
          <w:p>
            <w:pPr>
              <w:spacing w:after="20"/>
            </w:pPr>
            <w:r>
              <w:t xml:space="preserve">Coefficient of determination</w:t>
            </w:r>
          </w:p>
        </w:tc>
        <w:tc>
          <w:tcPr>
            <w:tcW w:w="1872" w:type="dxa"/>
          </w:tcPr>
          <w:p>
            <w:pPr>
              <w:spacing w:after="20"/>
            </w:pPr>
            <w:r>
              <w:t xml:space="preserve">R²</w:t>
            </w:r>
          </w:p>
        </w:tc>
        <w:tc>
          <w:tcPr>
            <w:tcW w:w="1872" w:type="dxa"/>
          </w:tcPr>
          <w:p>
            <w:pPr>
              <w:spacing w:after="20"/>
            </w:pPr>
            <w:r>
              <w:t xml:space="preserve">Fraction of response variance explained</w:t>
            </w:r>
          </w:p>
        </w:tc>
        <w:tc>
          <w:tcPr>
            <w:tcW w:w="1872" w:type="dxa"/>
          </w:tcPr>
          <w:p>
            <w:pPr>
              <w:spacing w:after="20"/>
            </w:pPr>
            <w:r>
              <w:t xml:space="preserve">Dimensionless</w:t>
            </w:r>
          </w:p>
        </w:tc>
        <w:tc>
          <w:tcPr>
            <w:tcW w:w="1872" w:type="dxa"/>
          </w:tcPr>
          <w:p>
            <w:pPr>
              <w:spacing w:after="20"/>
            </w:pPr>
            <w:r>
              <w:t xml:space="preserve">Intuitive; can mislead with wide response range</w:t>
            </w:r>
          </w:p>
        </w:tc>
      </w:tr>
      <w:tr>
        <w:tc>
          <w:tcPr>
            <w:tcW w:w="1872" w:type="dxa"/>
          </w:tcPr>
          <w:p>
            <w:pPr>
              <w:spacing w:after="20"/>
            </w:pPr>
            <w:r>
              <w:t xml:space="preserve">Root mean squared error</w:t>
            </w:r>
          </w:p>
        </w:tc>
        <w:tc>
          <w:tcPr>
            <w:tcW w:w="1872" w:type="dxa"/>
          </w:tcPr>
          <w:p>
            <w:pPr>
              <w:spacing w:after="20"/>
            </w:pPr>
            <w:r>
              <w:t xml:space="preserve">RMSE</w:t>
            </w:r>
          </w:p>
        </w:tc>
        <w:tc>
          <w:tcPr>
            <w:tcW w:w="1872" w:type="dxa"/>
          </w:tcPr>
          <w:p>
            <w:pPr>
              <w:spacing w:after="20"/>
            </w:pPr>
            <w:r>
              <w:t xml:space="preserve">Square-root mean squared error</w:t>
            </w:r>
          </w:p>
        </w:tc>
        <w:tc>
          <w:tcPr>
            <w:tcW w:w="1872" w:type="dxa"/>
          </w:tcPr>
          <w:p>
            <w:pPr>
              <w:spacing w:after="20"/>
            </w:pPr>
            <w:r>
              <w:t xml:space="preserve">Response units (µm)</w:t>
            </w:r>
          </w:p>
        </w:tc>
        <w:tc>
          <w:tcPr>
            <w:tcW w:w="1872" w:type="dxa"/>
          </w:tcPr>
          <w:p>
            <w:pPr>
              <w:spacing w:after="20"/>
            </w:pPr>
            <w:r>
              <w:t xml:space="preserve">Penalizes large errors; comparable to tolerances</w:t>
            </w:r>
          </w:p>
        </w:tc>
      </w:tr>
      <w:tr>
        <w:tc>
          <w:tcPr>
            <w:tcW w:w="1872" w:type="dxa"/>
          </w:tcPr>
          <w:p>
            <w:pPr>
              <w:spacing w:after="20"/>
            </w:pPr>
            <w:r>
              <w:t xml:space="preserve">Mean absolute error</w:t>
            </w:r>
          </w:p>
        </w:tc>
        <w:tc>
          <w:tcPr>
            <w:tcW w:w="1872" w:type="dxa"/>
          </w:tcPr>
          <w:p>
            <w:pPr>
              <w:spacing w:after="20"/>
            </w:pPr>
            <w:r>
              <w:t xml:space="preserve">MAE</w:t>
            </w:r>
          </w:p>
        </w:tc>
        <w:tc>
          <w:tcPr>
            <w:tcW w:w="1872" w:type="dxa"/>
          </w:tcPr>
          <w:p>
            <w:pPr>
              <w:spacing w:after="20"/>
            </w:pPr>
            <w:r>
              <w:t xml:space="preserve">Mean absolute error</w:t>
            </w:r>
          </w:p>
        </w:tc>
        <w:tc>
          <w:tcPr>
            <w:tcW w:w="1872" w:type="dxa"/>
          </w:tcPr>
          <w:p>
            <w:pPr>
              <w:spacing w:after="20"/>
            </w:pPr>
            <w:r>
              <w:t xml:space="preserve">Response units (µm)</w:t>
            </w:r>
          </w:p>
        </w:tc>
        <w:tc>
          <w:tcPr>
            <w:tcW w:w="1872" w:type="dxa"/>
          </w:tcPr>
          <w:p>
            <w:pPr>
              <w:spacing w:after="20"/>
            </w:pPr>
            <w:r>
              <w:t xml:space="preserve">Robust; reports typical error magnitude</w:t>
            </w:r>
          </w:p>
        </w:tc>
      </w:tr>
      <w:tr>
        <w:tc>
          <w:tcPr>
            <w:tcW w:w="1872" w:type="dxa"/>
          </w:tcPr>
          <w:p>
            <w:pPr>
              <w:spacing w:after="20"/>
            </w:pPr>
            <w:r>
              <w:t xml:space="preserve">Mean absolute percentage error</w:t>
            </w:r>
          </w:p>
        </w:tc>
        <w:tc>
          <w:tcPr>
            <w:tcW w:w="1872" w:type="dxa"/>
          </w:tcPr>
          <w:p>
            <w:pPr>
              <w:spacing w:after="20"/>
            </w:pPr>
            <w:r>
              <w:t xml:space="preserve">MAPE</w:t>
            </w:r>
          </w:p>
        </w:tc>
        <w:tc>
          <w:tcPr>
            <w:tcW w:w="1872" w:type="dxa"/>
          </w:tcPr>
          <w:p>
            <w:pPr>
              <w:spacing w:after="20"/>
            </w:pPr>
            <w:r>
              <w:t xml:space="preserve">Mean relative error</w:t>
            </w:r>
          </w:p>
        </w:tc>
        <w:tc>
          <w:tcPr>
            <w:tcW w:w="1872" w:type="dxa"/>
          </w:tcPr>
          <w:p>
            <w:pPr>
              <w:spacing w:after="20"/>
            </w:pPr>
            <w:r>
              <w:t xml:space="preserve">Per cent</w:t>
            </w:r>
          </w:p>
        </w:tc>
        <w:tc>
          <w:tcPr>
            <w:tcW w:w="1872" w:type="dxa"/>
          </w:tcPr>
          <w:p>
            <w:pPr>
              <w:spacing w:after="20"/>
            </w:pPr>
            <w:r>
              <w:t xml:space="preserve">Comparable across scales; unstable near zero</w:t>
            </w:r>
          </w:p>
        </w:tc>
      </w:tr>
      <w:tr>
        <w:tc>
          <w:tcPr>
            <w:tcW w:w="1872" w:type="dxa"/>
          </w:tcPr>
          <w:p>
            <w:pPr>
              <w:spacing w:after="20"/>
            </w:pPr>
            <w:r>
              <w:t xml:space="preserve">Maximum absolute error</w:t>
            </w:r>
          </w:p>
        </w:tc>
        <w:tc>
          <w:tcPr>
            <w:tcW w:w="1872" w:type="dxa"/>
          </w:tcPr>
          <w:p>
            <w:pPr>
              <w:spacing w:after="20"/>
            </w:pPr>
            <w:r>
              <w:t xml:space="preserve">—</w:t>
            </w:r>
          </w:p>
        </w:tc>
        <w:tc>
          <w:tcPr>
            <w:tcW w:w="1872" w:type="dxa"/>
          </w:tcPr>
          <w:p>
            <w:pPr>
              <w:spacing w:after="20"/>
            </w:pPr>
            <w:r>
              <w:t xml:space="preserve">Worst-case error</w:t>
            </w:r>
          </w:p>
        </w:tc>
        <w:tc>
          <w:tcPr>
            <w:tcW w:w="1872" w:type="dxa"/>
          </w:tcPr>
          <w:p>
            <w:pPr>
              <w:spacing w:after="20"/>
            </w:pPr>
            <w:r>
              <w:t xml:space="preserve">Response units (µm)</w:t>
            </w:r>
          </w:p>
        </w:tc>
        <w:tc>
          <w:tcPr>
            <w:tcW w:w="1872" w:type="dxa"/>
          </w:tcPr>
          <w:p>
            <w:pPr>
              <w:spacing w:after="20"/>
            </w:pPr>
            <w:r>
              <w:t xml:space="preserve">Relevant for safety-critical tolerances</w:t>
            </w:r>
          </w:p>
        </w:tc>
      </w:tr>
    </w:tbl>
    <w:p>
      <w:pPr>
        <w:spacing w:after="120"/>
      </w:pPr>
    </w:p>
    <w:p>
      <w:pPr>
        <w:pStyle w:val="Heading2"/>
      </w:pPr>
      <w:r>
        <w:t xml:space="preserve">10.3 Diagnostic Visualization</w:t>
      </w:r>
    </w:p>
    <w:p>
      <w:pPr>
        <w:pStyle w:val="Normal"/>
      </w:pPr>
      <w:r>
        <w:t xml:space="preserve">Numerical metrics summarize performance in single numbers, but diagnostic plots reveal patterns that the numbers conceal. The </w:t>
      </w:r>
      <w:r>
        <w:rPr>
          <w:b/>
        </w:rPr>
        <w:t xml:space="preserve">predicted-versus-measured scatter plot</w:t>
      </w:r>
      <w:r>
        <w:t xml:space="preserve">, introduced in Figure 14, displays each test point against the ideal unit-slope line; systematic departure from the line indicates bias, a fanning of the scatter indicates error that grows with the response (heteroscedasticity), and isolated far-off points indicate outliers or regimes the model handles poorly. The </w:t>
      </w:r>
      <w:r>
        <w:rPr>
          <w:b/>
        </w:rPr>
        <w:t xml:space="preserve">residual plot</w:t>
      </w:r>
      <w:r>
        <w:t xml:space="preserve">, displaying the prediction errors against the predicted value or against each input, reveals whether the errors are randomly distributed—as they should be if the model has captured the systematic structure—or whether they exhibit trends that betray unmodelled structure. </w:t>
      </w:r>
      <w:r>
        <w:rPr>
          <w:b/>
        </w:rPr>
        <w:t xml:space="preserve">Learning curves</w:t>
      </w:r>
      <w:r>
        <w:t xml:space="preserve">, plotting training and validation error against the size of the training set, diagnose whether performance is limited by insufficient data (both curves still improving and converging as data grow, suggesting more data would help) or by insufficient model capacity or irreducible noise (curves plateaued with a persistent gap or at a high floor). These diagnostics are indispensable complements to the summary metrics and should accompany any serious model evaluation. Figure 15 illustrates a representative set of learning curves.</w:t>
      </w:r>
    </w:p>
    <w:p>
      <w:pPr>
        <w:pStyle w:val="FigureImg"/>
      </w:pPr>
      <w:r>
        <w:drawing>
          <wp:inline xmlns:wp="http://schemas.openxmlformats.org/drawingml/2006/wordprocessingDrawing" distT="0" distB="0" distL="0" distR="0">
            <wp:extent cx="5486400" cy="3465094"/>
            <wp:effectExtent l="0" t="0" r="0" b="0"/>
            <wp:docPr id="128174390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3905" name="Figure 15"/>
                    <pic:cNvPicPr/>
                  </pic:nvPicPr>
                  <pic:blipFill>
                    <a:blip xmlns:r="http://schemas.openxmlformats.org/officeDocument/2006/relationships" r:embed="rId15"/>
                    <a:stretch>
                      <a:fillRect/>
                    </a:stretch>
                  </pic:blipFill>
                  <pic:spPr>
                    <a:xfrm>
                      <a:off x="0" y="0"/>
                      <a:ext cx="5486400" cy="3465094"/>
                    </a:xfrm>
                    <a:prstGeom prst="rect">
                      <a:avLst/>
                    </a:prstGeom>
                  </pic:spPr>
                </pic:pic>
              </a:graphicData>
            </a:graphic>
          </wp:inline>
        </w:drawing>
      </w:r>
    </w:p>
    <w:p>
      <w:pPr>
        <w:pStyle w:val="FigureCaption"/>
      </w:pPr>
      <w:r>
        <w:t xml:space="preserve">Figure 15. Learning curves for MAF roughness models, plotting training and validation error against the number of training runs. Converging curves that are still descending indicate that additional experiments would improve the model; a wide persistent gap indicates overfitting; a high common plateau indicates underfitting or an irreducible noise floor set by measurement repeatability.</w:t>
      </w:r>
    </w:p>
    <w:p>
      <w:pPr>
        <w:pStyle w:val="Heading2"/>
      </w:pPr>
      <w:r>
        <w:t xml:space="preserve">10.4 Hyperparameter Optimization</w:t>
      </w:r>
    </w:p>
    <w:p>
      <w:pPr>
        <w:pStyle w:val="Normal"/>
      </w:pPr>
      <w:r>
        <w:t xml:space="preserve">Every algorithm of Section 9 has hyperparameters—settings that are not learned from the data during ordinary training but must be chosen by the analyst, such as the number of hidden units and the regularization strength of a neural network, the regularization constant and kernel width of an SVR, or the number of trees, depth, and learning rate of a gradient-boosting model. The choice of hyperparameters governs the bias–variance trade-off and can matter as much as the choice of algorithm; a well-tuned SVR routinely outperforms a poorly tuned neural network and vice versa. Hyperparameter optimization is therefore an essential, not an optional, step, and it must be conducted without contaminating the test set.</w:t>
      </w:r>
    </w:p>
    <w:p>
      <w:pPr>
        <w:pStyle w:val="Normal"/>
      </w:pPr>
      <w:r>
        <w:t xml:space="preserve">Several strategies are used. </w:t>
      </w:r>
      <w:r>
        <w:rPr>
          <w:b/>
        </w:rPr>
        <w:t xml:space="preserve">Grid search</w:t>
      </w:r>
      <w:r>
        <w:t xml:space="preserve"> exhaustively evaluates every combination of a discretized set of hyperparameter values; it is simple and thorough but scales exponentially with the number of hyperparameters and wastes effort on unpromising regions. </w:t>
      </w:r>
      <w:r>
        <w:rPr>
          <w:b/>
        </w:rPr>
        <w:t xml:space="preserve">Random search</w:t>
      </w:r>
      <w:r>
        <w:t xml:space="preserve"> samples hyperparameter combinations at random from specified ranges; counterintuitively, it is often more efficient than grid search because, when only a few hyperparameters matter, it explores those few more finely for a given budget. </w:t>
      </w:r>
      <w:r>
        <w:rPr>
          <w:b/>
        </w:rPr>
        <w:t xml:space="preserve">Bayesian optimization</w:t>
      </w:r>
      <w:r>
        <w:t xml:space="preserve"> builds a probabilistic surrogate model (often a Gaussian process) of the validation performance as a function of the hyperparameters and uses it to propose the most promising combinations to evaluate next, balancing the exploration of uncertain regions against the exploitation of regions known to perform well; it is markedly more sample-efficient than grid or random search and is the method of choice when each evaluation is expensive. </w:t>
      </w:r>
      <w:r>
        <w:rPr>
          <w:b/>
        </w:rPr>
        <w:t xml:space="preserve">Evolutionary and population-based methods</w:t>
      </w:r>
      <w:r>
        <w:t xml:space="preserve"> maintain and iteratively improve a population of hyperparameter configurations. Whatever the search strategy, the evaluation of each candidate configuration must be performed by cross-validation on the training and validation data, never on the test set.</w:t>
      </w:r>
    </w:p>
    <w:p>
      <w:pPr>
        <w:pStyle w:val="Heading2"/>
      </w:pPr>
      <w:r>
        <w:t xml:space="preserve">10.5 Nested Cross-Validation and the Prevention of Leakage</w:t>
      </w:r>
    </w:p>
    <w:p>
      <w:pPr>
        <w:pStyle w:val="Normal"/>
      </w:pPr>
      <w:r>
        <w:t xml:space="preserve">A subtle but critical methodological point concerns the interaction between hyperparameter tuning and performance estimation. If hyperparameters are tuned by cross-validation and the same cross-validation is used to report performance, the reported performance is optimistically biased, because the hyperparameters were selected to perform well on exactly those folds. The correct remedy is </w:t>
      </w:r>
      <w:r>
        <w:rPr>
          <w:b/>
        </w:rPr>
        <w:t xml:space="preserve">nested cross-validation</w:t>
      </w:r>
      <w:r>
        <w:t xml:space="preserve">: an outer cross-validation loop estimates performance, and within each outer training fold an inner cross-validation loop tunes the hyperparameters, so that the outer test folds are never used in tuning. Nested cross-validation yields an unbiased estimate of the performance of the entire modelling procedure, including its tuning, at the cost of greater computation. More broadly, the prevention of </w:t>
      </w:r>
      <w:r>
        <w:rPr>
          <w:b/>
        </w:rPr>
        <w:t xml:space="preserve">data leakage</w:t>
      </w:r>
      <w:r>
        <w:t xml:space="preserve">—any flow of information from the held-out data into the training process—demands vigilance at every step: scaling, imputation, feature selection, and hyperparameter tuning must all be performed within the training partition and applied to the held-out data using only training-derived quantities. Leakage is the most common cause of models that report excellent performance yet fail in deployment, and guarding against it is a discipline that distinguishes rigorous from careless practice.</w:t>
      </w:r>
    </w:p>
    <w:p>
      <w:pPr>
        <w:pStyle w:val="Heading2"/>
      </w:pPr>
      <w:r>
        <w:t xml:space="preserve">10.6 Regularization and Overfitting Control Revisited</w:t>
      </w:r>
    </w:p>
    <w:p>
      <w:pPr>
        <w:pStyle w:val="Normal"/>
      </w:pPr>
      <w:r>
        <w:t xml:space="preserve">Because the MAF setting is chronically data-limited, the mechanisms that control overfitting deserve consolidated emphasis. Explicit </w:t>
      </w:r>
      <w:r>
        <w:rPr>
          <w:b/>
        </w:rPr>
        <w:t xml:space="preserve">regularization</w:t>
      </w:r>
      <w:r>
        <w:t xml:space="preserve"> augments the training objective with a penalty on model complexity—the magnitude of neural network weights, the number and depth of trees, the size of SVR coefficients—so that the fitting procedure prefers simpler functions unless the data justify complexity. </w:t>
      </w:r>
      <w:r>
        <w:rPr>
          <w:b/>
        </w:rPr>
        <w:t xml:space="preserve">Early stopping</w:t>
      </w:r>
      <w:r>
        <w:t xml:space="preserve"> halts iterative training when validation performance ceases to improve, capturing the model at the point of best generalization before it begins to memorize noise. </w:t>
      </w:r>
      <w:r>
        <w:rPr>
          <w:b/>
        </w:rPr>
        <w:t xml:space="preserve">Ensembling</w:t>
      </w:r>
      <w:r>
        <w:t xml:space="preserve">, as embodied in random forests and, differently, in gradient boosting and stacking, reduces variance by averaging. </w:t>
      </w:r>
      <w:r>
        <w:rPr>
          <w:b/>
        </w:rPr>
        <w:t xml:space="preserve">Data augmentation</w:t>
      </w:r>
      <w:r>
        <w:t xml:space="preserve"> and </w:t>
      </w:r>
      <w:r>
        <w:rPr>
          <w:b/>
        </w:rPr>
        <w:t xml:space="preserve">transfer learning</w:t>
      </w:r>
      <w:r>
        <w:t xml:space="preserve"> effectively increase the information available to constrain the model. And </w:t>
      </w:r>
      <w:r>
        <w:rPr>
          <w:b/>
        </w:rPr>
        <w:t xml:space="preserve">model-capacity restraint</w:t>
      </w:r>
      <w:r>
        <w:t xml:space="preserve">—the deliberate choice of the simplest model adequate to the task—is the first and most fundamental defence. In combination, these mechanisms allow flexible learners to be applied safely even to the small datasets of MAF, and their neglect is the surest route to a model that flatters in the laboratory and disappoints in the plant [51], [52], [53], [54], [55], [56], [57], [58].</w:t>
      </w:r>
    </w:p>
    <w:p>
      <w:pPr>
        <w:pStyle w:val="Heading1"/>
      </w:pPr>
      <w:r>
        <w:t xml:space="preserve">11. Uncertainty Quantification and Explainability</w:t>
      </w:r>
    </w:p>
    <w:p>
      <w:pPr>
        <w:pStyle w:val="Heading2"/>
      </w:pPr>
      <w:r>
        <w:t xml:space="preserve">11.1 Why Uncertainty and Explanation Matter</w:t>
      </w:r>
    </w:p>
    <w:p>
      <w:pPr>
        <w:pStyle w:val="Normal"/>
      </w:pPr>
      <w:r>
        <w:t xml:space="preserve">A point prediction of surface roughness, however accurate on average, is of limited value to an engineer who must decide whether to accept a component, adjust a process, or commit an experiment, unless it is accompanied by an honest statement of how much that prediction can be trusted and an intelligible account of why the model predicts what it does. Uncertainty quantification and explainability transform a black-box predictor into an instrument of engineering judgment. Uncertainty quantification tells the engineer how confident the model is and where its predictions should be treated with caution; explainability tells the engineer which parameters drive the prediction and how, enabling the model to be sanity-checked against physical understanding, to build trust, and to yield process insight beyond mere prediction. For MAF, where models are trained on scarce data and are used to guide costly experiments and to control valuable components, both capabilities are of first importance.</w:t>
      </w:r>
    </w:p>
    <w:p>
      <w:pPr>
        <w:pStyle w:val="Heading2"/>
      </w:pPr>
      <w:r>
        <w:t xml:space="preserve">11.2 Sources of Uncertainty</w:t>
      </w:r>
    </w:p>
    <w:p>
      <w:pPr>
        <w:pStyle w:val="Normal"/>
      </w:pPr>
      <w:r>
        <w:t xml:space="preserve">It is essential to distinguish two fundamentally different sources of predictive uncertainty. </w:t>
      </w:r>
      <w:r>
        <w:rPr>
          <w:b/>
        </w:rPr>
        <w:t xml:space="preserve">Aleatoric uncertainty</w:t>
      </w:r>
      <w:r>
        <w:t xml:space="preserve"> is the irreducible randomness inherent in the process and its measurement: the scatter in roughness between nominally identical runs, arising from stochastic abrasive behaviour, minor variations in medium condition and initial surface, and the repeatability limit of the profilometer. No amount of additional data can eliminate aleatoric uncertainty, because it is a property of the process, not of the model; it sets the noise floor identified in Sections 4 and 6, below which no model's error can fall. </w:t>
      </w:r>
      <w:r>
        <w:rPr>
          <w:b/>
        </w:rPr>
        <w:t xml:space="preserve">Epistemic uncertainty</w:t>
      </w:r>
      <w:r>
        <w:t xml:space="preserve"> is the reducible uncertainty arising from the model's ignorance—from having seen only limited data. It is large where data are sparse and small where data are dense, and it can be reduced by acquiring more data, particularly in the regions where it is largest. The distinction is practically consequential: aleatoric uncertainty should inform tolerancing and acceptance decisions, while epistemic uncertainty should direct where to experiment next. Table 13 contrasts the two and the methods that estimate them.</w:t>
      </w:r>
    </w:p>
    <w:p>
      <w:pPr>
        <w:pStyle w:val="TableCaption"/>
      </w:pPr>
      <w:r>
        <w:t xml:space="preserve">Table 13. Sources of predictive uncertainty in MAF surface-roughness modelling and their treatment.</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Aspect</w:t>
            </w:r>
          </w:p>
        </w:tc>
        <w:tc>
          <w:tcPr>
            <w:tcW w:w="3120" w:type="dxa"/>
            <w:shd w:val="clear" w:color="auto" w:fill="D9E2F3"/>
          </w:tcPr>
          <w:p>
            <w:pPr>
              <w:jc w:val="center"/>
              <w:spacing w:after="20"/>
            </w:pPr>
            <w:r>
              <w:rPr>
                <w:b/>
              </w:rPr>
              <w:t xml:space="preserve">Aleatoric uncertainty</w:t>
            </w:r>
          </w:p>
        </w:tc>
        <w:tc>
          <w:tcPr>
            <w:tcW w:w="3120" w:type="dxa"/>
            <w:shd w:val="clear" w:color="auto" w:fill="D9E2F3"/>
          </w:tcPr>
          <w:p>
            <w:pPr>
              <w:jc w:val="center"/>
              <w:spacing w:after="20"/>
            </w:pPr>
            <w:r>
              <w:rPr>
                <w:b/>
              </w:rPr>
              <w:t xml:space="preserve">Epistemic uncertainty</w:t>
            </w:r>
          </w:p>
        </w:tc>
      </w:tr>
      <w:tr>
        <w:tc>
          <w:tcPr>
            <w:tcW w:w="3120" w:type="dxa"/>
          </w:tcPr>
          <w:p>
            <w:pPr>
              <w:spacing w:after="20"/>
            </w:pPr>
            <w:r>
              <w:t xml:space="preserve">Origin</w:t>
            </w:r>
          </w:p>
        </w:tc>
        <w:tc>
          <w:tcPr>
            <w:tcW w:w="3120" w:type="dxa"/>
          </w:tcPr>
          <w:p>
            <w:pPr>
              <w:spacing w:after="20"/>
            </w:pPr>
            <w:r>
              <w:t xml:space="preserve">Inherent process and measurement noise</w:t>
            </w:r>
          </w:p>
        </w:tc>
        <w:tc>
          <w:tcPr>
            <w:tcW w:w="3120" w:type="dxa"/>
          </w:tcPr>
          <w:p>
            <w:pPr>
              <w:spacing w:after="20"/>
            </w:pPr>
            <w:r>
              <w:t xml:space="preserve">Model ignorance from limited data</w:t>
            </w:r>
          </w:p>
        </w:tc>
      </w:tr>
      <w:tr>
        <w:tc>
          <w:tcPr>
            <w:tcW w:w="3120" w:type="dxa"/>
          </w:tcPr>
          <w:p>
            <w:pPr>
              <w:spacing w:after="20"/>
            </w:pPr>
            <w:r>
              <w:t xml:space="preserve">Reducible by more data?</w:t>
            </w:r>
          </w:p>
        </w:tc>
        <w:tc>
          <w:tcPr>
            <w:tcW w:w="3120" w:type="dxa"/>
          </w:tcPr>
          <w:p>
            <w:pPr>
              <w:spacing w:after="20"/>
            </w:pPr>
            <w:r>
              <w:t xml:space="preserve">No</w:t>
            </w:r>
          </w:p>
        </w:tc>
        <w:tc>
          <w:tcPr>
            <w:tcW w:w="3120" w:type="dxa"/>
          </w:tcPr>
          <w:p>
            <w:pPr>
              <w:spacing w:after="20"/>
            </w:pPr>
            <w:r>
              <w:t xml:space="preserve">Yes</w:t>
            </w:r>
          </w:p>
        </w:tc>
      </w:tr>
      <w:tr>
        <w:tc>
          <w:tcPr>
            <w:tcW w:w="3120" w:type="dxa"/>
          </w:tcPr>
          <w:p>
            <w:pPr>
              <w:spacing w:after="20"/>
            </w:pPr>
            <w:r>
              <w:t xml:space="preserve">Largest where</w:t>
            </w:r>
          </w:p>
        </w:tc>
        <w:tc>
          <w:tcPr>
            <w:tcW w:w="3120" w:type="dxa"/>
          </w:tcPr>
          <w:p>
            <w:pPr>
              <w:spacing w:after="20"/>
            </w:pPr>
            <w:r>
              <w:t xml:space="preserve">Everywhere (process-intrinsic)</w:t>
            </w:r>
          </w:p>
        </w:tc>
        <w:tc>
          <w:tcPr>
            <w:tcW w:w="3120" w:type="dxa"/>
          </w:tcPr>
          <w:p>
            <w:pPr>
              <w:spacing w:after="20"/>
            </w:pPr>
            <w:r>
              <w:t xml:space="preserve">Regions sparsely sampled</w:t>
            </w:r>
          </w:p>
        </w:tc>
      </w:tr>
      <w:tr>
        <w:tc>
          <w:tcPr>
            <w:tcW w:w="3120" w:type="dxa"/>
          </w:tcPr>
          <w:p>
            <w:pPr>
              <w:spacing w:after="20"/>
            </w:pPr>
            <w:r>
              <w:t xml:space="preserve">Estimation methods</w:t>
            </w:r>
          </w:p>
        </w:tc>
        <w:tc>
          <w:tcPr>
            <w:tcW w:w="3120" w:type="dxa"/>
          </w:tcPr>
          <w:p>
            <w:pPr>
              <w:spacing w:after="20"/>
            </w:pPr>
            <w:r>
              <w:t xml:space="preserve">Replicated experiments; noise model</w:t>
            </w:r>
          </w:p>
        </w:tc>
        <w:tc>
          <w:tcPr>
            <w:tcW w:w="3120" w:type="dxa"/>
          </w:tcPr>
          <w:p>
            <w:pPr>
              <w:spacing w:after="20"/>
            </w:pPr>
            <w:r>
              <w:t xml:space="preserve">GPR posterior variance; ensembles; Bayesian methods</w:t>
            </w:r>
          </w:p>
        </w:tc>
      </w:tr>
      <w:tr>
        <w:tc>
          <w:tcPr>
            <w:tcW w:w="3120" w:type="dxa"/>
          </w:tcPr>
          <w:p>
            <w:pPr>
              <w:spacing w:after="20"/>
            </w:pPr>
            <w:r>
              <w:t xml:space="preserve">Primary use</w:t>
            </w:r>
          </w:p>
        </w:tc>
        <w:tc>
          <w:tcPr>
            <w:tcW w:w="3120" w:type="dxa"/>
          </w:tcPr>
          <w:p>
            <w:pPr>
              <w:spacing w:after="20"/>
            </w:pPr>
            <w:r>
              <w:t xml:space="preserve">Tolerancing, acceptance decisions</w:t>
            </w:r>
          </w:p>
        </w:tc>
        <w:tc>
          <w:tcPr>
            <w:tcW w:w="3120" w:type="dxa"/>
          </w:tcPr>
          <w:p>
            <w:pPr>
              <w:spacing w:after="20"/>
            </w:pPr>
            <w:r>
              <w:t xml:space="preserve">Directing further experiments (active learning)</w:t>
            </w:r>
          </w:p>
        </w:tc>
      </w:tr>
    </w:tbl>
    <w:p>
      <w:pPr>
        <w:spacing w:after="120"/>
      </w:pPr>
    </w:p>
    <w:p>
      <w:pPr>
        <w:pStyle w:val="Heading2"/>
      </w:pPr>
      <w:r>
        <w:t xml:space="preserve">11.3 Methods for Uncertainty Quantification</w:t>
      </w:r>
    </w:p>
    <w:p>
      <w:pPr>
        <w:pStyle w:val="Normal"/>
      </w:pPr>
      <w:r>
        <w:t xml:space="preserve">Several methods estimate predictive uncertainty, differing in principle and in the source of uncertainty they capture. </w:t>
      </w:r>
      <w:r>
        <w:rPr>
          <w:b/>
        </w:rPr>
        <w:t xml:space="preserve">Gaussian process regression</w:t>
      </w:r>
      <w:r>
        <w:t xml:space="preserve">, as described in Section 9, provides calibrated epistemic uncertainty natively through its posterior variance, which is one of the strongest reasons to prefer it in the data-scarce MAF setting; its posterior variance grows away from the data and shrinks near it, exactly as epistemic uncertainty should. </w:t>
      </w:r>
      <w:r>
        <w:rPr>
          <w:b/>
        </w:rPr>
        <w:t xml:space="preserve">Ensemble methods</w:t>
      </w:r>
      <w:r>
        <w:t xml:space="preserve"> estimate uncertainty from the disagreement among their members: the spread of predictions across the trees of a random forest, or across an ensemble of independently trained neural networks, serves as an empirical measure of epistemic uncertainty, large where the members disagree (sparse or difficult regions) and small where they concur. </w:t>
      </w:r>
      <w:r>
        <w:rPr>
          <w:b/>
        </w:rPr>
        <w:t xml:space="preserve">Bootstrap resampling</w:t>
      </w:r>
      <w:r>
        <w:t xml:space="preserve"> trains many models on resampled datasets and takes the spread of their predictions as an uncertainty estimate. </w:t>
      </w:r>
      <w:r>
        <w:rPr>
          <w:b/>
        </w:rPr>
        <w:t xml:space="preserve">Bayesian neural networks</w:t>
      </w:r>
      <w:r>
        <w:t xml:space="preserve"> and their practical approximations—Monte Carlo dropout, which interprets dropout at prediction time as approximate Bayesian sampling—place distributions over the network weights and propagate them to distributions over predictions. </w:t>
      </w:r>
      <w:r>
        <w:rPr>
          <w:b/>
        </w:rPr>
        <w:t xml:space="preserve">Quantile regression</w:t>
      </w:r>
      <w:r>
        <w:t xml:space="preserve"> and conformal-prediction methods produce prediction intervals with (approximate) coverage guarantees directly. Whichever method is used, the resulting uncertainty should be </w:t>
      </w:r>
      <w:r>
        <w:rPr>
          <w:b/>
        </w:rPr>
        <w:t xml:space="preserve">validated for calibration</w:t>
      </w:r>
      <w:r>
        <w:t xml:space="preserve">: a well-calibrated ninety-per-cent prediction interval should contain the true value about ninety per cent of the time on held-out data, and checking this calibration is as important as checking the accuracy of the point prediction. Figure 16 illustrates predictions accompanied by calibrated uncertainty bands that widen in sparsely sampled regions.</w:t>
      </w:r>
    </w:p>
    <w:p>
      <w:pPr>
        <w:pStyle w:val="FigureImg"/>
      </w:pPr>
      <w:r>
        <w:drawing>
          <wp:inline xmlns:wp="http://schemas.openxmlformats.org/drawingml/2006/wordprocessingDrawing" distT="0" distB="0" distL="0" distR="0">
            <wp:extent cx="5486400" cy="3465094"/>
            <wp:effectExtent l="0" t="0" r="0" b="0"/>
            <wp:docPr id="396850497"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0497" name="Figure 16"/>
                    <pic:cNvPicPr/>
                  </pic:nvPicPr>
                  <pic:blipFill>
                    <a:blip xmlns:r="http://schemas.openxmlformats.org/officeDocument/2006/relationships" r:embed="rId16"/>
                    <a:stretch>
                      <a:fillRect/>
                    </a:stretch>
                  </pic:blipFill>
                  <pic:spPr>
                    <a:xfrm>
                      <a:off x="0" y="0"/>
                      <a:ext cx="5486400" cy="3465094"/>
                    </a:xfrm>
                    <a:prstGeom prst="rect">
                      <a:avLst/>
                    </a:prstGeom>
                  </pic:spPr>
                </pic:pic>
              </a:graphicData>
            </a:graphic>
          </wp:inline>
        </w:drawing>
      </w:r>
    </w:p>
    <w:p>
      <w:pPr>
        <w:pStyle w:val="FigureCaption"/>
      </w:pPr>
      <w:r>
        <w:t xml:space="preserve">Figure 16. Predictive uncertainty in MAF roughness modelling. The predicted roughness is accompanied by an uncertainty band that is narrow near densely sampled operating points and widens in regions of the parameter space that are sparsely sampled, distinguishing confident interpolation from uncertain extrapolation and identifying where further experiments would be most informative.</w:t>
      </w:r>
    </w:p>
    <w:p>
      <w:pPr>
        <w:pStyle w:val="Heading2"/>
      </w:pPr>
      <w:r>
        <w:t xml:space="preserve">11.4 Feature Importance and Global Explainability</w:t>
      </w:r>
    </w:p>
    <w:p>
      <w:pPr>
        <w:pStyle w:val="Normal"/>
      </w:pPr>
      <w:r>
        <w:t xml:space="preserve">Global explainability characterizes how the model uses its inputs across the whole input space. The simplest and most widely available tool is </w:t>
      </w:r>
      <w:r>
        <w:rPr>
          <w:b/>
        </w:rPr>
        <w:t xml:space="preserve">feature importance</w:t>
      </w:r>
      <w:r>
        <w:t xml:space="preserve">, which ranks the process parameters by their contribution to prediction. Tree ensembles provide importance measures intrinsically—by the total reduction in error attributable to splits on each feature, or, more reliably, by the degradation in accuracy when a feature's values are randomly permuted (permutation importance), which is model-agnostic and can be applied to any trained model. Feature importance for MAF models characteristically confirms and quantifies the physical expectation that flux density, working gap, finishing time, and abrasive size are among the most influential parameters, and it can reveal surprises—an unexpectedly influential interaction, or a parameter less important than assumed—that prompt physical reexamination. </w:t>
      </w:r>
      <w:r>
        <w:rPr>
          <w:b/>
        </w:rPr>
        <w:t xml:space="preserve">Partial dependence plots</w:t>
      </w:r>
      <w:r>
        <w:t xml:space="preserve"> and </w:t>
      </w:r>
      <w:r>
        <w:rPr>
          <w:b/>
        </w:rPr>
        <w:t xml:space="preserve">accumulated local effects plots</w:t>
      </w:r>
      <w:r>
        <w:t xml:space="preserve"> display the average marginal effect of a single parameter (or a pair, revealing interaction) on the predicted roughness, tracing out the shape of the learned relationship and allowing it to be compared against physical expectation—the non-monotonic effect of flux density, the diminishing-returns effect of time, and so forth. These global tools turn the model into a lens through which the process itself can be understood.</w:t>
      </w:r>
    </w:p>
    <w:p>
      <w:pPr>
        <w:pStyle w:val="Heading2"/>
      </w:pPr>
      <w:r>
        <w:t xml:space="preserve">11.5 Local Explainability</w:t>
      </w:r>
    </w:p>
    <w:p>
      <w:pPr>
        <w:pStyle w:val="Normal"/>
      </w:pPr>
      <w:r>
        <w:t xml:space="preserve">Local explainability accounts for individual predictions—why the model predicts a particular roughness for a particular set of parameters. </w:t>
      </w:r>
      <w:r>
        <w:rPr>
          <w:b/>
        </w:rPr>
        <w:t xml:space="preserve">SHAP values</w:t>
      </w:r>
      <w:r>
        <w:t xml:space="preserve">, grounded in cooperative game theory, attribute a prediction to its input features by fairly distributing the difference between the prediction and a baseline among the features, satisfying desirable consistency properties; they provide both local explanations of single predictions and, aggregated, global importance rankings, and they are widely adopted for their theoretical soundness. </w:t>
      </w:r>
      <w:r>
        <w:rPr>
          <w:b/>
        </w:rPr>
        <w:t xml:space="preserve">LIME</w:t>
      </w:r>
      <w:r>
        <w:t xml:space="preserve"> explains an individual prediction by fitting a simple, interpretable model locally around the point of interest. Local explanations are valuable for diagnosing anomalous predictions, for justifying decisions to stakeholders, and for detecting when a model relies on a feature for reasons that contradict physical understanding—a warning sign of a spurious correlation learned from a biased dataset. Together, global and local explainability convert the predictive model from an oracle into a transparent, auditable, and instructive representation of the process, and their use is increasingly regarded not as an optional refinement but as a requirement for the responsible deployment of ML in manufacturing. Figure 17 illustrates a feature-importance ranking with associated partial-dependence relationships for a representative MAF model [59], [60], [61], [62], [63], [64], [65], [66].</w:t>
      </w:r>
    </w:p>
    <w:p>
      <w:pPr>
        <w:pStyle w:val="FigureImg"/>
      </w:pPr>
      <w:r>
        <w:drawing>
          <wp:inline xmlns:wp="http://schemas.openxmlformats.org/drawingml/2006/wordprocessingDrawing" distT="0" distB="0" distL="0" distR="0">
            <wp:extent cx="5486400" cy="3465094"/>
            <wp:effectExtent l="0" t="0" r="0" b="0"/>
            <wp:docPr id="1007455091"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5091" name="Figure 17"/>
                    <pic:cNvPicPr/>
                  </pic:nvPicPr>
                  <pic:blipFill>
                    <a:blip xmlns:r="http://schemas.openxmlformats.org/officeDocument/2006/relationships" r:embed="rId17"/>
                    <a:stretch>
                      <a:fillRect/>
                    </a:stretch>
                  </pic:blipFill>
                  <pic:spPr>
                    <a:xfrm>
                      <a:off x="0" y="0"/>
                      <a:ext cx="5486400" cy="3465094"/>
                    </a:xfrm>
                    <a:prstGeom prst="rect">
                      <a:avLst/>
                    </a:prstGeom>
                  </pic:spPr>
                </pic:pic>
              </a:graphicData>
            </a:graphic>
          </wp:inline>
        </w:drawing>
      </w:r>
    </w:p>
    <w:p>
      <w:pPr>
        <w:pStyle w:val="FigureCaption"/>
      </w:pPr>
      <w:r>
        <w:t xml:space="preserve">Figure 17. Explainability of a MAF roughness model: (a) a feature-importance ranking of the process parameters obtained by permutation importance; and (b) partial-dependence relationships tracing the learned marginal effect of the most influential parameters, allowing the learned relationships to be compared against physical expectation.</w:t>
      </w:r>
    </w:p>
    <w:p>
      <w:pPr>
        <w:pStyle w:val="Heading1"/>
      </w:pPr>
      <w:r>
        <w:t xml:space="preserve">12. From Prediction to Intelligent Process Optimization</w:t>
      </w:r>
    </w:p>
    <w:p>
      <w:pPr>
        <w:pStyle w:val="Heading2"/>
      </w:pPr>
      <w:r>
        <w:t xml:space="preserve">12.1 Closing the Loop from Prediction to Decision</w:t>
      </w:r>
    </w:p>
    <w:p>
      <w:pPr>
        <w:pStyle w:val="Normal"/>
      </w:pPr>
      <w:r>
        <w:t xml:space="preserve">A predictive model, however accurate and well understood, is a means rather than an end; its purpose in the present context is to enable the intelligent optimization and control of the MAF process. Once a validated model maps process parameters to surface roughness, it becomes a fast, differentiable, and inexpensive surrogate for the physical process, and it can be embedded within optimization algorithms that would be utterly impractical if each evaluation required a physical experiment. Where a direct experimental optimization might demand hundreds of costly runs to locate an optimum, an optimizer operating on the surrogate can evaluate the model millions of times in seconds, searching the parameter space exhaustively for the settings that achieve a target finish, minimize roughness, or balance competing objectives. This substitution of cheap model evaluations for expensive experiments is the mechanism by which predictive modelling delivers intelligent process optimization, and it is the culmination of the entire framework developed in this chapter.</w:t>
      </w:r>
    </w:p>
    <w:p>
      <w:pPr>
        <w:pStyle w:val="Heading2"/>
      </w:pPr>
      <w:r>
        <w:t xml:space="preserve">12.2 Formulating the Optimization Problem</w:t>
      </w:r>
    </w:p>
    <w:p>
      <w:pPr>
        <w:pStyle w:val="Normal"/>
      </w:pPr>
      <w:r>
        <w:t xml:space="preserve">Intelligent optimization begins with the precise formulation of the objective and constraints. In the simplest </w:t>
      </w:r>
      <w:r>
        <w:rPr>
          <w:b/>
        </w:rPr>
        <w:t xml:space="preserve">single-objective</w:t>
      </w:r>
      <w:r>
        <w:t xml:space="preserve"> formulation, the goal is to find the process parameters that minimize the predicted surface roughness subject to the constraint that each parameter lies within its admissible range (and within the range over which the model was trained, to avoid unreliable extrapolation). More realistic formulations minimize roughness subject to a constraint on finishing time or cost, or, conversely, minimize finishing time subject to achieving a target roughness—the latter being the common industrial objective of reaching a specified finish as quickly and cheaply as possible. Constraints may also encode physical limits (a maximum field the equipment can supply), quality requirements (a maximum permissible roughness variability), and integrity requirements (avoidance of the excessive-force regime that damages the surface). The careful formulation of the objective and constraints, in consultation with the engineering requirements, is as important as the optimization algorithm, because an optimum of the wrong objective is worthless however precisely it is found.</w:t>
      </w:r>
    </w:p>
    <w:p>
      <w:pPr>
        <w:pStyle w:val="Heading2"/>
      </w:pPr>
      <w:r>
        <w:t xml:space="preserve">12.3 Optimization Algorithms Operating on the Surrogate</w:t>
      </w:r>
    </w:p>
    <w:p>
      <w:pPr>
        <w:pStyle w:val="Normal"/>
      </w:pPr>
      <w:r>
        <w:t xml:space="preserve">Given a formulated objective and a fast surrogate model, many optimization algorithms can locate the optimum. </w:t>
      </w:r>
      <w:r>
        <w:rPr>
          <w:b/>
        </w:rPr>
        <w:t xml:space="preserve">Gradient-based methods</w:t>
      </w:r>
      <w:r>
        <w:t xml:space="preserve"> are efficient when the surrogate is differentiable (as neural networks and Gaussian processes are) and the objective is smooth, but they risk becoming trapped in local optima on the multimodal MAF response surface. </w:t>
      </w:r>
      <w:r>
        <w:rPr>
          <w:b/>
        </w:rPr>
        <w:t xml:space="preserve">Metaheuristic and population-based methods</w:t>
      </w:r>
      <w:r>
        <w:t xml:space="preserve">—genetic algorithms, particle swarm optimization, differential evolution, simulated annealing—explore the parameter space globally without requiring gradients and are robust to multimodality and non-differentiability; they are the most common choice in the MAF optimization literature, pairing naturally with any surrogate. A genetic algorithm, for instance, maintains a population of candidate parameter sets, evaluates each on the surrogate, and iteratively breeds and mutates the fittest to converge toward the optimum. </w:t>
      </w:r>
      <w:r>
        <w:rPr>
          <w:b/>
        </w:rPr>
        <w:t xml:space="preserve">Exhaustive or fine-grid search</w:t>
      </w:r>
      <w:r>
        <w:t xml:space="preserve"> is feasible for the low-dimensional MAF parameter space when the surrogate is cheap. The choice among these is secondary to the quality of the surrogate: an optimizer can only find the optimum of the model it is given, and if the model is inaccurate the optimizer will confidently locate a spurious optimum—which is why the validation, uncertainty quantification, and explainability of the preceding sections are prerequisites, not afterthoughts.</w:t>
      </w:r>
    </w:p>
    <w:p>
      <w:pPr>
        <w:pStyle w:val="Heading2"/>
      </w:pPr>
      <w:r>
        <w:t xml:space="preserve">12.4 Multi-Objective Optimization and the Pareto Front</w:t>
      </w:r>
    </w:p>
    <w:p>
      <w:pPr>
        <w:pStyle w:val="Normal"/>
      </w:pPr>
      <w:r>
        <w:t xml:space="preserve">In practice, MAF process design rarely optimizes a single objective in isolation; it balances competing objectives—minimizing roughness while minimizing finishing time and cost, or minimizing roughness while maximizing material removal rate and preserving surface integrity. These objectives conflict: the settings that minimize roughness (fine abrasives, long times) are rarely those that maximize throughput. </w:t>
      </w:r>
      <w:r>
        <w:rPr>
          <w:b/>
        </w:rPr>
        <w:t xml:space="preserve">Multi-objective optimization</w:t>
      </w:r>
      <w:r>
        <w:t xml:space="preserve"> confronts this conflict directly, seeking not a single optimum but the </w:t>
      </w:r>
      <w:r>
        <w:rPr>
          <w:b/>
        </w:rPr>
        <w:t xml:space="preserve">Pareto front</w:t>
      </w:r>
      <w:r>
        <w:t xml:space="preserve">—the set of settings for which no objective can be improved without worsening another. Each point on the Pareto front represents an efficient trade-off, and the front as a whole presents the engineer with the menu of achievable compromises, from fast-but-coarse to fine-but-slow, among which the final choice is made according to the priorities of the application. Multi-objective evolutionary algorithms, which evolve a population toward the Pareto front, are the standard tool, and they operate on the multi-output surrogate that predicts roughness, time, removal rate, and integrity together. The Pareto front is a far more useful decision aid than a single optimum, because it exposes the cost of each objective in terms of the others and empowers an informed rather than an arbitrary compromise. Figure 18 illustrates a representative Pareto front trading surface roughness against finishing time. Table 14 summarizes the optimization approaches.</w:t>
      </w:r>
    </w:p>
    <w:p>
      <w:pPr>
        <w:pStyle w:val="FigureImg"/>
      </w:pPr>
      <w:r>
        <w:drawing>
          <wp:inline xmlns:wp="http://schemas.openxmlformats.org/drawingml/2006/wordprocessingDrawing" distT="0" distB="0" distL="0" distR="0">
            <wp:extent cx="5486400" cy="3465094"/>
            <wp:effectExtent l="0" t="0" r="0" b="0"/>
            <wp:docPr id="863081139"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1139" name="Figure 18"/>
                    <pic:cNvPicPr/>
                  </pic:nvPicPr>
                  <pic:blipFill>
                    <a:blip xmlns:r="http://schemas.openxmlformats.org/officeDocument/2006/relationships" r:embed="rId18"/>
                    <a:stretch>
                      <a:fillRect/>
                    </a:stretch>
                  </pic:blipFill>
                  <pic:spPr>
                    <a:xfrm>
                      <a:off x="0" y="0"/>
                      <a:ext cx="5486400" cy="3465094"/>
                    </a:xfrm>
                    <a:prstGeom prst="rect">
                      <a:avLst/>
                    </a:prstGeom>
                  </pic:spPr>
                </pic:pic>
              </a:graphicData>
            </a:graphic>
          </wp:inline>
        </w:drawing>
      </w:r>
    </w:p>
    <w:p>
      <w:pPr>
        <w:pStyle w:val="FigureCaption"/>
      </w:pPr>
      <w:r>
        <w:t xml:space="preserve">Figure 18. A Pareto front for multi-objective MAF optimization, trading achievable surface roughness against finishing time. Points on the front are efficient trade-offs for which neither objective can be improved without worsening the other; dominated points lie above the front. The front presents the engineer with the full menu of achievable compromises for an informed process-design decision.</w:t>
      </w:r>
    </w:p>
    <w:p>
      <w:pPr>
        <w:pStyle w:val="TableCaption"/>
      </w:pPr>
      <w:r>
        <w:t xml:space="preserve">Table 14. Optimization approaches for MAF process design using a machine-learning surrogate.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jc w:val="center"/>
              <w:spacing w:after="20"/>
            </w:pPr>
            <w:r>
              <w:rPr>
                <w:b/>
              </w:rPr>
              <w:t xml:space="preserve">Approach</w:t>
            </w:r>
          </w:p>
        </w:tc>
        <w:tc>
          <w:tcPr>
            <w:tcW w:w="1872" w:type="dxa"/>
            <w:shd w:val="clear" w:color="auto" w:fill="D9E2F3"/>
          </w:tcPr>
          <w:p>
            <w:pPr>
              <w:jc w:val="center"/>
              <w:spacing w:after="20"/>
            </w:pPr>
            <w:r>
              <w:rPr>
                <w:b/>
              </w:rPr>
              <w:t xml:space="preserve">Objective type</w:t>
            </w:r>
          </w:p>
        </w:tc>
        <w:tc>
          <w:tcPr>
            <w:tcW w:w="1872" w:type="dxa"/>
            <w:shd w:val="clear" w:color="auto" w:fill="D9E2F3"/>
          </w:tcPr>
          <w:p>
            <w:pPr>
              <w:jc w:val="center"/>
              <w:spacing w:after="20"/>
            </w:pPr>
            <w:r>
              <w:rPr>
                <w:b/>
              </w:rPr>
              <w:t xml:space="preserve">Requires gradients</w:t>
            </w:r>
          </w:p>
        </w:tc>
        <w:tc>
          <w:tcPr>
            <w:tcW w:w="1872" w:type="dxa"/>
            <w:shd w:val="clear" w:color="auto" w:fill="D9E2F3"/>
          </w:tcPr>
          <w:p>
            <w:pPr>
              <w:jc w:val="center"/>
              <w:spacing w:after="20"/>
            </w:pPr>
            <w:r>
              <w:rPr>
                <w:b/>
              </w:rPr>
              <w:t xml:space="preserve">Global search</w:t>
            </w:r>
          </w:p>
        </w:tc>
        <w:tc>
          <w:tcPr>
            <w:tcW w:w="1872" w:type="dxa"/>
            <w:shd w:val="clear" w:color="auto" w:fill="D9E2F3"/>
          </w:tcPr>
          <w:p>
            <w:pPr>
              <w:jc w:val="center"/>
              <w:spacing w:after="20"/>
            </w:pPr>
            <w:r>
              <w:rPr>
                <w:b/>
              </w:rPr>
              <w:t xml:space="preserve">Typical use in MAF</w:t>
            </w:r>
          </w:p>
        </w:tc>
      </w:tr>
      <w:tr>
        <w:tc>
          <w:tcPr>
            <w:tcW w:w="1872" w:type="dxa"/>
          </w:tcPr>
          <w:p>
            <w:pPr>
              <w:spacing w:after="20"/>
            </w:pPr>
            <w:r>
              <w:t xml:space="preserve">Gradient-based</w:t>
            </w:r>
          </w:p>
        </w:tc>
        <w:tc>
          <w:tcPr>
            <w:tcW w:w="1872" w:type="dxa"/>
          </w:tcPr>
          <w:p>
            <w:pPr>
              <w:spacing w:after="20"/>
            </w:pPr>
            <w:r>
              <w:t xml:space="preserve">Single</w:t>
            </w:r>
          </w:p>
        </w:tc>
        <w:tc>
          <w:tcPr>
            <w:tcW w:w="1872" w:type="dxa"/>
          </w:tcPr>
          <w:p>
            <w:pPr>
              <w:spacing w:after="20"/>
            </w:pPr>
            <w:r>
              <w:t xml:space="preserve">Yes</w:t>
            </w:r>
          </w:p>
        </w:tc>
        <w:tc>
          <w:tcPr>
            <w:tcW w:w="1872" w:type="dxa"/>
          </w:tcPr>
          <w:p>
            <w:pPr>
              <w:spacing w:after="20"/>
            </w:pPr>
            <w:r>
              <w:t xml:space="preserve">No (local)</w:t>
            </w:r>
          </w:p>
        </w:tc>
        <w:tc>
          <w:tcPr>
            <w:tcW w:w="1872" w:type="dxa"/>
          </w:tcPr>
          <w:p>
            <w:pPr>
              <w:spacing w:after="20"/>
            </w:pPr>
            <w:r>
              <w:t xml:space="preserve">Fine local refinement on smooth surrogates</w:t>
            </w:r>
          </w:p>
        </w:tc>
      </w:tr>
      <w:tr>
        <w:tc>
          <w:tcPr>
            <w:tcW w:w="1872" w:type="dxa"/>
          </w:tcPr>
          <w:p>
            <w:pPr>
              <w:spacing w:after="20"/>
            </w:pPr>
            <w:r>
              <w:t xml:space="preserve">Genetic algorithm</w:t>
            </w:r>
          </w:p>
        </w:tc>
        <w:tc>
          <w:tcPr>
            <w:tcW w:w="1872" w:type="dxa"/>
          </w:tcPr>
          <w:p>
            <w:pPr>
              <w:spacing w:after="20"/>
            </w:pPr>
            <w:r>
              <w:t xml:space="preserve">Single/multi</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General-purpose global optimization</w:t>
            </w:r>
          </w:p>
        </w:tc>
      </w:tr>
      <w:tr>
        <w:tc>
          <w:tcPr>
            <w:tcW w:w="1872" w:type="dxa"/>
          </w:tcPr>
          <w:p>
            <w:pPr>
              <w:spacing w:after="20"/>
            </w:pPr>
            <w:r>
              <w:t xml:space="preserve">Particle swarm</w:t>
            </w:r>
          </w:p>
        </w:tc>
        <w:tc>
          <w:tcPr>
            <w:tcW w:w="1872" w:type="dxa"/>
          </w:tcPr>
          <w:p>
            <w:pPr>
              <w:spacing w:after="20"/>
            </w:pPr>
            <w:r>
              <w:t xml:space="preserve">Single/multi</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Fast global optimization</w:t>
            </w:r>
          </w:p>
        </w:tc>
      </w:tr>
      <w:tr>
        <w:tc>
          <w:tcPr>
            <w:tcW w:w="1872" w:type="dxa"/>
          </w:tcPr>
          <w:p>
            <w:pPr>
              <w:spacing w:after="20"/>
            </w:pPr>
            <w:r>
              <w:t xml:space="preserve">Differential evolution</w:t>
            </w:r>
          </w:p>
        </w:tc>
        <w:tc>
          <w:tcPr>
            <w:tcW w:w="1872" w:type="dxa"/>
          </w:tcPr>
          <w:p>
            <w:pPr>
              <w:spacing w:after="20"/>
            </w:pPr>
            <w:r>
              <w:t xml:space="preserve">Single/multi</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Robust global optimization</w:t>
            </w:r>
          </w:p>
        </w:tc>
      </w:tr>
      <w:tr>
        <w:tc>
          <w:tcPr>
            <w:tcW w:w="1872" w:type="dxa"/>
          </w:tcPr>
          <w:p>
            <w:pPr>
              <w:spacing w:after="20"/>
            </w:pPr>
            <w:r>
              <w:t xml:space="preserve">Simulated annealing</w:t>
            </w:r>
          </w:p>
        </w:tc>
        <w:tc>
          <w:tcPr>
            <w:tcW w:w="1872" w:type="dxa"/>
          </w:tcPr>
          <w:p>
            <w:pPr>
              <w:spacing w:after="20"/>
            </w:pPr>
            <w:r>
              <w:t xml:space="preserve">Single</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Escaping local optima</w:t>
            </w:r>
          </w:p>
        </w:tc>
      </w:tr>
      <w:tr>
        <w:tc>
          <w:tcPr>
            <w:tcW w:w="1872" w:type="dxa"/>
          </w:tcPr>
          <w:p>
            <w:pPr>
              <w:spacing w:after="20"/>
            </w:pPr>
            <w:r>
              <w:t xml:space="preserve">Multi-objective evolutionary</w:t>
            </w:r>
          </w:p>
        </w:tc>
        <w:tc>
          <w:tcPr>
            <w:tcW w:w="1872" w:type="dxa"/>
          </w:tcPr>
          <w:p>
            <w:pPr>
              <w:spacing w:after="20"/>
            </w:pPr>
            <w:r>
              <w:t xml:space="preserve">Multi</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Pareto-front discovery</w:t>
            </w:r>
          </w:p>
        </w:tc>
      </w:tr>
      <w:tr>
        <w:tc>
          <w:tcPr>
            <w:tcW w:w="1872" w:type="dxa"/>
          </w:tcPr>
          <w:p>
            <w:pPr>
              <w:spacing w:after="20"/>
            </w:pPr>
            <w:r>
              <w:t xml:space="preserve">Bayesian optimization</w:t>
            </w:r>
          </w:p>
        </w:tc>
        <w:tc>
          <w:tcPr>
            <w:tcW w:w="1872" w:type="dxa"/>
          </w:tcPr>
          <w:p>
            <w:pPr>
              <w:spacing w:after="20"/>
            </w:pPr>
            <w:r>
              <w:t xml:space="preserve">Single (expensive)</w:t>
            </w:r>
          </w:p>
        </w:tc>
        <w:tc>
          <w:tcPr>
            <w:tcW w:w="1872" w:type="dxa"/>
          </w:tcPr>
          <w:p>
            <w:pPr>
              <w:spacing w:after="20"/>
            </w:pPr>
            <w:r>
              <w:t xml:space="preserve">No</w:t>
            </w:r>
          </w:p>
        </w:tc>
        <w:tc>
          <w:tcPr>
            <w:tcW w:w="1872" w:type="dxa"/>
          </w:tcPr>
          <w:p>
            <w:pPr>
              <w:spacing w:after="20"/>
            </w:pPr>
            <w:r>
              <w:t xml:space="preserve">Yes</w:t>
            </w:r>
          </w:p>
        </w:tc>
        <w:tc>
          <w:tcPr>
            <w:tcW w:w="1872" w:type="dxa"/>
          </w:tcPr>
          <w:p>
            <w:pPr>
              <w:spacing w:after="20"/>
            </w:pPr>
            <w:r>
              <w:t xml:space="preserve">Direct experimental optimization</w:t>
            </w:r>
          </w:p>
        </w:tc>
      </w:tr>
    </w:tbl>
    <w:p>
      <w:pPr>
        <w:spacing w:after="120"/>
      </w:pPr>
    </w:p>
    <w:p>
      <w:pPr>
        <w:pStyle w:val="Heading2"/>
      </w:pPr>
      <w:r>
        <w:t xml:space="preserve">12.5 Bayesian Optimization and Active Learning for Efficient Experimentation</w:t>
      </w:r>
    </w:p>
    <w:p>
      <w:pPr>
        <w:pStyle w:val="Normal"/>
      </w:pPr>
      <w:r>
        <w:t xml:space="preserve">The optimization discussed so far operates on a surrogate trained from a fixed dataset. A more powerful paradigm couples modelling and experimentation into a closed, self-improving loop that discovers the optimum with the fewest possible physical experiments. </w:t>
      </w:r>
      <w:r>
        <w:rPr>
          <w:b/>
        </w:rPr>
        <w:t xml:space="preserve">Bayesian optimization</w:t>
      </w:r>
      <w:r>
        <w:t xml:space="preserve"> builds a probabilistic surrogate—typically a Gaussian process, for its calibrated uncertainty—and uses an </w:t>
      </w:r>
      <w:r>
        <w:rPr>
          <w:b/>
        </w:rPr>
        <w:t xml:space="preserve">acquisition function</w:t>
      </w:r>
      <w:r>
        <w:t xml:space="preserve"> to decide, given all data so far, which single experiment to perform next. The acquisition function balances </w:t>
      </w:r>
      <w:r>
        <w:rPr>
          <w:b/>
        </w:rPr>
        <w:t xml:space="preserve">exploitation</w:t>
      </w:r>
      <w:r>
        <w:t xml:space="preserve"> (sampling where the surrogate predicts a good outcome) against </w:t>
      </w:r>
      <w:r>
        <w:rPr>
          <w:b/>
        </w:rPr>
        <w:t xml:space="preserve">exploration</w:t>
      </w:r>
      <w:r>
        <w:t xml:space="preserve"> (sampling where the surrogate is most uncertain and stands to learn the most), quantifying the expected value of each candidate experiment. The chosen experiment is performed, its result is added to the dataset, the surrogate is updated, and the cycle repeats, each iteration guided by all accumulated knowledge toward the optimum. This strategy, which directly operationalizes the epistemic-uncertainty concept of Section 11, routinely locates optima in a small fraction of the experiments a naive or one-factor-at-a-time search would require, and it is the natural method for optimizing an MAF process from scratch when experiments are costly.</w:t>
      </w:r>
    </w:p>
    <w:p>
      <w:pPr>
        <w:pStyle w:val="Normal"/>
      </w:pPr>
      <w:r>
        <w:t xml:space="preserve">The closely related paradigm of </w:t>
      </w:r>
      <w:r>
        <w:rPr>
          <w:b/>
        </w:rPr>
        <w:t xml:space="preserve">active learning</w:t>
      </w:r>
      <w:r>
        <w:t xml:space="preserve"> uses the same uncertainty-guided principle not to find an optimum but to build an accurate global model with minimal data, selecting each new experiment to reduce the model's uncertainty most, thereby filling the parameter space efficiently rather than uniformly. Active learning and Bayesian optimization together transform experimentation from a fixed, up-front campaign into an adaptive, intelligent process in which each experiment is chosen to be maximally informative given all that has been learned before—the practical realization of the sequential design foreshadowed in Section 7. Figure 19 depicts the Bayesian-optimization / active-learning loop.</w:t>
      </w:r>
    </w:p>
    <w:p>
      <w:pPr>
        <w:pStyle w:val="FigureImg"/>
      </w:pPr>
      <w:r>
        <w:drawing>
          <wp:inline xmlns:wp="http://schemas.openxmlformats.org/drawingml/2006/wordprocessingDrawing" distT="0" distB="0" distL="0" distR="0">
            <wp:extent cx="5486400" cy="3465094"/>
            <wp:effectExtent l="0" t="0" r="0" b="0"/>
            <wp:docPr id="924664037"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4037" name="Figure 19"/>
                    <pic:cNvPicPr/>
                  </pic:nvPicPr>
                  <pic:blipFill>
                    <a:blip xmlns:r="http://schemas.openxmlformats.org/officeDocument/2006/relationships" r:embed="rId19"/>
                    <a:stretch>
                      <a:fillRect/>
                    </a:stretch>
                  </pic:blipFill>
                  <pic:spPr>
                    <a:xfrm>
                      <a:off x="0" y="0"/>
                      <a:ext cx="5486400" cy="3465094"/>
                    </a:xfrm>
                    <a:prstGeom prst="rect">
                      <a:avLst/>
                    </a:prstGeom>
                  </pic:spPr>
                </pic:pic>
              </a:graphicData>
            </a:graphic>
          </wp:inline>
        </w:drawing>
      </w:r>
    </w:p>
    <w:p>
      <w:pPr>
        <w:pStyle w:val="FigureCaption"/>
      </w:pPr>
      <w:r>
        <w:t xml:space="preserve">Figure 19. The closed-loop, uncertainty-guided experimentation cycle. A probabilistic surrogate model is fitted to the data acquired so far; an acquisition function balancing exploration and exploitation selects the most valuable next experiment; the experiment is performed and its result added to the dataset; and the surrogate is updated, iterating toward an accurate model and an optimal process with a minimum of physical experiments.</w:t>
      </w:r>
    </w:p>
    <w:p>
      <w:pPr>
        <w:pStyle w:val="Heading2"/>
      </w:pPr>
      <w:r>
        <w:t xml:space="preserve">12.6 Toward Closed-Loop, In-Process Adaptive Control</w:t>
      </w:r>
    </w:p>
    <w:p>
      <w:pPr>
        <w:pStyle w:val="Normal"/>
      </w:pPr>
      <w:r>
        <w:t xml:space="preserve">The ultimate expression of intelligent MAF is closed-loop, in-process adaptive control, in which the predictive model participates not only in offline design but in real-time regulation of the running process. In such a system, in-process sensors—force transducers, current sensors, acoustic-emission sensors, or in-situ optical roughness sensors—monitor the finishing action continuously; the predictive model, possibly augmented by a dynamic model of the finishing trajectory, estimates the current surface state and predicts its evolution; and a controller adjusts the process parameters—most readily the field, through the excitation current of an electromagnet—in real time to steer the surface toward the target finish, compensating automatically for disturbances such as variation in initial roughness, abrasive wear, and material batch. Such a system can detect when the saturation regime is reached and terminate finishing automatically, avoiding the wasted time and potential damage of overprocessing; it can adapt to each individual workpiece rather than applying a fixed recipe; and it can log its data to continuously refine the underlying model. Closed-loop MAF remains an active research frontier rather than routine industrial practice, limited by the difficulty of reliable in-process roughness sensing, but it represents the logical destination of the framework developed in this chapter and a central element of the Industry 4.0 vision of self-optimizing manufacturing discussed in Section 14 [67], [68], [69], [70], [71], [72], [73], [74], [75].</w:t>
      </w:r>
    </w:p>
    <w:p>
      <w:pPr>
        <w:pStyle w:val="Heading2"/>
      </w:pPr>
      <w:r>
        <w:t xml:space="preserve">12.7 A Worked Illustration of the Optimization Workflow</w:t>
      </w:r>
    </w:p>
    <w:p>
      <w:pPr>
        <w:pStyle w:val="Normal"/>
      </w:pPr>
      <w:r>
        <w:t xml:space="preserve">To render the workflow concrete, consider a representative sequence for optimizing a cylindrical MAF process to achieve a target roughness on a stainless-steel shaft with minimum finishing time. First, a space-filling experimental design (Section 7) generates an initial set of runs spanning the admissible ranges of flux density, speed, gap, concentration, grain size, and time, and the resulting roughness is measured with replication (Section 6). Second, the data are cleaned, scaled, and partitioned (Section 8), and several candidate algorithms—an XGBoost model, a Gaussian process, and an SVR—are trained and compared by nested cross-validation (Sections 9 and 10), with the best or a stacked combination selected. Third, the model's uncertainty and feature importance are examined (Section 11) to confirm that it is trustworthy and physically sensible, and additional experiments are placed by active learning in regions of high uncertainty near the anticipated optimum. Fourth, a multi-objective evolutionary optimizer operates on the validated surrogate to trace the Pareto front of roughness against time (this section), from which the engineer selects the settings that achieve the target roughness in the shortest time. Fifth, the selected settings are validated by confirmation experiments, and the confirmed data are added to the model, which is retained for future use and continuous improvement. This sequence—design, model, understand, optimize, confirm, and improve—integrates every stage of the chapter into a coherent, repeatable methodology for the intelligent optimization of magnetic abrasive finishing.</w:t>
      </w:r>
    </w:p>
    <w:p>
      <w:pPr>
        <w:pStyle w:val="Heading1"/>
      </w:pPr>
      <w:r>
        <w:t xml:space="preserve">13. Case Studies and Comparative Synthesis of the Literature</w:t>
      </w:r>
    </w:p>
    <w:p>
      <w:pPr>
        <w:pStyle w:val="Heading2"/>
      </w:pPr>
      <w:r>
        <w:t xml:space="preserve">13.1 Purpose and Scope of the Synthesis</w:t>
      </w:r>
    </w:p>
    <w:p>
      <w:pPr>
        <w:pStyle w:val="Normal"/>
      </w:pPr>
      <w:r>
        <w:t xml:space="preserve">The framework developed in the preceding sections is best appreciated against the body of research in which its elements have been applied. This section synthesizes representative studies of machine learning applied to magnetic abrasive finishing and, more broadly, to surface-roughness prediction in related finishing and machining processes, drawing out the patterns that recur across the literature and the lessons they carry for practice. The intention is not an exhaustive catalogue but an analytical synthesis: which algorithms have proven effective, on what materials and configurations, with what data volumes, and what methodological strengths and weaknesses characterize the field. Table 15 organizes a set of representative studies along these dimensions, and the discussion that follows interprets the collective evidence.</w:t>
      </w:r>
    </w:p>
    <w:p>
      <w:pPr>
        <w:pStyle w:val="Heading2"/>
      </w:pPr>
      <w:r>
        <w:t xml:space="preserve">13.2 Recurring Findings Across the Literature</w:t>
      </w:r>
    </w:p>
    <w:p>
      <w:pPr>
        <w:pStyle w:val="Normal"/>
      </w:pPr>
      <w:r>
        <w:t xml:space="preserve">Several consistent findings emerge from the accumulated research. First, machine learning models substantially outperform classical low-order regression and response surface models in predictive accuracy for MAF and related processes, with the margin widening as the range of operating conditions broadens and the interaction structure becomes more pronounced—confirming the theoretical argument of Sections 5 and 9 that flexible learners capture the high-order interactions that polynomials cannot. Second, no single algorithm dominates universally, but a recurring trio—neural networks, support vector regression, and tree-based ensembles including gradient boosting and XGBoost—consistently ranks among the top performers, with the best choice depending on dataset size and characteristics, echoing the comparative synthesis of Section 9. Third, the datasets employed are almost invariably small by the standards of mainstream machine learning, typically tens to a few hundred runs, which places a premium on data-efficient methods, rigorous cross-validation, and careful overfitting control, and which explains the prominence of SVR and, increasingly, Gaussian processes. Fourth, hybrid strategies—coupling ML with design of experiments, with metaheuristic optimization, and with physical models—recur as the most productive research designs, integrating prediction with optimization exactly as advocated in Section 12.</w:t>
      </w:r>
    </w:p>
    <w:p>
      <w:pPr>
        <w:pStyle w:val="Normal"/>
      </w:pPr>
      <w:r>
        <w:t xml:space="preserve">Third and most cautionary, the methodological quality of the literature is uneven. Many studies report impressive accuracy on small datasets without nested cross-validation, without a genuinely held-out test set, without uncertainty quantification, and without checks against data leakage, so that their reported performance is likely optimistic. Comparatively few report the measurement repeatability that would establish the noise floor, few quantify predictive uncertainty, and few examine explainability to confirm physical plausibility. These gaps are not reasons to discount the field but signposts for its maturation: the methodological disciplines emphasized throughout this chapter—honest validation, uncertainty quantification, explainability, and leakage prevention—are precisely those whose more consistent adoption would raise the reliability and credibility of ML-based MAF modelling.</w:t>
      </w:r>
    </w:p>
    <w:p>
      <w:pPr>
        <w:pStyle w:val="TableCaption"/>
      </w:pPr>
      <w:r>
        <w:t xml:space="preserve">Table 15. Representative studies of machine learning for MAF and related surface-finishing/roughness-prediction problems, organized by configuration, algorithms, data scale, and key findings. (Entries are illustrative of the patterns discussed in the text; see the reference list for the primary literature.)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trPr>
        <w:tc>
          <w:tcPr>
            <w:tcW w:w="1872" w:type="dxa"/>
            <w:shd w:val="clear" w:color="auto" w:fill="D9E2F3"/>
          </w:tcPr>
          <w:p>
            <w:pPr>
              <w:jc w:val="center"/>
              <w:spacing w:after="20"/>
            </w:pPr>
            <w:r>
              <w:rPr>
                <w:b/>
              </w:rPr>
              <w:t xml:space="preserve">Process / configuration</w:t>
            </w:r>
          </w:p>
        </w:tc>
        <w:tc>
          <w:tcPr>
            <w:tcW w:w="1872" w:type="dxa"/>
            <w:shd w:val="clear" w:color="auto" w:fill="D9E2F3"/>
          </w:tcPr>
          <w:p>
            <w:pPr>
              <w:jc w:val="center"/>
              <w:spacing w:after="20"/>
            </w:pPr>
            <w:r>
              <w:rPr>
                <w:b/>
              </w:rPr>
              <w:t xml:space="preserve">Algorithms compared</w:t>
            </w:r>
          </w:p>
        </w:tc>
        <w:tc>
          <w:tcPr>
            <w:tcW w:w="1872" w:type="dxa"/>
            <w:shd w:val="clear" w:color="auto" w:fill="D9E2F3"/>
          </w:tcPr>
          <w:p>
            <w:pPr>
              <w:jc w:val="center"/>
              <w:spacing w:after="20"/>
            </w:pPr>
            <w:r>
              <w:rPr>
                <w:b/>
              </w:rPr>
              <w:t xml:space="preserve">Data scale</w:t>
            </w:r>
          </w:p>
        </w:tc>
        <w:tc>
          <w:tcPr>
            <w:tcW w:w="1872" w:type="dxa"/>
            <w:shd w:val="clear" w:color="auto" w:fill="D9E2F3"/>
          </w:tcPr>
          <w:p>
            <w:pPr>
              <w:jc w:val="center"/>
              <w:spacing w:after="20"/>
            </w:pPr>
            <w:r>
              <w:rPr>
                <w:b/>
              </w:rPr>
              <w:t xml:space="preserve">Key finding</w:t>
            </w:r>
          </w:p>
        </w:tc>
        <w:tc>
          <w:tcPr>
            <w:tcW w:w="1872" w:type="dxa"/>
            <w:shd w:val="clear" w:color="auto" w:fill="D9E2F3"/>
          </w:tcPr>
          <w:p>
            <w:pPr>
              <w:jc w:val="center"/>
              <w:spacing w:after="20"/>
            </w:pPr>
            <w:r>
              <w:rPr>
                <w:b/>
              </w:rPr>
              <w:t xml:space="preserve">Methodological note</w:t>
            </w:r>
          </w:p>
        </w:tc>
      </w:tr>
      <w:tr>
        <w:tc>
          <w:tcPr>
            <w:tcW w:w="1872" w:type="dxa"/>
          </w:tcPr>
          <w:p>
            <w:pPr>
              <w:spacing w:after="20"/>
            </w:pPr>
            <w:r>
              <w:t xml:space="preserve">Plane MAF, ferromagnetic steel</w:t>
            </w:r>
          </w:p>
        </w:tc>
        <w:tc>
          <w:tcPr>
            <w:tcW w:w="1872" w:type="dxa"/>
          </w:tcPr>
          <w:p>
            <w:pPr>
              <w:spacing w:after="20"/>
            </w:pPr>
            <w:r>
              <w:t xml:space="preserve">ANN vs. regression</w:t>
            </w:r>
          </w:p>
        </w:tc>
        <w:tc>
          <w:tcPr>
            <w:tcW w:w="1872" w:type="dxa"/>
          </w:tcPr>
          <w:p>
            <w:pPr>
              <w:spacing w:after="20"/>
            </w:pPr>
            <w:r>
              <w:t xml:space="preserve">Tens of runs</w:t>
            </w:r>
          </w:p>
        </w:tc>
        <w:tc>
          <w:tcPr>
            <w:tcW w:w="1872" w:type="dxa"/>
          </w:tcPr>
          <w:p>
            <w:pPr>
              <w:spacing w:after="20"/>
            </w:pPr>
            <w:r>
              <w:t xml:space="preserve">ANN markedly more accurate than polynomial regression</w:t>
            </w:r>
          </w:p>
        </w:tc>
        <w:tc>
          <w:tcPr>
            <w:tcW w:w="1872" w:type="dxa"/>
          </w:tcPr>
          <w:p>
            <w:pPr>
              <w:spacing w:after="20"/>
            </w:pPr>
            <w:r>
              <w:t xml:space="preserve">Small dataset; limited validation</w:t>
            </w:r>
          </w:p>
        </w:tc>
      </w:tr>
      <w:tr>
        <w:tc>
          <w:tcPr>
            <w:tcW w:w="1872" w:type="dxa"/>
          </w:tcPr>
          <w:p>
            <w:pPr>
              <w:spacing w:after="20"/>
            </w:pPr>
            <w:r>
              <w:t xml:space="preserve">Cylindrical MAF, stainless steel</w:t>
            </w:r>
          </w:p>
        </w:tc>
        <w:tc>
          <w:tcPr>
            <w:tcW w:w="1872" w:type="dxa"/>
          </w:tcPr>
          <w:p>
            <w:pPr>
              <w:spacing w:after="20"/>
            </w:pPr>
            <w:r>
              <w:t xml:space="preserve">ANN, SVR</w:t>
            </w:r>
          </w:p>
        </w:tc>
        <w:tc>
          <w:tcPr>
            <w:tcW w:w="1872" w:type="dxa"/>
          </w:tcPr>
          <w:p>
            <w:pPr>
              <w:spacing w:after="20"/>
            </w:pPr>
            <w:r>
              <w:t xml:space="preserve">Tens–hundreds</w:t>
            </w:r>
          </w:p>
        </w:tc>
        <w:tc>
          <w:tcPr>
            <w:tcW w:w="1872" w:type="dxa"/>
          </w:tcPr>
          <w:p>
            <w:pPr>
              <w:spacing w:after="20"/>
            </w:pPr>
            <w:r>
              <w:t xml:space="preserve">SVR competitive/superior on small data</w:t>
            </w:r>
          </w:p>
        </w:tc>
        <w:tc>
          <w:tcPr>
            <w:tcW w:w="1872" w:type="dxa"/>
          </w:tcPr>
          <w:p>
            <w:pPr>
              <w:spacing w:after="20"/>
            </w:pPr>
            <w:r>
              <w:t xml:space="preserve">Cross-validation used</w:t>
            </w:r>
          </w:p>
        </w:tc>
      </w:tr>
      <w:tr>
        <w:tc>
          <w:tcPr>
            <w:tcW w:w="1872" w:type="dxa"/>
          </w:tcPr>
          <w:p>
            <w:pPr>
              <w:spacing w:after="20"/>
            </w:pPr>
            <w:r>
              <w:t xml:space="preserve">Internal MAF, tubing</w:t>
            </w:r>
          </w:p>
        </w:tc>
        <w:tc>
          <w:tcPr>
            <w:tcW w:w="1872" w:type="dxa"/>
          </w:tcPr>
          <w:p>
            <w:pPr>
              <w:spacing w:after="20"/>
            </w:pPr>
            <w:r>
              <w:t xml:space="preserve">ANN, RSM hybrid</w:t>
            </w:r>
          </w:p>
        </w:tc>
        <w:tc>
          <w:tcPr>
            <w:tcW w:w="1872" w:type="dxa"/>
          </w:tcPr>
          <w:p>
            <w:pPr>
              <w:spacing w:after="20"/>
            </w:pPr>
            <w:r>
              <w:t xml:space="preserve">Tens of runs</w:t>
            </w:r>
          </w:p>
        </w:tc>
        <w:tc>
          <w:tcPr>
            <w:tcW w:w="1872" w:type="dxa"/>
          </w:tcPr>
          <w:p>
            <w:pPr>
              <w:spacing w:after="20"/>
            </w:pPr>
            <w:r>
              <w:t xml:space="preserve">ML + DOE improves prediction and optimization</w:t>
            </w:r>
          </w:p>
        </w:tc>
        <w:tc>
          <w:tcPr>
            <w:tcW w:w="1872" w:type="dxa"/>
          </w:tcPr>
          <w:p>
            <w:pPr>
              <w:spacing w:after="20"/>
            </w:pPr>
            <w:r>
              <w:t xml:space="preserve">Confirmation experiments reported</w:t>
            </w:r>
          </w:p>
        </w:tc>
      </w:tr>
      <w:tr>
        <w:tc>
          <w:tcPr>
            <w:tcW w:w="1872" w:type="dxa"/>
          </w:tcPr>
          <w:p>
            <w:pPr>
              <w:spacing w:after="20"/>
            </w:pPr>
            <w:r>
              <w:t xml:space="preserve">MAF, non-ferromagnetic alloys</w:t>
            </w:r>
          </w:p>
        </w:tc>
        <w:tc>
          <w:tcPr>
            <w:tcW w:w="1872" w:type="dxa"/>
          </w:tcPr>
          <w:p>
            <w:pPr>
              <w:spacing w:after="20"/>
            </w:pPr>
            <w:r>
              <w:t xml:space="preserve">RF, gradient boosting</w:t>
            </w:r>
          </w:p>
        </w:tc>
        <w:tc>
          <w:tcPr>
            <w:tcW w:w="1872" w:type="dxa"/>
          </w:tcPr>
          <w:p>
            <w:pPr>
              <w:spacing w:after="20"/>
            </w:pPr>
            <w:r>
              <w:t xml:space="preserve">Hundreds</w:t>
            </w:r>
          </w:p>
        </w:tc>
        <w:tc>
          <w:tcPr>
            <w:tcW w:w="1872" w:type="dxa"/>
          </w:tcPr>
          <w:p>
            <w:pPr>
              <w:spacing w:after="20"/>
            </w:pPr>
            <w:r>
              <w:t xml:space="preserve">Tree ensembles robust; feature importance informative</w:t>
            </w:r>
          </w:p>
        </w:tc>
        <w:tc>
          <w:tcPr>
            <w:tcW w:w="1872" w:type="dxa"/>
          </w:tcPr>
          <w:p>
            <w:pPr>
              <w:spacing w:after="20"/>
            </w:pPr>
            <w:r>
              <w:t xml:space="preserve">Feature importance analysed</w:t>
            </w:r>
          </w:p>
        </w:tc>
      </w:tr>
      <w:tr>
        <w:tc>
          <w:tcPr>
            <w:tcW w:w="1872" w:type="dxa"/>
          </w:tcPr>
          <w:p>
            <w:pPr>
              <w:spacing w:after="20"/>
            </w:pPr>
            <w:r>
              <w:t xml:space="preserve">MAF process, multiple materials</w:t>
            </w:r>
          </w:p>
        </w:tc>
        <w:tc>
          <w:tcPr>
            <w:tcW w:w="1872" w:type="dxa"/>
          </w:tcPr>
          <w:p>
            <w:pPr>
              <w:spacing w:after="20"/>
            </w:pPr>
            <w:r>
              <w:t xml:space="preserve">ANN, SVR, XGBoost</w:t>
            </w:r>
          </w:p>
        </w:tc>
        <w:tc>
          <w:tcPr>
            <w:tcW w:w="1872" w:type="dxa"/>
          </w:tcPr>
          <w:p>
            <w:pPr>
              <w:spacing w:after="20"/>
            </w:pPr>
            <w:r>
              <w:t xml:space="preserve">Hundreds</w:t>
            </w:r>
          </w:p>
        </w:tc>
        <w:tc>
          <w:tcPr>
            <w:tcW w:w="1872" w:type="dxa"/>
          </w:tcPr>
          <w:p>
            <w:pPr>
              <w:spacing w:after="20"/>
            </w:pPr>
            <w:r>
              <w:t xml:space="preserve">XGBoost top accuracy on tabular data</w:t>
            </w:r>
          </w:p>
        </w:tc>
        <w:tc>
          <w:tcPr>
            <w:tcW w:w="1872" w:type="dxa"/>
          </w:tcPr>
          <w:p>
            <w:pPr>
              <w:spacing w:after="20"/>
            </w:pPr>
            <w:r>
              <w:t xml:space="preserve">Hyperparameter tuning emphasized</w:t>
            </w:r>
          </w:p>
        </w:tc>
      </w:tr>
      <w:tr>
        <w:tc>
          <w:tcPr>
            <w:tcW w:w="1872" w:type="dxa"/>
          </w:tcPr>
          <w:p>
            <w:pPr>
              <w:spacing w:after="20"/>
            </w:pPr>
            <w:r>
              <w:t xml:space="preserve">Abrasive flow / related finishing</w:t>
            </w:r>
          </w:p>
        </w:tc>
        <w:tc>
          <w:tcPr>
            <w:tcW w:w="1872" w:type="dxa"/>
          </w:tcPr>
          <w:p>
            <w:pPr>
              <w:spacing w:after="20"/>
            </w:pPr>
            <w:r>
              <w:t xml:space="preserve">ANN, ANFIS</w:t>
            </w:r>
          </w:p>
        </w:tc>
        <w:tc>
          <w:tcPr>
            <w:tcW w:w="1872" w:type="dxa"/>
          </w:tcPr>
          <w:p>
            <w:pPr>
              <w:spacing w:after="20"/>
            </w:pPr>
            <w:r>
              <w:t xml:space="preserve">Tens–hundreds</w:t>
            </w:r>
          </w:p>
        </w:tc>
        <w:tc>
          <w:tcPr>
            <w:tcW w:w="1872" w:type="dxa"/>
          </w:tcPr>
          <w:p>
            <w:pPr>
              <w:spacing w:after="20"/>
            </w:pPr>
            <w:r>
              <w:t xml:space="preserve">Neuro-fuzzy competitive; interpretable rules</w:t>
            </w:r>
          </w:p>
        </w:tc>
        <w:tc>
          <w:tcPr>
            <w:tcW w:w="1872" w:type="dxa"/>
          </w:tcPr>
          <w:p>
            <w:pPr>
              <w:spacing w:after="20"/>
            </w:pPr>
            <w:r>
              <w:t xml:space="preserve">Fuzzy interpretability</w:t>
            </w:r>
          </w:p>
        </w:tc>
      </w:tr>
      <w:tr>
        <w:tc>
          <w:tcPr>
            <w:tcW w:w="1872" w:type="dxa"/>
          </w:tcPr>
          <w:p>
            <w:pPr>
              <w:spacing w:after="20"/>
            </w:pPr>
            <w:r>
              <w:t xml:space="preserve">Grinding surface roughness</w:t>
            </w:r>
          </w:p>
        </w:tc>
        <w:tc>
          <w:tcPr>
            <w:tcW w:w="1872" w:type="dxa"/>
          </w:tcPr>
          <w:p>
            <w:pPr>
              <w:spacing w:after="20"/>
            </w:pPr>
            <w:r>
              <w:t xml:space="preserve">ANN, SVR, RF, GPR</w:t>
            </w:r>
          </w:p>
        </w:tc>
        <w:tc>
          <w:tcPr>
            <w:tcW w:w="1872" w:type="dxa"/>
          </w:tcPr>
          <w:p>
            <w:pPr>
              <w:spacing w:after="20"/>
            </w:pPr>
            <w:r>
              <w:t xml:space="preserve">Hundreds</w:t>
            </w:r>
          </w:p>
        </w:tc>
        <w:tc>
          <w:tcPr>
            <w:tcW w:w="1872" w:type="dxa"/>
          </w:tcPr>
          <w:p>
            <w:pPr>
              <w:spacing w:after="20"/>
            </w:pPr>
            <w:r>
              <w:t xml:space="preserve">GPR provides calibrated uncertainty</w:t>
            </w:r>
          </w:p>
        </w:tc>
        <w:tc>
          <w:tcPr>
            <w:tcW w:w="1872" w:type="dxa"/>
          </w:tcPr>
          <w:p>
            <w:pPr>
              <w:spacing w:after="20"/>
            </w:pPr>
            <w:r>
              <w:t xml:space="preserve">Uncertainty quantified</w:t>
            </w:r>
          </w:p>
        </w:tc>
      </w:tr>
      <w:tr>
        <w:tc>
          <w:tcPr>
            <w:tcW w:w="1872" w:type="dxa"/>
          </w:tcPr>
          <w:p>
            <w:pPr>
              <w:spacing w:after="20"/>
            </w:pPr>
            <w:r>
              <w:t xml:space="preserve">Machining roughness (turning/milling)</w:t>
            </w:r>
          </w:p>
        </w:tc>
        <w:tc>
          <w:tcPr>
            <w:tcW w:w="1872" w:type="dxa"/>
          </w:tcPr>
          <w:p>
            <w:pPr>
              <w:spacing w:after="20"/>
            </w:pPr>
            <w:r>
              <w:t xml:space="preserve">ANN, XGBoost, ensembles</w:t>
            </w:r>
          </w:p>
        </w:tc>
        <w:tc>
          <w:tcPr>
            <w:tcW w:w="1872" w:type="dxa"/>
          </w:tcPr>
          <w:p>
            <w:pPr>
              <w:spacing w:after="20"/>
            </w:pPr>
            <w:r>
              <w:t xml:space="preserve">Hundreds–thousands</w:t>
            </w:r>
          </w:p>
        </w:tc>
        <w:tc>
          <w:tcPr>
            <w:tcW w:w="1872" w:type="dxa"/>
          </w:tcPr>
          <w:p>
            <w:pPr>
              <w:spacing w:after="20"/>
            </w:pPr>
            <w:r>
              <w:t xml:space="preserve">Ensembles/boosting strong; deep learning with more data</w:t>
            </w:r>
          </w:p>
        </w:tc>
        <w:tc>
          <w:tcPr>
            <w:tcW w:w="1872" w:type="dxa"/>
          </w:tcPr>
          <w:p>
            <w:pPr>
              <w:spacing w:after="20"/>
            </w:pPr>
            <w:r>
              <w:t xml:space="preserve">Larger datasets available</w:t>
            </w:r>
          </w:p>
        </w:tc>
      </w:tr>
    </w:tbl>
    <w:p>
      <w:pPr>
        <w:spacing w:after="120"/>
      </w:pPr>
    </w:p>
    <w:p>
      <w:pPr>
        <w:pStyle w:val="Heading2"/>
      </w:pPr>
      <w:r>
        <w:t xml:space="preserve">13.3 Illustrative Case Study 1: Neural-Network Modelling of Plane MAF</w:t>
      </w:r>
    </w:p>
    <w:p>
      <w:pPr>
        <w:pStyle w:val="Normal"/>
      </w:pPr>
      <w:r>
        <w:t xml:space="preserve">A characteristic early study models the finishing of a flat ferromagnetic steel surface by plane MAF. A designed experiment varies flux density, gap, rotational speed, abrasive size, and finishing time across a modest number of runs, measuring Ra with replication. A compact feedforward neural network with a single hidden layer, trained by backpropagation with early stopping, is compared against a quadratic response surface regression fitted to the same data. The neural network achieves substantially lower prediction error on held-out runs, and its predicted response surfaces reproduce the non-monotonic effect of flux density and the diminishing-returns effect of time that the quadratic model represents only crudely. The study exemplifies both the promise of the approach—clear superiority of the flexible learner—and the methodological limitations common in the early literature: a small dataset, a single train/test split rather than nested cross-validation, and no uncertainty quantification. It is a useful baseline against which the more rigorous practices advocated here can be contrasted.</w:t>
      </w:r>
    </w:p>
    <w:p>
      <w:pPr>
        <w:pStyle w:val="Heading2"/>
      </w:pPr>
      <w:r>
        <w:t xml:space="preserve">13.4 Illustrative Case Study 2: Comparative Algorithms for Cylindrical MAF</w:t>
      </w:r>
    </w:p>
    <w:p>
      <w:pPr>
        <w:pStyle w:val="Normal"/>
      </w:pPr>
      <w:r>
        <w:t xml:space="preserve">A more methodologically mature study addresses the cylindrical MAF of a stainless-steel shaft, comparing a neural network, a support vector regression, and a tree-based ensemble on a dataset of a few hundred runs generated by a space-filling design. All models are tuned by cross-validation and evaluated on a held-out test set, and the study reports RMSE, MAE, and R² for each. The support vector regression and the tree ensemble prove competitive with or superior to the neural network on this small dataset, consistent with the expectation that SVR and ensembles are more data-efficient. The study analyses feature importance, confirming the dominance of flux density, gap, and grain size, and it uses the best model within a genetic-algorithm optimization to identify settings achieving a target roughness in reduced finishing time, validated by confirmation experiments. This study illustrates the integrated modelling-and-optimization workflow advocated in Section 12 and the value of comparing several algorithms rather than committing to one.</w:t>
      </w:r>
    </w:p>
    <w:p>
      <w:pPr>
        <w:pStyle w:val="Heading2"/>
      </w:pPr>
      <w:r>
        <w:t xml:space="preserve">13.5 Illustrative Case Study 3: Uncertainty-Aware Modelling with Gaussian Processes</w:t>
      </w:r>
    </w:p>
    <w:p>
      <w:pPr>
        <w:pStyle w:val="Normal"/>
      </w:pPr>
      <w:r>
        <w:t xml:space="preserve">A study representative of the emerging best practice applies Gaussian process regression to a finishing process, exploiting the calibrated uncertainty of the GPR posterior. Beyond reporting competitive point-prediction accuracy, the study validates the calibration of the predictive intervals on held-out data and uses the posterior uncertainty to drive an active-learning campaign, placing each successive experiment where the model is most uncertain and thereby building an accurate global model with markedly fewer runs than a fixed design would require. This study operationalizes the epistemic-uncertainty and active-learning concepts of Sections 11 and 12 and points toward the data-efficient, uncertainty-aware, closed-loop future of the field. It is the kind of study whose practices, more widely adopted, would most advance the reliability of ML-based MAF modelling.</w:t>
      </w:r>
    </w:p>
    <w:p>
      <w:pPr>
        <w:pStyle w:val="Heading2"/>
      </w:pPr>
      <w:r>
        <w:t xml:space="preserve">13.6 Lessons for Practice</w:t>
      </w:r>
    </w:p>
    <w:p>
      <w:pPr>
        <w:pStyle w:val="Normal"/>
      </w:pPr>
      <w:r>
        <w:t xml:space="preserve">The collective evidence yields a set of practical lessons that consolidate the chapter's argument. Prefer data-efficient, well-regularized methods—SVR, tree ensembles, and Gaussian processes—for the small datasets typical of MAF, and reserve large neural networks for the rare cases of abundant data. Always compare several algorithms by nested cross-validation rather than championing one. Report multiple metrics on a genuinely held-out test set, together with their variability, and report the measurement repeatability that sets the noise floor. Quantify predictive uncertainty and examine explainability to confirm physical plausibility and to detect spurious correlations. Integrate modelling with design of experiments and with optimization from the outset, and exploit active learning and Bayesian optimization to minimize experimental cost. Guard vigilantly against data leakage at every preprocessing and tuning step. Encode materials by their physical properties to enable generalization across materials. These lessons, drawn from the strengths and weaknesses of the literature, constitute a maturity model for the field, and their adoption is the surest route from promising demonstrations to dependable industrial tools.</w:t>
      </w:r>
    </w:p>
    <w:p>
      <w:pPr>
        <w:pStyle w:val="TableCaption"/>
      </w:pPr>
      <w:r>
        <w:t xml:space="preserve">Table 16. A maturity checklist for machine-learning studies of MAF surface roughness, distilling best practice from the comparative synthesis.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trPr>
        <w:tc>
          <w:tcPr>
            <w:tcW w:w="3120" w:type="dxa"/>
            <w:shd w:val="clear" w:color="auto" w:fill="D9E2F3"/>
          </w:tcPr>
          <w:p>
            <w:pPr>
              <w:jc w:val="center"/>
              <w:spacing w:after="20"/>
            </w:pPr>
            <w:r>
              <w:rPr>
                <w:b/>
              </w:rPr>
              <w:t xml:space="preserve">Practice</w:t>
            </w:r>
          </w:p>
        </w:tc>
        <w:tc>
          <w:tcPr>
            <w:tcW w:w="3120" w:type="dxa"/>
            <w:shd w:val="clear" w:color="auto" w:fill="D9E2F3"/>
          </w:tcPr>
          <w:p>
            <w:pPr>
              <w:jc w:val="center"/>
              <w:spacing w:after="20"/>
            </w:pPr>
            <w:r>
              <w:rPr>
                <w:b/>
              </w:rPr>
              <w:t xml:space="preserve">Immature study</w:t>
            </w:r>
          </w:p>
        </w:tc>
        <w:tc>
          <w:tcPr>
            <w:tcW w:w="3120" w:type="dxa"/>
            <w:shd w:val="clear" w:color="auto" w:fill="D9E2F3"/>
          </w:tcPr>
          <w:p>
            <w:pPr>
              <w:jc w:val="center"/>
              <w:spacing w:after="20"/>
            </w:pPr>
            <w:r>
              <w:rPr>
                <w:b/>
              </w:rPr>
              <w:t xml:space="preserve">Mature study</w:t>
            </w:r>
          </w:p>
        </w:tc>
      </w:tr>
      <w:tr>
        <w:tc>
          <w:tcPr>
            <w:tcW w:w="3120" w:type="dxa"/>
          </w:tcPr>
          <w:p>
            <w:pPr>
              <w:spacing w:after="20"/>
            </w:pPr>
            <w:r>
              <w:t xml:space="preserve">Experimental design</w:t>
            </w:r>
          </w:p>
        </w:tc>
        <w:tc>
          <w:tcPr>
            <w:tcW w:w="3120" w:type="dxa"/>
          </w:tcPr>
          <w:p>
            <w:pPr>
              <w:spacing w:after="20"/>
            </w:pPr>
            <w:r>
              <w:t xml:space="preserve">One-factor-at-a-time or ad hoc</w:t>
            </w:r>
          </w:p>
        </w:tc>
        <w:tc>
          <w:tcPr>
            <w:tcW w:w="3120" w:type="dxa"/>
          </w:tcPr>
          <w:p>
            <w:pPr>
              <w:spacing w:after="20"/>
            </w:pPr>
            <w:r>
              <w:t xml:space="preserve">Space-filling or sequential/active design</w:t>
            </w:r>
          </w:p>
        </w:tc>
      </w:tr>
      <w:tr>
        <w:tc>
          <w:tcPr>
            <w:tcW w:w="3120" w:type="dxa"/>
          </w:tcPr>
          <w:p>
            <w:pPr>
              <w:spacing w:after="20"/>
            </w:pPr>
            <w:r>
              <w:t xml:space="preserve">Dataset size and coverage</w:t>
            </w:r>
          </w:p>
        </w:tc>
        <w:tc>
          <w:tcPr>
            <w:tcW w:w="3120" w:type="dxa"/>
          </w:tcPr>
          <w:p>
            <w:pPr>
              <w:spacing w:after="20"/>
            </w:pPr>
            <w:r>
              <w:t xml:space="preserve">Very small, corners only</w:t>
            </w:r>
          </w:p>
        </w:tc>
        <w:tc>
          <w:tcPr>
            <w:tcW w:w="3120" w:type="dxa"/>
          </w:tcPr>
          <w:p>
            <w:pPr>
              <w:spacing w:after="20"/>
            </w:pPr>
            <w:r>
              <w:t xml:space="preserve">Adequate, interior coverage</w:t>
            </w:r>
          </w:p>
        </w:tc>
      </w:tr>
      <w:tr>
        <w:tc>
          <w:tcPr>
            <w:tcW w:w="3120" w:type="dxa"/>
          </w:tcPr>
          <w:p>
            <w:pPr>
              <w:spacing w:after="20"/>
            </w:pPr>
            <w:r>
              <w:t xml:space="preserve">Validation</w:t>
            </w:r>
          </w:p>
        </w:tc>
        <w:tc>
          <w:tcPr>
            <w:tcW w:w="3120" w:type="dxa"/>
          </w:tcPr>
          <w:p>
            <w:pPr>
              <w:spacing w:after="20"/>
            </w:pPr>
            <w:r>
              <w:t xml:space="preserve">Single split or in-sample</w:t>
            </w:r>
          </w:p>
        </w:tc>
        <w:tc>
          <w:tcPr>
            <w:tcW w:w="3120" w:type="dxa"/>
          </w:tcPr>
          <w:p>
            <w:pPr>
              <w:spacing w:after="20"/>
            </w:pPr>
            <w:r>
              <w:t xml:space="preserve">Nested cross-validation, held-out test</w:t>
            </w:r>
          </w:p>
        </w:tc>
      </w:tr>
      <w:tr>
        <w:tc>
          <w:tcPr>
            <w:tcW w:w="3120" w:type="dxa"/>
          </w:tcPr>
          <w:p>
            <w:pPr>
              <w:spacing w:after="20"/>
            </w:pPr>
            <w:r>
              <w:t xml:space="preserve">Metrics</w:t>
            </w:r>
          </w:p>
        </w:tc>
        <w:tc>
          <w:tcPr>
            <w:tcW w:w="3120" w:type="dxa"/>
          </w:tcPr>
          <w:p>
            <w:pPr>
              <w:spacing w:after="20"/>
            </w:pPr>
            <w:r>
              <w:t xml:space="preserve">Single metric, in-sample</w:t>
            </w:r>
          </w:p>
        </w:tc>
        <w:tc>
          <w:tcPr>
            <w:tcW w:w="3120" w:type="dxa"/>
          </w:tcPr>
          <w:p>
            <w:pPr>
              <w:spacing w:after="20"/>
            </w:pPr>
            <w:r>
              <w:t xml:space="preserve">Multiple metrics, held-out, with variability</w:t>
            </w:r>
          </w:p>
        </w:tc>
      </w:tr>
      <w:tr>
        <w:tc>
          <w:tcPr>
            <w:tcW w:w="3120" w:type="dxa"/>
          </w:tcPr>
          <w:p>
            <w:pPr>
              <w:spacing w:after="20"/>
            </w:pPr>
            <w:r>
              <w:t xml:space="preserve">Noise floor</w:t>
            </w:r>
          </w:p>
        </w:tc>
        <w:tc>
          <w:tcPr>
            <w:tcW w:w="3120" w:type="dxa"/>
          </w:tcPr>
          <w:p>
            <w:pPr>
              <w:spacing w:after="20"/>
            </w:pPr>
            <w:r>
              <w:t xml:space="preserve">Unreported</w:t>
            </w:r>
          </w:p>
        </w:tc>
        <w:tc>
          <w:tcPr>
            <w:tcW w:w="3120" w:type="dxa"/>
          </w:tcPr>
          <w:p>
            <w:pPr>
              <w:spacing w:after="20"/>
            </w:pPr>
            <w:r>
              <w:t xml:space="preserve">Measurement repeatability reported</w:t>
            </w:r>
          </w:p>
        </w:tc>
      </w:tr>
      <w:tr>
        <w:tc>
          <w:tcPr>
            <w:tcW w:w="3120" w:type="dxa"/>
          </w:tcPr>
          <w:p>
            <w:pPr>
              <w:spacing w:after="20"/>
            </w:pPr>
            <w:r>
              <w:t xml:space="preserve">Algorithm comparison</w:t>
            </w:r>
          </w:p>
        </w:tc>
        <w:tc>
          <w:tcPr>
            <w:tcW w:w="3120" w:type="dxa"/>
          </w:tcPr>
          <w:p>
            <w:pPr>
              <w:spacing w:after="20"/>
            </w:pPr>
            <w:r>
              <w:t xml:space="preserve">Single algorithm</w:t>
            </w:r>
          </w:p>
        </w:tc>
        <w:tc>
          <w:tcPr>
            <w:tcW w:w="3120" w:type="dxa"/>
          </w:tcPr>
          <w:p>
            <w:pPr>
              <w:spacing w:after="20"/>
            </w:pPr>
            <w:r>
              <w:t xml:space="preserve">Several algorithms compared/stacked</w:t>
            </w:r>
          </w:p>
        </w:tc>
      </w:tr>
      <w:tr>
        <w:tc>
          <w:tcPr>
            <w:tcW w:w="3120" w:type="dxa"/>
          </w:tcPr>
          <w:p>
            <w:pPr>
              <w:spacing w:after="20"/>
            </w:pPr>
            <w:r>
              <w:t xml:space="preserve">Uncertainty</w:t>
            </w:r>
          </w:p>
        </w:tc>
        <w:tc>
          <w:tcPr>
            <w:tcW w:w="3120" w:type="dxa"/>
          </w:tcPr>
          <w:p>
            <w:pPr>
              <w:spacing w:after="20"/>
            </w:pPr>
            <w:r>
              <w:t xml:space="preserve">None</w:t>
            </w:r>
          </w:p>
        </w:tc>
        <w:tc>
          <w:tcPr>
            <w:tcW w:w="3120" w:type="dxa"/>
          </w:tcPr>
          <w:p>
            <w:pPr>
              <w:spacing w:after="20"/>
            </w:pPr>
            <w:r>
              <w:t xml:space="preserve">Quantified and calibration-checked</w:t>
            </w:r>
          </w:p>
        </w:tc>
      </w:tr>
      <w:tr>
        <w:tc>
          <w:tcPr>
            <w:tcW w:w="3120" w:type="dxa"/>
          </w:tcPr>
          <w:p>
            <w:pPr>
              <w:spacing w:after="20"/>
            </w:pPr>
            <w:r>
              <w:t xml:space="preserve">Explainability</w:t>
            </w:r>
          </w:p>
        </w:tc>
        <w:tc>
          <w:tcPr>
            <w:tcW w:w="3120" w:type="dxa"/>
          </w:tcPr>
          <w:p>
            <w:pPr>
              <w:spacing w:after="20"/>
            </w:pPr>
            <w:r>
              <w:t xml:space="preserve">None</w:t>
            </w:r>
          </w:p>
        </w:tc>
        <w:tc>
          <w:tcPr>
            <w:tcW w:w="3120" w:type="dxa"/>
          </w:tcPr>
          <w:p>
            <w:pPr>
              <w:spacing w:after="20"/>
            </w:pPr>
            <w:r>
              <w:t xml:space="preserve">Feature importance and partial dependence</w:t>
            </w:r>
          </w:p>
        </w:tc>
      </w:tr>
      <w:tr>
        <w:tc>
          <w:tcPr>
            <w:tcW w:w="3120" w:type="dxa"/>
          </w:tcPr>
          <w:p>
            <w:pPr>
              <w:spacing w:after="20"/>
            </w:pPr>
            <w:r>
              <w:t xml:space="preserve">Leakage control</w:t>
            </w:r>
          </w:p>
        </w:tc>
        <w:tc>
          <w:tcPr>
            <w:tcW w:w="3120" w:type="dxa"/>
          </w:tcPr>
          <w:p>
            <w:pPr>
              <w:spacing w:after="20"/>
            </w:pPr>
            <w:r>
              <w:t xml:space="preserve">Not addressed</w:t>
            </w:r>
          </w:p>
        </w:tc>
        <w:tc>
          <w:tcPr>
            <w:tcW w:w="3120" w:type="dxa"/>
          </w:tcPr>
          <w:p>
            <w:pPr>
              <w:spacing w:after="20"/>
            </w:pPr>
            <w:r>
              <w:t xml:space="preserve">Scaling/imputation/tuning within training only</w:t>
            </w:r>
          </w:p>
        </w:tc>
      </w:tr>
      <w:tr>
        <w:tc>
          <w:tcPr>
            <w:tcW w:w="3120" w:type="dxa"/>
          </w:tcPr>
          <w:p>
            <w:pPr>
              <w:spacing w:after="20"/>
            </w:pPr>
            <w:r>
              <w:t xml:space="preserve">Optimization integration</w:t>
            </w:r>
          </w:p>
        </w:tc>
        <w:tc>
          <w:tcPr>
            <w:tcW w:w="3120" w:type="dxa"/>
          </w:tcPr>
          <w:p>
            <w:pPr>
              <w:spacing w:after="20"/>
            </w:pPr>
            <w:r>
              <w:t xml:space="preserve">Prediction only</w:t>
            </w:r>
          </w:p>
        </w:tc>
        <w:tc>
          <w:tcPr>
            <w:tcW w:w="3120" w:type="dxa"/>
          </w:tcPr>
          <w:p>
            <w:pPr>
              <w:spacing w:after="20"/>
            </w:pPr>
            <w:r>
              <w:t xml:space="preserve">Coupled with DOE and optimization</w:t>
            </w:r>
          </w:p>
        </w:tc>
      </w:tr>
      <w:tr>
        <w:tc>
          <w:tcPr>
            <w:tcW w:w="3120" w:type="dxa"/>
          </w:tcPr>
          <w:p>
            <w:pPr>
              <w:spacing w:after="20"/>
            </w:pPr>
            <w:r>
              <w:t xml:space="preserve">Material handling</w:t>
            </w:r>
          </w:p>
        </w:tc>
        <w:tc>
          <w:tcPr>
            <w:tcW w:w="3120" w:type="dxa"/>
          </w:tcPr>
          <w:p>
            <w:pPr>
              <w:spacing w:after="20"/>
            </w:pPr>
            <w:r>
              <w:t xml:space="preserve">Separate models or labels</w:t>
            </w:r>
          </w:p>
        </w:tc>
        <w:tc>
          <w:tcPr>
            <w:tcW w:w="3120" w:type="dxa"/>
          </w:tcPr>
          <w:p>
            <w:pPr>
              <w:spacing w:after="20"/>
            </w:pPr>
            <w:r>
              <w:t xml:space="preserve">Property-based encoding for generalization</w:t>
            </w:r>
          </w:p>
        </w:tc>
      </w:tr>
    </w:tbl>
    <w:p>
      <w:pPr>
        <w:spacing w:after="120"/>
      </w:pPr>
    </w:p>
    <w:p>
      <w:pPr>
        <w:pStyle w:val="FigureImg"/>
      </w:pPr>
      <w:r>
        <w:drawing>
          <wp:inline xmlns:wp="http://schemas.openxmlformats.org/drawingml/2006/wordprocessingDrawing" distT="0" distB="0" distL="0" distR="0">
            <wp:extent cx="5486400" cy="3465094"/>
            <wp:effectExtent l="0" t="0" r="0" b="0"/>
            <wp:docPr id="1995596356"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96356" name="Figure 20"/>
                    <pic:cNvPicPr/>
                  </pic:nvPicPr>
                  <pic:blipFill>
                    <a:blip xmlns:r="http://schemas.openxmlformats.org/officeDocument/2006/relationships" r:embed="rId20"/>
                    <a:stretch>
                      <a:fillRect/>
                    </a:stretch>
                  </pic:blipFill>
                  <pic:spPr>
                    <a:xfrm>
                      <a:off x="0" y="0"/>
                      <a:ext cx="5486400" cy="3465094"/>
                    </a:xfrm>
                    <a:prstGeom prst="rect">
                      <a:avLst/>
                    </a:prstGeom>
                  </pic:spPr>
                </pic:pic>
              </a:graphicData>
            </a:graphic>
          </wp:inline>
        </w:drawing>
      </w:r>
    </w:p>
    <w:p>
      <w:pPr>
        <w:pStyle w:val="FigureCaption"/>
      </w:pPr>
      <w:r>
        <w:t xml:space="preserve">Figure 20. A comparative synthesis of reported model performance (schematic coefficient of determination) across algorithm families for MAF and related surface-roughness prediction problems, with indicative ranges reflecting the spread across studies and dataset sizes, illustrating the consistent strength of tree ensembles, support vector regression, and Gaussian processes on small tabular datasets and of neural networks as data grow [76], [77], [78], [79], [80], [81], [82], [83], [84], [85], [86], [87], [88], [89], [90].</w:t>
      </w:r>
    </w:p>
    <w:p>
      <w:pPr>
        <w:pStyle w:val="Heading1"/>
      </w:pPr>
      <w:r>
        <w:t xml:space="preserve">14. Challenges, Limitations, and Future Directions</w:t>
      </w:r>
    </w:p>
    <w:p>
      <w:pPr>
        <w:pStyle w:val="Heading2"/>
      </w:pPr>
      <w:r>
        <w:t xml:space="preserve">14.1 The Data Scarcity Challenge</w:t>
      </w:r>
    </w:p>
    <w:p>
      <w:pPr>
        <w:pStyle w:val="Normal"/>
      </w:pPr>
      <w:r>
        <w:t xml:space="preserve">The single most pervasive limitation of ML-based MAF modelling is the scarcity of data. Every data point is a physical experiment consuming a workpiece, abrasive medium, machine time, and metrology effort, and the datasets that result—tens to a few hundred runs—are minuscule by the standards of the domains in which machine learning has achieved its most celebrated successes. Data scarcity constrains the whole enterprise: it limits the complexity of model that can be justified, it inflates the uncertainty of both predictions and performance estimates, it makes overfitting a constant danger, and it renders the field vulnerable to the optimistic self-deception of models that flatter on tiny test sets. Every methodological emphasis of this chapter—data-efficient algorithms, rigorous cross-validation, uncertainty quantification, leakage prevention, and space-filling and sequential design—is in part a response to data scarcity. The most consequential future advances will be those that alleviate it: data augmentation from physics-based simulation, transfer learning that borrows strength across related problems, active learning that extracts maximal information per experiment, and the construction and sharing of larger, standardized, openly available benchmark datasets. The last of these deserves emphasis: the absence of shared benchmark datasets, common in mature ML subfields, impedes the objective comparison of methods and the cumulative progress of the field, and its remedy is a community responsibility rather than a technical one.</w:t>
      </w:r>
    </w:p>
    <w:p>
      <w:pPr>
        <w:pStyle w:val="Heading2"/>
      </w:pPr>
      <w:r>
        <w:t xml:space="preserve">14.2 Physics-Informed Machine Learning</w:t>
      </w:r>
    </w:p>
    <w:p>
      <w:pPr>
        <w:pStyle w:val="Normal"/>
      </w:pPr>
      <w:r>
        <w:t xml:space="preserve">A response to data scarcity that also improves physical plausibility and extrapolation is </w:t>
      </w:r>
      <w:r>
        <w:rPr>
          <w:b/>
        </w:rPr>
        <w:t xml:space="preserve">physics-informed machine learning</w:t>
      </w:r>
      <w:r>
        <w:t xml:space="preserve">, which integrates physical knowledge into data-driven models rather than treating them as purely empirical. Physical knowledge can be incorporated in several ways. Physically motivated </w:t>
      </w:r>
      <w:r>
        <w:rPr>
          <w:b/>
        </w:rPr>
        <w:t xml:space="preserve">feature engineering</w:t>
      </w:r>
      <w:r>
        <w:t xml:space="preserve">, as discussed in Section 8, embeds known scaling relationships—the dependence of force on the product of field and gradient, of cutting events on the product of speed and time—into the input representation, reducing the burden on the learner. </w:t>
      </w:r>
      <w:r>
        <w:rPr>
          <w:b/>
        </w:rPr>
        <w:t xml:space="preserve">Physics-based constraints</w:t>
      </w:r>
      <w:r>
        <w:t xml:space="preserve"> can be added to the training objective, penalizing predictions that violate known monotonicities, bounds, or conservation principles, so that the model respects physical reality even where data are absent. </w:t>
      </w:r>
      <w:r>
        <w:rPr>
          <w:b/>
        </w:rPr>
        <w:t xml:space="preserve">Residual or hybrid modelling</w:t>
      </w:r>
      <w:r>
        <w:t xml:space="preserve"> uses a physics-based analytical or finite-element model to provide a first-order prediction and an ML model to learn the discrepancy between the physics and the observations, combining the extrapolation and interpretability of the physical model with the accuracy of the data-driven correction. </w:t>
      </w:r>
      <w:r>
        <w:rPr>
          <w:b/>
        </w:rPr>
        <w:t xml:space="preserve">Simulation-augmented training</w:t>
      </w:r>
      <w:r>
        <w:t xml:space="preserve"> uses coupled magnetic-field and abrasive-mechanics simulations to generate synthetic data that pre-train or augment a model subsequently fine-tuned on scarce experimental data. Physics-informed approaches are especially promising for MAF because the process, though difficult to model exactly, is not physically obscure: its governing mechanisms are understood well enough to constrain and guide learning, and marrying this understanding to data-driven flexibility is a natural and powerful strategy that mitigates data scarcity while enhancing trust and extrapolation.</w:t>
      </w:r>
    </w:p>
    <w:p>
      <w:pPr>
        <w:pStyle w:val="Heading2"/>
      </w:pPr>
      <w:r>
        <w:t xml:space="preserve">14.3 Transfer Learning Across Materials, Configurations, and Machines</w:t>
      </w:r>
    </w:p>
    <w:p>
      <w:pPr>
        <w:pStyle w:val="Normal"/>
      </w:pPr>
      <w:r>
        <w:t xml:space="preserve">A second response to data scarcity is </w:t>
      </w:r>
      <w:r>
        <w:rPr>
          <w:b/>
        </w:rPr>
        <w:t xml:space="preserve">transfer learning</w:t>
      </w:r>
      <w:r>
        <w:t xml:space="preserve">, which leverages knowledge gained on one problem to accelerate learning on a related one. In MAF, transfer learning is attractive along several axes. Across </w:t>
      </w:r>
      <w:r>
        <w:rPr>
          <w:b/>
        </w:rPr>
        <w:t xml:space="preserve">materials</w:t>
      </w:r>
      <w:r>
        <w:t xml:space="preserve">, a model trained on abundant data for one alloy can be adapted with a small amount of data to a new alloy, especially when materials are represented by their physical properties (Section 8) so that the learned relationships transfer through the property space rather than being tied to material labels. Across </w:t>
      </w:r>
      <w:r>
        <w:rPr>
          <w:b/>
        </w:rPr>
        <w:t xml:space="preserve">configurations</w:t>
      </w:r>
      <w:r>
        <w:t xml:space="preserve">, knowledge from cylindrical MAF might inform models of plane or internal MAF, whose physics overlaps though it differs. Across </w:t>
      </w:r>
      <w:r>
        <w:rPr>
          <w:b/>
        </w:rPr>
        <w:t xml:space="preserve">machines</w:t>
      </w:r>
      <w:r>
        <w:t xml:space="preserve">, a model developed on one machine can be adapted to another with modest recalibration data, addressing the machine-to-machine variability that otherwise fragments datasets. Transfer learning thus offers a route to reuse the hard-won information in existing datasets rather than starting each new problem from scratch, and it is a natural complement to property-based encoding and physics-informed learning. Its realization requires care—negative transfer, in which inappropriate borrowing degrades performance, is a genuine risk—but its potential to multiply the value of scarce data makes it one of the most promising directions for the field.</w:t>
      </w:r>
    </w:p>
    <w:p>
      <w:pPr>
        <w:pStyle w:val="Heading2"/>
      </w:pPr>
      <w:r>
        <w:t xml:space="preserve">14.4 Deep Learning and Richer Data Modalities</w:t>
      </w:r>
    </w:p>
    <w:p>
      <w:pPr>
        <w:pStyle w:val="Normal"/>
      </w:pPr>
      <w:r>
        <w:t xml:space="preserve">The neural networks discussed in Section 9 are shallow by contemporary standards, appropriately so given the small tabular datasets of MAF. As data grow and as richer data modalities become available, deeper and more specialized architectures become relevant. </w:t>
      </w:r>
      <w:r>
        <w:rPr>
          <w:b/>
        </w:rPr>
        <w:t xml:space="preserve">Convolutional neural networks</w:t>
      </w:r>
      <w:r>
        <w:t xml:space="preserve"> can learn directly from images of surface topography—optical or electron micrographs, areal topography maps—extracting features that hand-crafted roughness parameters miss and predicting functional properties directly from the surface image. </w:t>
      </w:r>
      <w:r>
        <w:rPr>
          <w:b/>
        </w:rPr>
        <w:t xml:space="preserve">Recurrent networks and temporal architectures</w:t>
      </w:r>
      <w:r>
        <w:t xml:space="preserve"> can model the time evolution of the finishing process from in-process sensor streams, predicting the trajectory of roughness reduction rather than only its endpoint, which is directly relevant to the closed-loop control of Section 12. </w:t>
      </w:r>
      <w:r>
        <w:rPr>
          <w:b/>
        </w:rPr>
        <w:t xml:space="preserve">Graph neural networks</w:t>
      </w:r>
      <w:r>
        <w:t xml:space="preserve"> can represent the structured relationships among process variables, materials, and outcomes. </w:t>
      </w:r>
      <w:r>
        <w:rPr>
          <w:b/>
        </w:rPr>
        <w:t xml:space="preserve">Autoencoders and generative models</w:t>
      </w:r>
      <w:r>
        <w:t xml:space="preserve"> can learn compact representations of surface topography and generate synthetic data. These architectures demand more data than tabular MAF studies currently provide, but as in-process sensing and areal metrology proliferate, and as datasets grow and are shared, deep learning on rich modalities will become increasingly feasible and valuable, extending prediction from scalar roughness to full surface topography and temporal dynamics.</w:t>
      </w:r>
    </w:p>
    <w:p>
      <w:pPr>
        <w:pStyle w:val="Heading2"/>
      </w:pPr>
      <w:r>
        <w:t xml:space="preserve">14.5 In-Process Sensing and Real-Time Modelling</w:t>
      </w:r>
    </w:p>
    <w:p>
      <w:pPr>
        <w:pStyle w:val="Normal"/>
      </w:pPr>
      <w:r>
        <w:t xml:space="preserve">The closed-loop adaptive control envisioned in Section 12 is presently limited less by modelling than by sensing: the reliable, real-time, in-process measurement of surface roughness during finishing remains difficult, because the finishing zone is occupied by the abrasive medium and fluid and is inaccessible to conventional profilometry. Advances in in-process sensing are therefore a prerequisite for the fullest realization of intelligent MAF. Promising approaches include indirect inference of surface state from force, current, and acoustic-emission signals via ML models trained to map these signals to roughness; in-situ optical sensing during pauses or in accessible regions; and the fusion of multiple sensor modalities. The modelling counterpart is </w:t>
      </w:r>
      <w:r>
        <w:rPr>
          <w:b/>
        </w:rPr>
        <w:t xml:space="preserve">real-time, adaptive modelling</w:t>
      </w:r>
      <w:r>
        <w:t xml:space="preserve">, in which the predictive model is updated online as sensor data accumulate, tracking drift in tooling and medium condition and adapting to each individual workpiece. The convergence of improved in-process sensing with real-time adaptive modelling would enable the self-optimizing, self-terminating MAF process that represents the technology's intelligent future, and it is a direction at the intersection of sensing, modelling, and control.</w:t>
      </w:r>
    </w:p>
    <w:p>
      <w:pPr>
        <w:pStyle w:val="Heading2"/>
      </w:pPr>
      <w:r>
        <w:t xml:space="preserve">14.6 Digital Twins of the MAF Process</w:t>
      </w:r>
    </w:p>
    <w:p>
      <w:pPr>
        <w:pStyle w:val="Normal"/>
      </w:pPr>
      <w:r>
        <w:t xml:space="preserve">A concept that integrates many of the foregoing directions is the </w:t>
      </w:r>
      <w:r>
        <w:rPr>
          <w:b/>
        </w:rPr>
        <w:t xml:space="preserve">digital twin</w:t>
      </w:r>
      <w:r>
        <w:t xml:space="preserve">: a living, data-driven virtual replica of the physical MAF process that mirrors it in real time, is continuously updated by sensor data, and serves simultaneously as a predictor, an optimizer, and a monitor. A MAF digital twin would embed the predictive model, the physics-informed constraints, and the optimization and control logic in a single computational entity that runs alongside the physical machine, ingesting its sensor streams, estimating and predicting the surface state, recommending or enacting parameter adjustments, detecting anomalies and faults, and accumulating data to refine itself over the machine's life. The digital twin unifies the offline design, the online control, and the lifelong learning of the process, and it is the natural vehicle for delivering the intelligent MAF envisioned throughout this chapter within a manufacturing information architecture. Its realization depends on the maturation of the constituent technologies—predictive modelling, in-process sensing, real-time adaptation, and integration standards—and it represents an aspirational but increasingly attainable synthesis of the field's several threads.</w:t>
      </w:r>
    </w:p>
    <w:p>
      <w:pPr>
        <w:pStyle w:val="Heading2"/>
      </w:pPr>
      <w:r>
        <w:t xml:space="preserve">14.7 MAF Within Industry 4.0 and Smart Manufacturing</w:t>
      </w:r>
    </w:p>
    <w:p>
      <w:pPr>
        <w:pStyle w:val="Normal"/>
      </w:pPr>
      <w:r>
        <w:t xml:space="preserve">The intelligent MAF process does not exist in isolation but as a node within the broader Industry 4.0 vision of interconnected, data-driven, self-optimizing manufacturing. In this vision, the MAF cell communicates with upstream and downstream processes, with enterprise planning systems, and with quality-management systems; its data feed and are fed by a manufacturing data platform; and its predictive and optimization models are elements of a plant-wide intelligence that coordinates processes, predicts and prevents quality excursions, and optimizes across the whole production chain rather than within each process in isolation. The predictive model of MAF surface roughness becomes a component of a larger digital ecosystem, its outputs informing scheduling, its inputs enriched by upstream process data, and its continuous improvement part of a plant-wide learning system. This integration raises challenges of data standardization, interoperability, cybersecurity, and organizational change that transcend the technical modelling questions of this chapter, but it also multiplies the value of the modelling: a predictive model embedded in a smart manufacturing system delivers far more than the same model used in isolation, because it participates in decisions across the enterprise. The trajectory of MAF, like that of every manufacturing process, is toward this integrated, intelligent, data-driven future, and the ML-based predictive modelling developed here is the essential enabling capability.</w:t>
      </w:r>
    </w:p>
    <w:p>
      <w:pPr>
        <w:pStyle w:val="Heading2"/>
      </w:pPr>
      <w:r>
        <w:t xml:space="preserve">14.8 Standardization, Reproducibility, and Open Science</w:t>
      </w:r>
    </w:p>
    <w:p>
      <w:pPr>
        <w:pStyle w:val="Normal"/>
      </w:pPr>
      <w:r>
        <w:t xml:space="preserve">Underlying all these technical directions is a set of practices without which the field cannot mature: standardization, reproducibility, and open science. The heterogeneity of measurement protocols, the absence of shared benchmark datasets, the frequent under-reporting of methodological detail, and the difficulty of reproducing published results all impede cumulative progress. The remedies are cultural and institutional as much as technical: the adoption of standardized measurement and reporting protocols so that data from different sources are comparable; the creation and open sharing of benchmark datasets on which methods can be objectively compared; the publication of code and trained models alongside results so that findings can be reproduced and built upon; and the reporting of the methodological detail—validation scheme, noise floor, uncertainty, leakage controls—that allows readers to judge reliability. These practices, routine in mature machine-learning subfields, are as important to the advancement of ML-based MAF modelling as any algorithmic innovation, and their adoption would accelerate the field's maturation from a collection of promising individual demonstrations into a cumulative, reliable, and industrially trusted body of knowledge.</w:t>
      </w:r>
    </w:p>
    <w:p>
      <w:pPr>
        <w:pStyle w:val="Heading2"/>
      </w:pPr>
      <w:r>
        <w:t xml:space="preserve">14.9 Ethical, Economic, and Workforce Considerations</w:t>
      </w:r>
    </w:p>
    <w:p>
      <w:pPr>
        <w:pStyle w:val="Normal"/>
      </w:pPr>
      <w:r>
        <w:t xml:space="preserve">Finally, the deployment of intelligent MAF raises considerations beyond the technical. The </w:t>
      </w:r>
      <w:r>
        <w:rPr>
          <w:b/>
        </w:rPr>
        <w:t xml:space="preserve">economic</w:t>
      </w:r>
      <w:r>
        <w:t xml:space="preserve"> case for ML-based optimization—reduced experimentation, faster process development, higher yield, less scrap, and improved quality—is compelling, but it must be weighed against the cost of instrumentation, data infrastructure, and expertise, and the return is greatest for high-value, high-volume, or difficult applications where the finishing challenge is acute. The </w:t>
      </w:r>
      <w:r>
        <w:rPr>
          <w:b/>
        </w:rPr>
        <w:t xml:space="preserve">workforce</w:t>
      </w:r>
      <w:r>
        <w:t xml:space="preserve"> implications are significant: intelligent MAF shifts the skill profile from manual process tuning toward data literacy, model interpretation, and system supervision, requiring investment in training and the thoughtful redesign of roles rather than the wholesale replacement of expertise. The </w:t>
      </w:r>
      <w:r>
        <w:rPr>
          <w:b/>
        </w:rPr>
        <w:t xml:space="preserve">responsible</w:t>
      </w:r>
      <w:r>
        <w:t xml:space="preserve"> deployment of ML in a manufacturing context demands attention to the reliability and safety of automated decisions, the transparency and auditability of models (hence the emphasis on explainability), and the avoidance of over-reliance on models beyond their validated domain. These considerations do not diminish the promise of intelligent MAF but temper it with the realism required for successful, responsible, and durable adoption, and they remind us that the ultimate measure of the framework developed in this chapter is not the elegance of its models but the value, reliability, and integrity of the manufacturing it enables [91], [92], [93], [94], [95], [96], [97], [98], [99], [100], [101], [102], [103], [104], [105].</w:t>
      </w:r>
    </w:p>
    <w:p>
      <w:pPr>
        <w:pStyle w:val="Heading1"/>
      </w:pPr>
      <w:r>
        <w:t xml:space="preserve">15. Conclusions</w:t>
      </w:r>
    </w:p>
    <w:p>
      <w:pPr>
        <w:pStyle w:val="Heading2"/>
      </w:pPr>
      <w:r>
        <w:t xml:space="preserve">15.1 Summary of the Framework</w:t>
      </w:r>
    </w:p>
    <w:p>
      <w:pPr>
        <w:pStyle w:val="Normal"/>
      </w:pPr>
      <w:r>
        <w:t xml:space="preserve">This chapter has developed, in comprehensive detail, a systematic framework for the machine-learning-based prediction of surface roughness in magnetic abrasive finishing and for the intelligent, data-driven optimization that predictive modelling enables. The framework was constructed as an end-to-end pipeline grounded in the physics of the process and completed by its intelligent control. It began with the fundamentals of MAF—the self-organizing magnetic abrasive brush, the components of a typical system, and the causal chain from magnetic field to surface improvement—and with the micro-scale mechanics of material removal through the interplay of cutting, ploughing, and sliding across three evolving stages toward a saturation roughness. It developed the metrology of surface roughness, situating the ubiquitous but incomplete Ra within a fuller family of amplitude, spacing, shape, and integrity descriptors, and it analysed the process parameters and, crucially, their pervasive high-order interactions, which are the fundamental reason that flexible data-driven models outperform classical low-order regression.</w:t>
      </w:r>
    </w:p>
    <w:p>
      <w:pPr>
        <w:pStyle w:val="Normal"/>
      </w:pPr>
      <w:r>
        <w:t xml:space="preserve">The framework then addressed the disciplines on which sound data-driven modelling rests: the acquisition of representative data through calibrated measurement, replication, randomization, and the control of confounders; the design of experiments, contrasting classical designs with the space-filling and sequential designs better suited to training flexible learners; and the preprocessing pipeline of cleaning, imputation, outlier handling, scaling, encoding, feature engineering, selection, and partitioning. It provided a thorough exposition of the principal machine-learning algorithms—artificial neural networks, support vector regression, random forests, gradient boosting, XGBoost, Gaussian processes, k-nearest neighbours, and ensemble and hybrid strategies—each analysed for its principle, its assumptions, and its suitability to the small, smooth, low-dimensional, interaction-laden datasets characteristic of MAF. It established rigorous practices for training, validation, metric reporting, diagnostic visualization, hyperparameter optimization, nested cross-validation, and leakage prevention, and it treated the quantification of predictive uncertainty and the explanation of model behaviour as requirements rather than refinements. Finally, it demonstrated how validated predictive models are embedded within single- and multi-objective optimization, within Bayesian optimization and active learning for efficient experimentation, and within closed-loop adaptive control, thereby closing the loop from prediction to intelligent process optimization, and it synthesized the literature and charted the field's challenges and future directions.</w:t>
      </w:r>
    </w:p>
    <w:p>
      <w:pPr>
        <w:pStyle w:val="Heading2"/>
      </w:pPr>
      <w:r>
        <w:t xml:space="preserve">15.2 Principal Conclusions</w:t>
      </w:r>
    </w:p>
    <w:p>
      <w:pPr>
        <w:pStyle w:val="Normal"/>
      </w:pPr>
      <w:r>
        <w:t xml:space="preserve">Several principal conclusions emerge. First, the relationship between MAF process parameters and surface roughness is strongly nonlinear and dominated by high-order interactions that low-order analytical and response surface models cannot faithfully represent, and this is the fundamental and enduring justification for the machine-learning approach. Second, flexible learners—neural networks, support vector regression, tree ensembles, gradient-boosting frameworks, and Gaussian processes—capture this structure directly from data and consistently outperform classical regression, with support vector regression, tree ensembles, and Gaussian processes particularly well suited to the small datasets that characterize the field, and no single algorithm universally dominant. Third, the reliability of a data-driven model is determined at least as much by the quality of the data and the rigour of the methodology—sound experimental design, careful preprocessing, honest validation, uncertainty quantification, explainability, and leakage prevention—as by the choice of algorithm, and the methodological maturity of the field is the principal determinant of its trustworthiness. Fourth, the true value of predictive modelling is realized when it is integrated with optimization and control: a validated surrogate enables the exhaustive, inexpensive search for optimal settings, the discovery of Pareto-efficient trade-offs, the uncertainty-guided minimization of experimental cost, and, ultimately, the closed-loop adaptive control that represents the intelligent future of the process.</w:t>
      </w:r>
    </w:p>
    <w:p>
      <w:pPr>
        <w:pStyle w:val="Heading2"/>
      </w:pPr>
      <w:r>
        <w:t xml:space="preserve">15.3 Outlook</w:t>
      </w:r>
    </w:p>
    <w:p>
      <w:pPr>
        <w:pStyle w:val="Normal"/>
      </w:pPr>
      <w:r>
        <w:t xml:space="preserve">The trajectory of the field is clear even where its destination remains distant. The alleviation of data scarcity through physics-informed learning, transfer learning, active learning, and shared benchmark datasets; the extension of prediction from scalar roughness to full surface topography, temporal dynamics, and subsurface integrity through richer data modalities and deeper architectures; the maturation of in-process sensing and real-time adaptive modelling to enable closed-loop control; the integration of predictive models into digital twins and Industry 4.0 manufacturing ecosystems; and the community adoption of standardization, reproducibility, and open science—these are the directions along which the field will advance from its present state of promising individual demonstrations toward a cumulative, reliable, and industrially trusted discipline. Magnetic abrasive finishing, uniquely suited by its flexibility and its gentle, integrity-preserving action to the finishing challenges of advanced manufacturing, and machine learning, uniquely suited to the nonlinear, interaction-laden modelling that MAF demands, are natural partners. Their union, developed with the physical grounding, statistical rigour, and computational sophistication that this chapter has sought to integrate, promises finishing processes that are faster to develop, more precisely optimized, more reliably controlled, and more deeply understood—an intelligent finishing technology commensurate with the demands of the components on which the performance of modern engineered systems increasingly depends.</w:t>
      </w:r>
    </w:p>
    <w:p>
      <w:pPr>
        <w:pStyle w:val="Heading1"/>
      </w:pPr>
      <w:r>
        <w:t xml:space="preserve">16. Extended Treatment: The Magnetics of the Finishing Zone</w:t>
      </w:r>
    </w:p>
    <w:p>
      <w:pPr>
        <w:pStyle w:val="Heading2"/>
      </w:pPr>
      <w:r>
        <w:t xml:space="preserve">16.1 Motivation for a Deeper Magnetic Analysis</w:t>
      </w:r>
    </w:p>
    <w:p>
      <w:pPr>
        <w:pStyle w:val="Normal"/>
      </w:pPr>
      <w:r>
        <w:t xml:space="preserve">The preceding sections treated the magnetic field largely as a controllable input whose effect on surface roughness is learned empirically. For a fuller understanding—and for the physics-informed and hybrid modelling advocated in Section 14—it is valuable to examine the magnetics of the finishing zone in greater depth. The magnetic field is the origin of the finishing force, the organizer of the abrasive brush, and the principal lever of control, and a quantitative grasp of how it is generated, distributed, and coupled to the abrasive medium illuminates why certain parameters interact as they do and how physical knowledge can be embedded in data-driven models. This section develops the magnetics of MAF from first principles to the practical level, without pretending to the completeness of a dedicated treatise, and it connects each result to the modelling framework.</w:t>
      </w:r>
    </w:p>
    <w:p>
      <w:pPr>
        <w:pStyle w:val="Heading2"/>
      </w:pPr>
      <w:r>
        <w:t xml:space="preserve">16.2 Field Generation and the Magnetic Circuit</w:t>
      </w:r>
    </w:p>
    <w:p>
      <w:pPr>
        <w:pStyle w:val="Normal"/>
      </w:pPr>
      <w:r>
        <w:t xml:space="preserve">The magnetic field in the working gap is generated by a source—a permanent magnet or an electromagnet—and shaped by a magnetic circuit comprising the poles, any yoke or core, the working gap, and, for ferromagnetic workpieces, the workpiece itself. The magnetic circuit is analogous to an electrical circuit: the magnetomotive force, supplied by the permanent magnet or by the ampere-turns of the electromagnet coil, drives magnetic flux through a series of reluctances representing the core, the poles, the gap, and the workpiece. The flux density in the working gap—the quantity that governs the finishing force—depends on the magnetomotive force and inversely on the total reluctance, which is dominated by the high reluctance of the air gap. This circuit view explains several practical observations at once: why reducing the gap raises the flux density (it reduces the dominant reluctance); why a ferromagnetic workpiece raises the field at the surface (it substitutes low-reluctance iron for high-reluctance air in part of the circuit); why the pole geometry matters (it shapes the flux path and hence the reluctance distribution); and why an electromagnet permits electronic control (the magnetomotive force is proportional to the coil current, which can be varied instantly). The magnetic-circuit model is a first physical model of the field, crude but illuminating, and it provides engineered features—reluctance-based combinations of gap and geometry—that can improve data-driven models.</w:t>
      </w:r>
    </w:p>
    <w:p>
      <w:pPr>
        <w:pStyle w:val="Heading2"/>
      </w:pPr>
      <w:r>
        <w:t xml:space="preserve">16.3 Field Distribution and Gradient in the Working Gap</w:t>
      </w:r>
    </w:p>
    <w:p>
      <w:pPr>
        <w:pStyle w:val="Normal"/>
      </w:pPr>
      <w:r>
        <w:t xml:space="preserve">The finishing force on a magnetic abrasive particle depends not on the flux density alone but on the product of the flux density and its spatial gradient, because the force on a magnetizable body arises from the gradient of the magnetic energy. The distribution of both the flux density and its gradient across the working gap is therefore of central importance, and it is governed by the pole geometry. Flat parallel poles produce a relatively uniform field with modest gradient in the central region and strong gradients at the pole edges, so that the finishing force is concentrated near the edges—a non-uniformity that pole design seeks to manage. Contoured and profiled poles are used deliberately to shape the field distribution: to conform to a curved workpiece, to concentrate the field where finishing is required, or to distribute it uniformly across a broad surface. The precise field and gradient distribution in the cluttered, particle-filled gap cannot be obtained in closed form and requires finite-element magnetic analysis, which solves the governing magnetostatic equations numerically over the geometry. Such analysis, coupled to the abrasive mechanics, is the basis of the simulation-augmented and residual-hybrid modelling discussed in Section 14, and it supplies physically grounded estimates of the local force that a purely empirical model must otherwise infer entirely from data.</w:t>
      </w:r>
    </w:p>
    <w:p>
      <w:pPr>
        <w:pStyle w:val="Heading2"/>
      </w:pPr>
      <w:r>
        <w:t xml:space="preserve">16.4 Magnetization of the Abrasive Medium</w:t>
      </w:r>
    </w:p>
    <w:p>
      <w:pPr>
        <w:pStyle w:val="Normal"/>
      </w:pPr>
      <w:r>
        <w:t xml:space="preserve">The abrasive medium responds to the applied field by magnetizing, and its magnetic response is nonlinear and history-dependent. The ferromagnetic constituent of the medium—iron in sintered or mixed abrasives—exhibits a magnetization that rises with applied field, saturating at high fields, and that displays hysteresis, so that the magnetization at a given field depends on the field history. The effective magnetic response of the particle ensemble is further complicated by demagnetizing effects that depend on the shape and packing of the particles and the chains they form, and by the fact that the particles both respond to and, being magnetized, contribute to the local field. This mutual coupling—the field magnetizes the particles, which distort the field, which alters the magnetization—is the origin of the self-organization into chains and of much of the difficulty in predicting the finishing force analytically. It also explains why the effective susceptibility that enters the force expression is not a simple material constant but an emergent property of the field, the particle properties, and the packing, and why empirical modelling of the force–parameter relationship is so much more tractable than its first-principles prediction.</w:t>
      </w:r>
    </w:p>
    <w:p>
      <w:pPr>
        <w:pStyle w:val="Heading2"/>
      </w:pPr>
      <w:r>
        <w:t xml:space="preserve">16.5 The Finishing Force and Its Components</w:t>
      </w:r>
    </w:p>
    <w:p>
      <w:pPr>
        <w:pStyle w:val="Normal"/>
      </w:pPr>
      <w:r>
        <w:t xml:space="preserve">Bringing these elements together, the magnetic force on an abrasive particle in the gap has, as noted in Section 3, a normal component directed toward the workpiece and a tangential component resisting relative motion. The normal component, which sets the indentation depth and hence the cutting regime, scales with the particle volume, the effective magnetization, the flux density, and the gradient of the flux density in the normal direction; it is largest where the field and its normal gradient are largest, which pole design and gap selection control. The tangential component, which contributes to the cutting force and resists the displacement of particles by the moving workpiece, scales with the tangential gradient of the field and holds the brush against the drag of relative motion. The ratio of tangential to normal force, together with the grain geometry, governs the transition among sliding, ploughing, and cutting analysed in Section 3. Because both components depend on the field and its gradients, which depend in turn on the current (or magnet), the gap, and the pole geometry in coupled and nonlinear ways, the finishing force is an emergent quantity that the controllable parameters influence jointly rather than independently—the microscopic origin of the parameter interactions that make machine learning advantageous. A data-driven model that predicts roughness from the controllable parameters implicitly learns this entire chain from current and gap to force to removal to finish, sidestepping the intractable intermediate physics.</w:t>
      </w:r>
    </w:p>
    <w:p>
      <w:pPr>
        <w:pStyle w:val="Heading2"/>
      </w:pPr>
      <w:r>
        <w:t xml:space="preserve">16.6 Implications for Modelling and Control</w:t>
      </w:r>
    </w:p>
    <w:p>
      <w:pPr>
        <w:pStyle w:val="Normal"/>
      </w:pPr>
      <w:r>
        <w:t xml:space="preserve">The magnetic analysis carries several implications for the modelling and control framework. It identifies physically motivated engineered features—products and ratios of flux density and gap, reluctance-based combinations, and, where available, finite-element estimates of local force—that embed magnetic understanding into data-driven models and improve their accuracy and extrapolation. It explains the interaction structure among flux density, gap, and pole geometry that a flexible learner must capture and that a low-order model cannot. It identifies the excitation current of an electromagnet as the natural real-time control variable, because it maps most directly and instantly to the field and hence the force, making it the actuator of choice for the closed-loop control of Section 12. And it clarifies why the workpiece material's magnetic character is a determinant of the finishing force and hence a necessary model input. The magnetics, in short, is the physical substrate on which the data-driven framework operates, and understanding it deepens both the modelling and the control of the process, exemplifying the integrative, physics-grounded spirit in which the whole framework is offered.</w:t>
      </w:r>
    </w:p>
    <w:p>
      <w:pPr>
        <w:pStyle w:val="Heading1"/>
      </w:pPr>
      <w:r>
        <w:t xml:space="preserve">17. Extended Treatment: Abrasive Mechanics and Surface Generation</w:t>
      </w:r>
    </w:p>
    <w:p>
      <w:pPr>
        <w:pStyle w:val="Heading2"/>
      </w:pPr>
      <w:r>
        <w:t xml:space="preserve">17.1 From Single-Grain Events to Surface Statistics</w:t>
      </w:r>
    </w:p>
    <w:p>
      <w:pPr>
        <w:pStyle w:val="Normal"/>
      </w:pPr>
      <w:r>
        <w:t xml:space="preserve">Section 3 introduced the mechanics of a single abrasive grain and noted that the macroscopic finish is a statistical superposition of many such events. This section develops that connection more fully, because the statistical mechanics of surface generation explains several empirically observed and practically important features of MAF that data-driven models learn and exploit, and it provides the conceptual bridge between the microscopic physics and the macroscopic roughness that is the modelling target. The finished surface is generated by the cumulative action of an enormous number of grain–asperity interactions, each removing or displacing a minute quantity of material, and the emergent topography reflects the statistics of these interactions: the distribution of grain sizes and shapes, the distribution of engagement depths set by the force and the surface height, and the number and trajectory of the interactions set by the kinematics and time.</w:t>
      </w:r>
    </w:p>
    <w:p>
      <w:pPr>
        <w:pStyle w:val="Heading2"/>
      </w:pPr>
      <w:r>
        <w:t xml:space="preserve">17.2 The Evolving Asperity Height Distribution</w:t>
      </w:r>
    </w:p>
    <w:p>
      <w:pPr>
        <w:pStyle w:val="Normal"/>
      </w:pPr>
      <w:r>
        <w:t xml:space="preserve">The most illuminating way to understand surface generation is to track the evolving distribution of surface heights. The initial surface possesses a height distribution characteristic of the preceding process—often approximately Gaussian for a random process, or skewed and multimodal for a structured one. Finishing acts preferentially on the upper tail of this distribution, because the tallest asperities project furthest into the abrasive medium and are engaged most frequently and most forcefully. As finishing proceeds, the upper tail is truncated, the distribution narrows and its mean falls, and the surface becomes progressively more plateau-like with a negatively skewed distribution—the favourable, bearing-friendly topography for which MAF is prized. The roughness parameters are functionals of this evolving distribution: Ra and Rq measure its spread, Rz and Rt its extremes, and skewness and kurtosis its shape. The characteristic evolution of Ra with time—steep initial fall, moderating middle, saturation—is the direct consequence of the preferential truncation of an initially broad distribution toward a narrow, low-amplitude limiting distribution, and it is this behaviour that the time-dependence of a data-driven model captures.</w:t>
      </w:r>
    </w:p>
    <w:p>
      <w:pPr>
        <w:pStyle w:val="Heading2"/>
      </w:pPr>
      <w:r>
        <w:t xml:space="preserve">17.3 The Saturation Roughness and Its Determinants</w:t>
      </w:r>
    </w:p>
    <w:p>
      <w:pPr>
        <w:pStyle w:val="Normal"/>
      </w:pPr>
      <w:r>
        <w:t xml:space="preserve">The saturation roughness—the limiting finish beyond which further processing yields negligible improvement—is one of the most practically important quantities in MAF, because it defines what a given parameter set can achieve and because processing beyond it wastes time and risks damage. Physically, saturation arises when the surface has been levelled to the point that the remaining asperities are so shallow, and the real area of contact so large, that the force per grain falls below the threshold for cutting and the interaction becomes predominantly sliding. The saturation roughness is therefore set primarily by the finest scale of the abrasive action—chiefly the grain size, which limits how fine a scratch pattern remains—and secondarily by the force regime and the material. Coarse grains saturate at a higher roughness; fine grains saturate lower but more slowly; a target below the saturation roughness of a given grain size is simply unachievable with that grain regardless of time or force, which is why multi-stage finishing with progressively finer grains is used to reach very low targets. A data-driven model trained across grain sizes and times learns both the saturation levels and the approach rates, and an optimizer exploits this knowledge to select the coarsest grain and shortest time that reach the target—the economically optimal choice.</w:t>
      </w:r>
    </w:p>
    <w:p>
      <w:pPr>
        <w:pStyle w:val="Heading2"/>
      </w:pPr>
      <w:r>
        <w:t xml:space="preserve">17.4 Kinematics, Trajectory Density, and Isotropy</w:t>
      </w:r>
    </w:p>
    <w:p>
      <w:pPr>
        <w:pStyle w:val="Normal"/>
      </w:pPr>
      <w:r>
        <w:t xml:space="preserve">The spatial character of the finish—its uniformity across the surface and the isotropy or directionality of its texture—is governed by the kinematics of relative motion. Each grain traces a trajectory across the surface determined by the composition of the rotational, feed, and oscillatory motions, and the surface is well finished only where these trajectories are dense and well distributed. Pure rotation produces circumferential trajectories and a directional lay; superimposing an axial oscillation produces cross-hatched trajectories and an isotropic finish that is generally preferred for its uniform functional properties and its freedom from a preferred wear or crack direction. The trajectory density—the length of grain path per unit area—determines the completeness of finishing, and regions of low trajectory density finish poorly, producing spatial non-uniformity distinct from the average roughness. The kinematics thus govern a facet of surface quality that the average roughness at a point does not capture, and modelling spatial uniformity—as opposed to point roughness—requires either additional response variables measuring the spatial variability or, in the richest form, the areal or image-based modelling foreshadowed in Section 14.</w:t>
      </w:r>
    </w:p>
    <w:p>
      <w:pPr>
        <w:pStyle w:val="Heading2"/>
      </w:pPr>
      <w:r>
        <w:t xml:space="preserve">17.5 Material-Dependence of Surface Generation</w:t>
      </w:r>
    </w:p>
    <w:p>
      <w:pPr>
        <w:pStyle w:val="Normal"/>
      </w:pPr>
      <w:r>
        <w:t xml:space="preserve">The workpiece material shapes surface generation through the mechanics of the single-grain interaction. Hardness sets the indentation depth under a given force and hence the balance among the interaction modes: for a given field, a hard material is indented less, shifting the balance toward sliding and requiring higher force or finer grains to cut effectively, and it saturates at a finish set by its resistance to the abrasive. Ductility governs the partition between chip formation and ploughing: a very ductile material tends to plough and smear, forming built-up ridges alongside grooves that must be removed by subsequent passes, whereas a more brittle material forms chips more readily but risks micro-fracture. The material's microstructure—grain size, phases, inclusions—introduces heterogeneity that produces a floor of roughness set by differential removal of harder and softer constituents. These material effects, difficult to predict from first principles across the range of engineering alloys, are exactly what a data-driven model captures when the material is represented by its properties, and they underlie the value of property-based encoding and transfer learning discussed in Sections 8 and 14 for building models that generalize across materials rather than being confined to those on which they were trained.</w:t>
      </w:r>
    </w:p>
    <w:p>
      <w:pPr>
        <w:pStyle w:val="Heading2"/>
      </w:pPr>
      <w:r>
        <w:t xml:space="preserve">17.6 Connecting the Mechanics to the Modelling Target</w:t>
      </w:r>
    </w:p>
    <w:p>
      <w:pPr>
        <w:pStyle w:val="Normal"/>
      </w:pPr>
      <w:r>
        <w:t xml:space="preserve">The abrasive mechanics, like the magnetics, is ultimately a means of understanding why the roughness depends on the parameters as it does, and why that dependence is nonlinear, interaction-laden, threshold-bearing, and saturating—precisely the character that motivates flexible data-driven modelling. The mechanics identifies the physically meaningful response variables beyond Ra (the height-distribution shape, the saturation level, the spatial uniformity) that a fuller model should predict; it motivates engineered features (products of speed and time for trajectory density, ratios of force to hardness for the cutting regime) that embed mechanical understanding into the model; and it explains the constraints (the unachievability of a target below the grain-set saturation) that an optimizer must respect. A model informed by this mechanics—through its features, its response variables, and its constraints—is more accurate, more interpretable, and more trustworthy than one built in ignorance of it, which is the recurring lesson of the physics-grounded approach that this chapter advocates and that the extended treatments of this and the preceding section are intended to support.</w:t>
      </w:r>
    </w:p>
    <w:p>
      <w:pPr>
        <w:pStyle w:val="Heading1"/>
      </w:pPr>
      <w:r>
        <w:t xml:space="preserve">18. Extended Treatment: Mathematical Foundations of the Learning Algorithms</w:t>
      </w:r>
    </w:p>
    <w:p>
      <w:pPr>
        <w:pStyle w:val="Heading2"/>
      </w:pPr>
      <w:r>
        <w:t xml:space="preserve">18.1 The Supervised Learning Problem Formalized</w:t>
      </w:r>
    </w:p>
    <w:p>
      <w:pPr>
        <w:pStyle w:val="Normal"/>
      </w:pPr>
      <w:r>
        <w:t xml:space="preserve">The algorithms of Section 9 were presented at the level of principle and practice; this section develops their mathematical foundations more formally, both to deepen understanding and to expose the assumptions on which each rests. The supervised regression problem may be stated as follows. We are given a training set of input–output pairs, in which each input is a vector of process parameters and each output is a measured roughness, and we assume that the outputs are generated by an unknown function of the inputs corrupted by noise. The goal is to construct a predictor—a function from inputs to outputs—that minimizes the expected discrepancy between its predictions and the true outputs on new data drawn from the same distribution as the training data. This expected discrepancy, the generalization error, cannot be computed directly because the data distribution is unknown; it is estimated by the error on held-out data, which is the entire rationale for the validation and cross-validation practices of Section 10.</w:t>
      </w:r>
    </w:p>
    <w:p>
      <w:pPr>
        <w:pStyle w:val="Normal"/>
      </w:pPr>
      <w:r>
        <w:t xml:space="preserve">The generalization error decomposes, for squared-error loss, into three additive contributions: the irreducible noise variance (the aleatoric uncertainty, the floor set by measurement repeatability), the squared bias (the error from the predictor's inability to represent the true function, large for over-simple models), and the variance (the sensitivity of the predictor to the particular training sample, large for over-flexible models). This bias–variance decomposition is the formal expression of the trade-off that organizes the whole field: minimizing generalization error means balancing bias against variance, which is achieved by matching model capacity to data and by regularization. Every algorithm and every hyperparameter can be understood through its effect on this decomposition, and the small-data MAF setting, in which variance is the dominant danger, dictates the emphasis on low-variance, well-regularized methods that pervades this chapter.</w:t>
      </w:r>
    </w:p>
    <w:p>
      <w:pPr>
        <w:pStyle w:val="Heading2"/>
      </w:pPr>
      <w:r>
        <w:t xml:space="preserve">18.2 Linear Models and Regularization as a Baseline</w:t>
      </w:r>
    </w:p>
    <w:p>
      <w:pPr>
        <w:pStyle w:val="Normal"/>
      </w:pPr>
      <w:r>
        <w:t xml:space="preserve">The simplest predictor is the linear model, which predicts the output as a weighted sum of the inputs plus a constant, with the weights chosen to minimize the sum of squared errors on the training data—ordinary least squares. The linear model is the natural baseline: it is interpretable, its solution is closed-form and unique, and it is maximally biased and minimally variable, incapable of representing any nonlinearity or interaction. Its inadequacy for MAF, whose response is strongly nonlinear, is exactly the motivation for the flexible methods, but it remains valuable as a reference point and as a component of more elaborate models. </w:t>
      </w:r>
      <w:r>
        <w:rPr>
          <w:b/>
        </w:rPr>
        <w:t xml:space="preserve">Regularized</w:t>
      </w:r>
      <w:r>
        <w:t xml:space="preserve"> linear models augment the squared-error objective with a penalty on the weights: ridge regression penalizes the sum of squared weights, shrinking them toward zero and reducing variance at the cost of a little bias; the lasso penalizes the sum of absolute weights, which drives some weights exactly to zero and thereby performs feature selection. These regularization ideas—trading a controlled increase in bias for a larger reduction in variance—recur throughout the more complex algorithms, in the weight penalties of neural networks, the complexity penalties of tree ensembles, and the flatness objective of support vector regression, and they are the mathematical embodiment of the overfitting control that small-data modelling requires.</w:t>
      </w:r>
    </w:p>
    <w:p>
      <w:pPr>
        <w:pStyle w:val="Heading2"/>
      </w:pPr>
      <w:r>
        <w:t xml:space="preserve">18.3 Basis Functions, Kernels, and the Kernel Trick</w:t>
      </w:r>
    </w:p>
    <w:p>
      <w:pPr>
        <w:pStyle w:val="Normal"/>
      </w:pPr>
      <w:r>
        <w:t xml:space="preserve">A powerful and unifying idea is that of expanding the inputs through basis functions—nonlinear transformations of the inputs—and then fitting a linear model in the expanded space, which is nonlinear in the original inputs. Polynomial regression, radial basis function networks, and splines are all instances of this idea, differing in the basis chosen. The difficulty is that a rich basis in several input dimensions has enormously many terms, making explicit expansion impractical. The </w:t>
      </w:r>
      <w:r>
        <w:rPr>
          <w:b/>
        </w:rPr>
        <w:t xml:space="preserve">kernel trick</w:t>
      </w:r>
      <w:r>
        <w:t xml:space="preserve">, central to support vector regression and Gaussian processes, circumvents this difficulty: for methods that depend on the inputs only through inner products, a kernel function computes the inner product in the expanded space directly from the original inputs, without ever forming the expansion. A valid kernel—one corresponding to an inner product in some feature space—must be symmetric and positive semi-definite, conditions satisfied by the common radial basis function, polynomial, and Matérn kernels. The kernel encodes the notion of similarity between inputs and, through it, the assumed smoothness and structure of the response: the radial basis function kernel assumes that nearby inputs yield similar outputs with a smoothness set by its width, an assumption well matched to the smooth MAF response. The kernel trick is thus the mathematical mechanism by which SVR and Gaussian processes achieve nonlinear flexibility while retaining the tractability and unique-solution properties of linear methods, and it is one of the most elegant and consequential ideas in the field.</w:t>
      </w:r>
    </w:p>
    <w:p>
      <w:pPr>
        <w:pStyle w:val="Heading2"/>
      </w:pPr>
      <w:r>
        <w:t xml:space="preserve">18.4 The Support Vector Regression Optimization Problem</w:t>
      </w:r>
    </w:p>
    <w:p>
      <w:pPr>
        <w:pStyle w:val="Normal"/>
      </w:pPr>
      <w:r>
        <w:t xml:space="preserve">Support vector regression can now be stated more precisely. It seeks the function—in the linear case, a weight vector and bias; in the kernel case, an implicit function in feature space—that minimizes a combination of a flatness term (the squared norm of the weights, favouring smooth functions) and an error term that penalizes only training points whose prediction error exceeds the tolerance epsilon, with the trade-off between flatness and error governed by the regularization constant. This is a convex quadratic optimization problem with a unique global solution, solved in practice through its dual formulation, in which the solution is expressed as a weighted combination of kernel evaluations against the training points, with non-zero weights only for the support vectors that lie on or outside the epsilon-tube. The convexity guarantees a unique global optimum, avoiding the local-minima difficulties of neural network training; the sparsity in the support vectors gives robustness and efficiency; and the flatness objective is a form of regularization that controls variance. These mathematical properties are the source of SVR's reliability on small datasets and explain its prominence in the MAF literature. The three hyperparameters—the regularization constant, the tolerance epsilon, and the kernel width—control respectively the error–flatness trade-off, the sparsity and noise-tolerance, and the smoothness of the fit, and their joint tuning by cross-validation is essential.</w:t>
      </w:r>
    </w:p>
    <w:p>
      <w:pPr>
        <w:pStyle w:val="Heading2"/>
      </w:pPr>
      <w:r>
        <w:t xml:space="preserve">18.5 Gaussian Processes as Bayesian Kernel Regression</w:t>
      </w:r>
    </w:p>
    <w:p>
      <w:pPr>
        <w:pStyle w:val="Normal"/>
      </w:pPr>
      <w:r>
        <w:t xml:space="preserve">The Gaussian process may be understood as the Bayesian counterpart of kernel regression. It places a prior distribution over functions such that the function values at any finite set of inputs are jointly Gaussian with a covariance given by the kernel evaluated between those inputs. Observing the training outputs (with an assumed Gaussian noise) and conditioning the prior on them yields a posterior that is again a Gaussian process, whose mean at a query point is a weighted combination of the training outputs—the prediction—and whose variance at that point quantifies the uncertainty. The posterior mean coincides with a form of kernel ridge regression, connecting Gaussian processes to the regularized kernel methods, but the Gaussian process additionally furnishes the posterior variance, which is its distinctive and valuable feature: it grows where the query point is far, in the kernel metric, from the training points, and shrinks where it is near them, providing the calibrated epistemic uncertainty that underpins active learning and Bayesian optimization. The kernel hyperparameters—the length scales that set how far correlations extend in each input dimension, and the noise variance that sets the assumed aleatoric noise—are estimated by maximizing the marginal likelihood of the training data, an internally consistent Bayesian procedure that automatically balances fit against complexity. The Gaussian process thus unites nonlinear flexibility, principled regularization, calibrated uncertainty, and automatic complexity control in a single coherent framework, and its data efficiency and uncertainty quantification make it, as argued throughout, particularly apt for MAF.</w:t>
      </w:r>
    </w:p>
    <w:p>
      <w:pPr>
        <w:pStyle w:val="Heading2"/>
      </w:pPr>
      <w:r>
        <w:t xml:space="preserve">18.6 Neural Networks as Compositional Function Approximators</w:t>
      </w:r>
    </w:p>
    <w:p>
      <w:pPr>
        <w:pStyle w:val="Normal"/>
      </w:pPr>
      <w:r>
        <w:t xml:space="preserve">The neural network is a compositional function approximator: it composes many simple parameterized nonlinear functions—the layers—into a complex overall function whose parameters are the weights and biases. The universal approximation property, noted in Section 9, guarantees that a sufficiently wide single-hidden-layer network can approximate any continuous function; deeper networks can represent certain functions far more compactly than shallow ones, which is the theoretical basis of deep learning, though the advantage of depth requires correspondingly more data to realize. Training minimizes the loss over the parameters by gradient descent, with the gradient computed efficiently by backpropagation—the systematic application of the chain rule through the composition. The loss surface of a neural network is non-convex, with many local minima and saddle points, so training does not find the global optimum, but in practice, and especially for the modest networks appropriate to MAF, good local optima are found reliably with careful initialization, adaptive optimizers, and sufficient training. The flexibility that makes neural networks universal approximators also makes them high-variance and prone to overfitting, which is why regularization, dropout, early stopping, and capacity restraint—each interpretable through the bias–variance decomposition—are indispensable, and why on small MAF datasets compact, heavily regularized networks are preferred to large deep ones.</w:t>
      </w:r>
    </w:p>
    <w:p>
      <w:pPr>
        <w:pStyle w:val="Heading2"/>
      </w:pPr>
      <w:r>
        <w:t xml:space="preserve">18.7 Tree Ensembles as Adaptive Basis Expansions</w:t>
      </w:r>
    </w:p>
    <w:p>
      <w:pPr>
        <w:pStyle w:val="Normal"/>
      </w:pPr>
      <w:r>
        <w:t xml:space="preserve">Tree ensembles can be understood as adaptive basis expansions in which the basis functions—the indicator functions of the tree's leaf regions—are learned from the data rather than fixed in advance. A single tree partitions the input space and fits a constant in each region; the ensemble combines many such partitions. The random forest averages many high-variance, low-bias trees grown independently on bootstrap samples with random feature subsets, reducing variance through the averaging of decorrelated predictors—a direct assault on the variance term of the bias–variance decomposition. Gradient boosting, by contrast, builds trees sequentially, each fitting the negative gradient of the loss of the current ensemble, so that the ensemble descends the loss in function space by adding basis functions that most reduce the error; the learning rate shrinks each step, trading more trees for lower variance. XGBoost refines this with an explicit regularization term penalizing tree complexity and a second-order approximation of the loss for more accurate steps. The tree ensembles' adaptive, data-learned basis gives them their capacity for arbitrary nonlinearity and interaction and their invariance to monotonic feature scaling, while their piecewise-constant nature gives them their characteristic stepped surfaces and poor extrapolation. Understanding them as adaptive basis expansions clarifies both their power and their limitations and situates them within the common mathematical framework that unites all the methods of this chapter.</w:t>
      </w:r>
    </w:p>
    <w:p>
      <w:pPr>
        <w:pStyle w:val="Heading2"/>
      </w:pPr>
      <w:r>
        <w:t xml:space="preserve">18.8 A Unifying View</w:t>
      </w:r>
    </w:p>
    <w:p>
      <w:pPr>
        <w:pStyle w:val="Normal"/>
      </w:pPr>
      <w:r>
        <w:t xml:space="preserve">Viewed together, the algorithms are variations on a common theme: each searches a function class for the member that best fits the training data while controlling complexity to generalize, and they differ in the function class (linear, kernel-expanded, compositional, tree-based) and the complexity-control mechanism (weight penalty, flatness objective, ensemble averaging, tree-complexity penalty, Bayesian marginalization). This unifying view dissolves the apparent disparity among the methods and reveals the small set of underlying principles—function approximation, the bias–variance trade-off, regularization, and, for the Bayesian methods, uncertainty quantification—that govern them all. It also guides practice: because the methods share these principles, the disciplines of validation, tuning, and leakage prevention apply uniformly across them, and the choice among them turns not on incompatible philosophies but on the pragmatic match between a method's function class and complexity control and the characteristics of the data and the problem. For MAF—small, smooth, low-dimensional, interaction-laden data requiring uncertainty and interpretation—this match favours the well-regularized, data-efficient kernel and ensemble methods, with neural networks reserved for data-rich cases, exactly as the comparative synthesis of Section 9 concluded [106], [107], [108], [109], [110], [111], [112], [113], [114], [115].</w:t>
      </w:r>
    </w:p>
    <w:p>
      <w:pPr>
        <w:pStyle w:val="Heading1"/>
      </w:pPr>
      <w:r>
        <w:t xml:space="preserve">19. Extended Treatment: A Detailed Worked Example</w:t>
      </w:r>
    </w:p>
    <w:p>
      <w:pPr>
        <w:pStyle w:val="Heading2"/>
      </w:pPr>
      <w:r>
        <w:t xml:space="preserve">19.1 Purpose of the Worked Example</w:t>
      </w:r>
    </w:p>
    <w:p>
      <w:pPr>
        <w:pStyle w:val="Normal"/>
      </w:pPr>
      <w:r>
        <w:t xml:space="preserve">To consolidate the framework into a concrete, followable narrative, this section presents a detailed worked example of the entire pipeline applied to a representative problem: the optimization of a cylindrical magnetic abrasive finishing process for austenitic stainless-steel shafts, with the objective of reaching a target arithmetic average roughness of 0.10 micrometre from an as-ground initial roughness of about 0.45 micrometre, in the minimum finishing time and without inducing surface damage. The example is illustrative rather than an account of a specific published experiment, but every step follows the methodology developed in the preceding sections, and the values are chosen to be physically plausible and internally consistent. The intention is to show how the abstract framework becomes a sequence of concrete decisions and actions.</w:t>
      </w:r>
    </w:p>
    <w:p>
      <w:pPr>
        <w:pStyle w:val="Heading2"/>
      </w:pPr>
      <w:r>
        <w:t xml:space="preserve">19.2 Problem Definition and Requirement Capture</w:t>
      </w:r>
    </w:p>
    <w:p>
      <w:pPr>
        <w:pStyle w:val="Normal"/>
      </w:pPr>
      <w:r>
        <w:t xml:space="preserve">The example begins, as every real project should, with requirement capture. The functional requirement—a target roughness of 0.10 micrometre—derives from the component's service as a dynamic sealing surface, where the roughness governs leakage and seal wear. The initial condition—an as-ground surface of about 0.45 micrometre with a directional lay—derives from the preceding grinding operation. The material is a non-ferromagnetic austenitic stainless steel, which dictates an external magnetic circuit and a relatively weak field at the surface, and whose moderate hardness and high ductility imply a tendency toward ploughing that finer grains and controlled force must manage. The constraints are the admissible ranges of the equipment (flux density up to about 1 tesla, speed up to about 2000 revolutions per minute, gap from 0.5 to 2.0 millimetres) and the requirement that the surface integrity be preserved, ruling out the excessive-force regime. The objective is to minimize finishing time subject to achieving the target roughness within these constraints—a constrained single-objective problem that will nonetheless be informed by the roughness–time trade-off.</w:t>
      </w:r>
    </w:p>
    <w:p>
      <w:pPr>
        <w:pStyle w:val="Heading2"/>
      </w:pPr>
      <w:r>
        <w:t xml:space="preserve">19.3 Experimental Design</w:t>
      </w:r>
    </w:p>
    <w:p>
      <w:pPr>
        <w:pStyle w:val="Normal"/>
      </w:pPr>
      <w:r>
        <w:t xml:space="preserve">With the problem defined, an experimental design is constructed to generate the training data. Because the goal is a flexible surrogate model, a space-filling Latin hypercube design is chosen over a classical corner-and-centre design, distributing runs uniformly through the interior of the six-dimensional parameter space (flux density, speed, gap, abrasive concentration, grain size, and finishing time). An initial design of about eighty runs is generated, a number chosen as a compromise between the cost of experimentation and the coverage needed for a six-dimensional space, with the intention of augmenting it by active learning if the initial model proves insufficiently accurate near the optimum. The ranges are set to bracket the anticipated optimum: grain size is ranged from fine (to reach the low target) to moderate, and time from short to long enough to reach saturation at the finer grains. Ten of the eighty runs are designated as replicates at settings distributed through the space, to estimate the pure experimental error and hence the noise floor, and the run order is randomized to neutralize any drift in tooling or ambient conditions.</w:t>
      </w:r>
    </w:p>
    <w:p>
      <w:pPr>
        <w:pStyle w:val="Heading2"/>
      </w:pPr>
      <w:r>
        <w:t xml:space="preserve">19.4 Data Acquisition and the Noise Floor</w:t>
      </w:r>
    </w:p>
    <w:p>
      <w:pPr>
        <w:pStyle w:val="Normal"/>
      </w:pPr>
      <w:r>
        <w:t xml:space="preserve">The eighty runs are performed, with the finishing fluid, abrasive medium condition, and initial roughness controlled and recorded for each. The finished roughness of each shaft is measured at five circumferentially and axially distributed locations with a calibrated stylus profilometer under a fixed protocol, and the mean of the five is taken as the representative Ra, with their standard deviation recorded. Across the ten replicated settings, the run-to-run standard deviation of the mean Ra is found to be about 0.012 micrometre, establishing the noise floor: no model can be expected to predict Ra to better than this irreducible aleatoric uncertainty, and a model achieving a held-out root mean squared error near this value has reached the limit imposed by the data. Recording this floor at the outset frames the entire subsequent evaluation, distinguishing a model that has extracted all available signal from one that has further to improve.</w:t>
      </w:r>
    </w:p>
    <w:p>
      <w:pPr>
        <w:pStyle w:val="Heading2"/>
      </w:pPr>
      <w:r>
        <w:t xml:space="preserve">19.5 Preprocessing</w:t>
      </w:r>
    </w:p>
    <w:p>
      <w:pPr>
        <w:pStyle w:val="Normal"/>
      </w:pPr>
      <w:r>
        <w:t xml:space="preserve">The acquired data are subjected to the preprocessing pipeline. Cleaning harmonizes units and checks each value against its admissible range, catching one transcription error in which a gap was recorded in the wrong unit. No values are missing. Outlier screening by the interquartile-range method flags two runs; investigation of the experimental records reveals that one flagged run coincided with a documented medium-contamination incident and is removed, while the other is a genuine observation in an aggressive regime and is retained. The six inputs are standardized to zero mean and unit variance using statistics computed on the training partition only, and the material, being fixed in this single-material study, requires no encoding (though in a multi-material extension it would be encoded by its physical properties). A physically motivated engineered feature—the product of speed and time, proportional to trajectory density—is added, and a second—the ratio of grain size to gap—is added to capture the engagement geometry, on the reasoning of Sections 8 and 17. The data are partitioned by five-fold cross-validation rather than a single split, given the modest size.</w:t>
      </w:r>
    </w:p>
    <w:p>
      <w:pPr>
        <w:pStyle w:val="Heading2"/>
      </w:pPr>
      <w:r>
        <w:t xml:space="preserve">19.6 Model Training and Comparison</w:t>
      </w:r>
    </w:p>
    <w:p>
      <w:pPr>
        <w:pStyle w:val="Normal"/>
      </w:pPr>
      <w:r>
        <w:t xml:space="preserve">Three candidate algorithms are trained and compared by nested cross-validation: a gradient-boosting model (XGBoost), a Gaussian process with a Matérn kernel, and a support vector regression with a radial basis function kernel. The inner cross-validation loop tunes each algorithm's hyperparameters—the number of trees, depth, and learning rate of the boosting model; the length scales and noise variance of the Gaussian process; and the regularization constant, tolerance, and kernel width of the support vector regression—by Bayesian optimization over the hyperparameter space, while the outer loop estimates the generalization performance without leakage. On the held-out outer folds, the three models achieve comparable and strong performance, with root mean squared errors in the range of about 0.015 to 0.020 micrometre—close to, though not at, the 0.012 micrometre noise floor—and coefficients of determination above 0.95. The Gaussian process is selected as the primary model because its performance is competitive and its calibrated uncertainty is needed for the active-learning and optimization steps to follow, while the boosting model is retained for its feature-importance analysis.</w:t>
      </w:r>
    </w:p>
    <w:p>
      <w:pPr>
        <w:pStyle w:val="Heading2"/>
      </w:pPr>
      <w:r>
        <w:t xml:space="preserve">19.7 Model Interrogation and Active Learning</w:t>
      </w:r>
    </w:p>
    <w:p>
      <w:pPr>
        <w:pStyle w:val="Normal"/>
      </w:pPr>
      <w:r>
        <w:t xml:space="preserve">Before optimization, the selected model is interrogated for trustworthiness. Permutation feature importance from the boosting model confirms the physical expectation that grain size, flux density, and finishing time are the most influential parameters, with concentration and speed less so, and it reveals a strong grain-size-by-time interaction consistent with the saturation mechanics of Section 17—an encouraging sign that the model has learned physically sensible structure. Partial-dependence plots trace the non-monotonic effect of flux density and the diminishing-returns effect of time, matching physical expectation. The Gaussian process's posterior variance identifies a region of high uncertainty near the anticipated optimum—fine grain, moderate field, longer time—where the initial design happened to place few runs. Guided by this, an active-learning campaign of a further twelve runs is placed in this region, and after their acquisition and incorporation the model's uncertainty there collapses and its held-out error near the optimum improves, demonstrating the data efficiency of uncertainty-guided experimentation advocated in Sections 11 and 12.</w:t>
      </w:r>
    </w:p>
    <w:p>
      <w:pPr>
        <w:pStyle w:val="Heading2"/>
      </w:pPr>
      <w:r>
        <w:t xml:space="preserve">19.8 Optimization and Confirmation</w:t>
      </w:r>
    </w:p>
    <w:p>
      <w:pPr>
        <w:pStyle w:val="Normal"/>
      </w:pPr>
      <w:r>
        <w:t xml:space="preserve">With a validated, uncertainty-quantified, physically sensible surrogate, the optimization is performed. A multi-objective evolutionary algorithm first traces the Pareto front of roughness against finishing time on the surrogate, exposing the trade-off: the target of 0.10 micrometre is achievable, but only with fine grains and, depending on the field and speed, a finishing time that trades against the coarseness of the achievable finish. Reading from the front the shortest time that reaches the target, a single-objective optimization then pinpoints the settings—a fine grain size, a moderate flux density chosen to cut without damaging the ductile steel, a small but non-loading gap, a moderate concentration, and a speed high enough to raise trajectory density without centrifugal loss—predicted to reach 0.10 micrometre in a finishing time substantially shorter than a conservative fixed recipe would use. These settings are validated by three confirmation runs, which achieve a mean roughness of 0.10 micrometre within the confirmed uncertainty, corroborating the model and the optimization. The confirmed data are added to the model for future use, completing the design-model-understand-optimize-confirm-improve cycle of Section 12.</w:t>
      </w:r>
    </w:p>
    <w:p>
      <w:pPr>
        <w:pStyle w:val="Heading2"/>
      </w:pPr>
      <w:r>
        <w:t xml:space="preserve">19.9 Lessons from the Worked Example</w:t>
      </w:r>
    </w:p>
    <w:p>
      <w:pPr>
        <w:pStyle w:val="Normal"/>
      </w:pPr>
      <w:r>
        <w:t xml:space="preserve">The worked example illustrates several points that the abstract framework can only assert. It shows that the noise floor, established early, frames the whole evaluation and prevents the pursuit of illusory accuracy below the data's resolution. It shows that comparing several algorithms and selecting on held-out performance, rather than committing to one, yields both confidence and the specific capabilities (uncertainty, importance) each method offers. It shows that model interrogation—importance, partial dependence, uncertainty—is not a formality but a source of physical insight and a guard against spurious models. It shows that active learning materially reduces the experimental cost of reaching a reliable model near the optimum. And it shows that the optimization delivers a concrete, confirmed, economically superior process recipe, the ultimate purpose of the entire exercise. The example is, in miniature, the whole chapter enacted, and it demonstrates that the framework, far from being an abstract ideal, is a practical methodology that an engineer can follow to a validated result.</w:t>
      </w:r>
    </w:p>
    <w:p>
      <w:pPr>
        <w:pStyle w:val="Heading1"/>
      </w:pPr>
      <w:r>
        <w:t xml:space="preserve">20. Extended Treatment: Industrial Applications and Sector-Specific Considerations</w:t>
      </w:r>
    </w:p>
    <w:p>
      <w:pPr>
        <w:pStyle w:val="Heading2"/>
      </w:pPr>
      <w:r>
        <w:t xml:space="preserve">20.1 Why Sector Context Shapes the Modelling Problem</w:t>
      </w:r>
    </w:p>
    <w:p>
      <w:pPr>
        <w:pStyle w:val="Normal"/>
      </w:pPr>
      <w:r>
        <w:t xml:space="preserve">The framework developed in this chapter is general, but its application is always situated in a particular industrial sector whose requirements, materials, tolerances, and economics shape the modelling problem in specific ways. A model built for the finishing of a hydraulic component answers a different question, under different constraints, than one built for a biomedical implant or a semiconductor part, even though the underlying algorithms are the same. This section surveys the principal sectors in which magnetic abrasive finishing is applied and draws out, for each, the sector-specific considerations that condition the data-driven modelling: which surface properties matter, how tight the tolerances are, what materials predominate, and how the economics govern the value of optimization. The purpose is to show that the abstract framework must be instantiated with sector knowledge, and that the same methodological rigour serves very different ends across the manufacturing landscape.</w:t>
      </w:r>
    </w:p>
    <w:p>
      <w:pPr>
        <w:pStyle w:val="Heading2"/>
      </w:pPr>
      <w:r>
        <w:t xml:space="preserve">20.2 Aerospace Components</w:t>
      </w:r>
    </w:p>
    <w:p>
      <w:pPr>
        <w:pStyle w:val="Normal"/>
      </w:pPr>
      <w:r>
        <w:t xml:space="preserve">In aerospace, surface finish is a determinant of fatigue life, and fatigue life is a determinant of safety and of the intervals between costly inspections and overhauls. The components finished by MAF—turbine blades and vanes, compressor components, bearing surfaces, hydraulic and fuel-system parts, and structural fittings—are frequently made of difficult-to-machine superalloys and titanium alloys whose finishing challenges are severe and whose value is high. For these components the relevant response is not roughness alone but surface integrity in the full sense: the roughness, the residual stress state (compressive being strongly beneficial for fatigue), and the absence of subsurface damage. The tolerances are tight, the materials hard and expensive, and the cost of a finishing failure—a scrapped superalloy component or, worse, a fatigue failure in service—is enormous. These conditions place a premium on models that predict not only roughness but integrity, on the avoidance of the damaging force regime, and on the reliability and validation of the model, and they justify the substantial investment in experimentation, instrumentation, and modelling that intelligent MAF requires. The aerospace sector is thus a natural early adopter of the most rigorous, integrity-aware, uncertainty-quantified modelling, and it exemplifies the value of the framework where the stakes are highest.</w:t>
      </w:r>
    </w:p>
    <w:p>
      <w:pPr>
        <w:pStyle w:val="Heading2"/>
      </w:pPr>
      <w:r>
        <w:t xml:space="preserve">20.3 Biomedical Implants and Devices</w:t>
      </w:r>
    </w:p>
    <w:p>
      <w:pPr>
        <w:pStyle w:val="Normal"/>
      </w:pPr>
      <w:r>
        <w:t xml:space="preserve">Biomedical applications—orthopaedic implants, dental components, surgical instruments, and vascular devices—impose requirements that couple surface finish to biological response. The roughness and texture of an articulating implant surface govern both its tribological behaviour (wear of the bearing couple, generation of wear debris that provokes adverse tissue reaction) and, on non-articulating surfaces, the osseointegration or endothelialization that determines the device's biological fixation and biocompatibility. The materials—titanium and its alloys, cobalt–chromium alloys, stainless steels, and increasingly polymers and ceramics—are chosen for biocompatibility and present varied finishing challenges, and the internal and complex geometries of many devices (the lumens of vascular stents and needles, the intricate surfaces of implants) are precisely those to which MAF's flexible brush is uniquely suited. The tolerances are exacting, the regulatory environment demands documented process control and validation, and the surface requirement may be a specific roughness window rather than simply the lowest achievable value, since some roughness promotes tissue integration. Modelling for biomedical MAF must therefore often predict roughness to hit a target window, must respect the regulatory demand for validated, documented, reproducible processes, and benefits from the traceability and auditability that explainable, uncertainty-quantified models provide.</w:t>
      </w:r>
    </w:p>
    <w:p>
      <w:pPr>
        <w:pStyle w:val="Heading2"/>
      </w:pPr>
      <w:r>
        <w:t xml:space="preserve">20.4 Semiconductor and Electronics</w:t>
      </w:r>
    </w:p>
    <w:p>
      <w:pPr>
        <w:pStyle w:val="Normal"/>
      </w:pPr>
      <w:r>
        <w:t xml:space="preserve">In semiconductor and electronics manufacturing, surfaces must achieve nanometric roughness with extreme uniformity and freedom from subsurface damage and contamination, because the surface is the substrate on which nanoscale devices are built or the interface across which they operate. MAF and its fine-abrasive variants are applied to silicon wafers, to the surfaces of electronic and photonic components, and to the fine features and internal channels of microfluidic and micro-electromechanical devices. The tolerances here are the tightest of any sector—roughness targets in the nanometre or sub-nanometre range—and they demand the finest abrasives, the gentlest force regimes, and exquisite control of uniformity and cleanliness. Modelling for this sector operates near the resolution limit of metrology itself, which makes the noise floor and the calibration of measurement especially critical, and it must often predict areal uniformity and defectivity rather than a single point roughness, pointing toward the areal and image-based modelling of Section 14. The extreme value of semiconductor products and the extreme sensitivity of yield to surface quality make even marginal improvements in finishing highly valuable, justifying the most sophisticated modelling and control.</w:t>
      </w:r>
    </w:p>
    <w:p>
      <w:pPr>
        <w:pStyle w:val="Heading2"/>
      </w:pPr>
      <w:r>
        <w:t xml:space="preserve">20.5 Precision Mechanical and Hydraulic Components</w:t>
      </w:r>
    </w:p>
    <w:p>
      <w:pPr>
        <w:pStyle w:val="Normal"/>
      </w:pPr>
      <w:r>
        <w:t xml:space="preserve">A large and economically important class of MAF applications lies in precision mechanical and hydraulic components—shafts, pins, rollers, gears, bearing races, valve spools and bores, injector components, and the like—where surface finish governs friction, wear, sealing, leakage, and efficiency. These components span a wide range of steels and non-ferrous alloys, are produced in volumes from low to very high, and carry tolerances that are demanding but generally less extreme than aerospace or semiconductor. For this sector the economics of optimization are often decisive: because the components are numerous and the finishing operation is repeated many times, even modest reductions in finishing time or improvements in yield, delivered by an optimized recipe, accumulate into substantial savings, and the roughness–time Pareto trade-off of Section 12 is directly relevant to the cost per part. This sector is where the productivity case for intelligent MAF is most straightforwardly made, where the integration into high-volume production and Industry 4.0 systems is most natural, and where the closed-loop, self-optimizing, self-terminating process would deliver the clearest return by eliminating the overprocessing and inconsistency of fixed manual recipes.</w:t>
      </w:r>
    </w:p>
    <w:p>
      <w:pPr>
        <w:pStyle w:val="Heading2"/>
      </w:pPr>
      <w:r>
        <w:t xml:space="preserve">20.6 Energy, Automotive, and General Engineering</w:t>
      </w:r>
    </w:p>
    <w:p>
      <w:pPr>
        <w:pStyle w:val="Normal"/>
      </w:pPr>
      <w:r>
        <w:t xml:space="preserve">Beyond these leading sectors, MAF finds application across energy (components for turbines, pumps, and power-generation equipment, and increasingly for hydrogen and renewable-energy systems), automotive (engine, transmission, and fuel-system components where finish governs efficiency and durability), and general precision engineering (tooling, dies, moulds, and optical and instrument components). In each, the same pattern recurs: surface finish is a functional property, the geometry or material makes conventional finishing difficult, and the value of optimization scales with the volume and the sensitivity of performance to finish. The transferability of the modelling framework across these diverse sectors, subject to sector-specific instantiation, is one of its strengths, and the accumulation of data and models across sectors—facilitated by the property-based encoding and transfer learning of Sections 8 and 14—offers the prospect of a cumulative body of finishing knowledge that benefits all of them.</w:t>
      </w:r>
    </w:p>
    <w:p>
      <w:pPr>
        <w:pStyle w:val="Heading2"/>
      </w:pPr>
      <w:r>
        <w:t xml:space="preserve">20.7 Common Threads and Sector-Independent Principles</w:t>
      </w:r>
    </w:p>
    <w:p>
      <w:pPr>
        <w:pStyle w:val="Normal"/>
      </w:pPr>
      <w:r>
        <w:t xml:space="preserve">Across all these sectors, certain principles hold independently of context. The response of interest is always a functional surface property—roughness, and often integrity and uniformity—whose importance derives from service performance. The modelling problem is always the nonlinear, interaction-laden mapping from process parameters to that property, best addressed by the flexible, data-efficient, uncertainty-quantified methods of this chapter. The value of optimization always scales with the volume, the value, and the finishing difficulty of the components. And the disciplines of sound methodology—experimental design, preprocessing, validation, uncertainty, explainability, and leakage prevention—are always the determinants of a model's trustworthiness. The sector conditions the instantiation, but the framework and its principles are universal, which is why a chapter developing them in general terms serves practitioners across the manufacturing landscape. What sector knowledge adds is the specification of which responses to predict, which constraints to respect, and where the economic value lies, and its marriage to the general framework—like the marriage of process physics to data-driven flexibility—is the recipe for models that are not merely accurate but genuinely useful in their industrial context [116], [117], [118], [119], [120], [121], [122], [123], [124], [125].</w:t>
      </w:r>
    </w:p>
    <w:p>
      <w:pPr>
        <w:pStyle w:val="Heading1"/>
      </w:pPr>
      <w:r>
        <w:t xml:space="preserve">21. Extended Treatment: Statistical Rigour, Validation, and the Honest Reporting of Results</w:t>
      </w:r>
    </w:p>
    <w:p>
      <w:pPr>
        <w:pStyle w:val="Heading2"/>
      </w:pPr>
      <w:r>
        <w:t xml:space="preserve">21.1 The Stakes of Statistical Rigour</w:t>
      </w:r>
    </w:p>
    <w:p>
      <w:pPr>
        <w:pStyle w:val="Normal"/>
      </w:pPr>
      <w:r>
        <w:t xml:space="preserve">The credibility of any claim that a machine-learning model predicts MAF surface roughness accurately rests entirely on the statistical rigour with which that claim is established. A model's reported accuracy is a statistical estimate, subject to uncertainty and to bias, and an estimate obtained by flawed methodology can be arbitrarily misleading. Because the datasets are small, the estimates are noisy; because the temptation to report the best result is strong, the risk of optimistic bias is ever-present; and because the consequences of trusting an overstated model can be costly in wasted experiments, missed optima, or scrapped components, the discipline of honest statistical reporting is not a scholarly nicety but an engineering necessity. This section consolidates and deepens the statistical practices introduced in Section 10, treating the estimation of performance and its uncertainty, the comparison of models, the dangers of multiplicity and leakage, and the standards of honest reporting.</w:t>
      </w:r>
    </w:p>
    <w:p>
      <w:pPr>
        <w:pStyle w:val="Heading2"/>
      </w:pPr>
      <w:r>
        <w:t xml:space="preserve">21.2 Performance Is an Estimate with Uncertainty</w:t>
      </w:r>
    </w:p>
    <w:p>
      <w:pPr>
        <w:pStyle w:val="Normal"/>
      </w:pPr>
      <w:r>
        <w:t xml:space="preserve">The first principle is that any reported performance figure is an estimate of the true generalization performance, and that estimate itself has uncertainty that must be reported. A single held-out test set yields a single number whose reliability depends on the test set's size; on a test set of a dozen points, the root mean squared error could easily differ by a factor from the true value merely by the luck of which points fell in the test set. Cross-validation mitigates this by averaging over folds, and it additionally yields, through the variation across folds, an estimate of the uncertainty of the performance figure. Reporting the mean and the fold-to-fold standard deviation of a cross-validated metric, rather than a bare number, conveys both the level and the reliability of the performance and allows the reader to judge whether an apparent difference between two models is real or within the noise of estimation. The failure to report this uncertainty—the presentation of a single decimal-laden figure as though it were exact—is one of the commonest defects of the literature and one of the easiest to remedy.</w:t>
      </w:r>
    </w:p>
    <w:p>
      <w:pPr>
        <w:pStyle w:val="Heading2"/>
      </w:pPr>
      <w:r>
        <w:t xml:space="preserve">21.3 Comparing Models Fairly</w:t>
      </w:r>
    </w:p>
    <w:p>
      <w:pPr>
        <w:pStyle w:val="Normal"/>
      </w:pPr>
      <w:r>
        <w:t xml:space="preserve">The comparison of competing models is subtler than it appears. To compare two models fairly, they must be evaluated on the same data with the same protocol, both must be tuned with comparable care (a well-tuned model unfairly compared against a poorly tuned rival tells one nothing about the methods), and the comparison must account for the uncertainty of the estimates: a difference in mean cross-validated error that is smaller than the fold-to-fold variability is not evidence that one model is superior. Statistical tests appropriate to cross-validated comparisons, which account for the dependence among folds, can formalize this judgment, but even an informal comparison should ask whether an observed difference exceeds the noise. A further subtlety is that comparing many models and reporting the best invites a multiplicity bias: the best of many noisy estimates is, on average, optimistic, because it is selected partly for having had favourable noise. This is the same phenomenon that makes the tuning of hyperparameters on the test set illegitimate, and it is addressed by the same remedy—nested cross-validation, in which the selection among models and hyperparameters occurs within the training data and the final estimate is obtained on data untouched by that selection.</w:t>
      </w:r>
    </w:p>
    <w:p>
      <w:pPr>
        <w:pStyle w:val="Heading2"/>
      </w:pPr>
      <w:r>
        <w:t xml:space="preserve">21.4 The Many Faces of Data Leakage</w:t>
      </w:r>
    </w:p>
    <w:p>
      <w:pPr>
        <w:pStyle w:val="Normal"/>
      </w:pPr>
      <w:r>
        <w:t xml:space="preserve">Data leakage—the contamination of the performance estimate by information from the held-out data—is the single most dangerous and most common source of overstated results, and it wears many disguises. The obvious form, tuning on the test set, is easily avoided once recognized. Subtler forms are more insidious: fitting a scaler, an imputer, or a feature-selection procedure on the full dataset before splitting, so that the training transformation embeds knowledge of the held-out points; including in the features a quantity that is a proxy for the response; performing feature selection using the full dataset's correlations; or, in data with structure, splitting in a way that places closely related points in both training and test sets so that the model effectively sees the test data. Each of these leaks information and inflates the apparent performance, sometimes dramatically, and each fails silently, producing a model that excels in the reported evaluation and disappoints in deployment. The defence is a disciplined pipeline in which every data-dependent transformation is fitted within the training partition of each split and applied to the held-out partition using only training-derived quantities, and in which the structure of the data is respected in the splitting. This discipline is tedious and unglamorous, but its neglect is the surest route to self-deception, and its observance is a hallmark of rigorous work.</w:t>
      </w:r>
    </w:p>
    <w:p>
      <w:pPr>
        <w:pStyle w:val="Heading2"/>
      </w:pPr>
      <w:r>
        <w:t xml:space="preserve">21.5 Overfitting to the Validation Set and the Test Set</w:t>
      </w:r>
    </w:p>
    <w:p>
      <w:pPr>
        <w:pStyle w:val="Normal"/>
      </w:pPr>
      <w:r>
        <w:t xml:space="preserve">Even with a proper split, repeated use of the validation set to guide many modelling decisions gradually overfits to it, because each decision is made partly on the basis of validation-set noise, and the accumulation of many such decisions can appreciably inflate validation performance relative to true performance. This is why the test set must be reserved for a single final evaluation and never used to guide decisions, and why, in a long project with many iterations, even the validation performance should be treated with growing suspicion and confirmed on genuinely fresh data before deployment. In the extreme, a community that repeatedly evaluates many methods on a single shared benchmark can collectively overfit to that benchmark, which is one reason that fresh, held-out, and periodically refreshed evaluation data are valued. For MAF, where each data point is costly, the discipline is to spend the scarce validation and test data frugally, to make as many decisions as possible on the training data through cross-validation, and to confirm the final model on fresh confirmation experiments—the practice enacted in the worked example of Section 19.</w:t>
      </w:r>
    </w:p>
    <w:p>
      <w:pPr>
        <w:pStyle w:val="Heading2"/>
      </w:pPr>
      <w:r>
        <w:t xml:space="preserve">21.6 Reporting Standards for Trustworthy Results</w:t>
      </w:r>
    </w:p>
    <w:p>
      <w:pPr>
        <w:pStyle w:val="Normal"/>
      </w:pPr>
      <w:r>
        <w:t xml:space="preserve">Honest reporting, finally, is the practice that makes rigorous work verifiable and cumulative. A trustworthy report of a MAF modelling study specifies the experimental design and the ranges sampled; the number of runs and the measurement protocol; the noise floor established from replicates; the preprocessing steps and the point in the pipeline at which each was fitted; the algorithms compared and the hyperparameter search performed; the validation scheme, explicitly nested if tuning was involved; multiple performance metrics on genuinely held-out data with their fold-to-fold variability; the predictive uncertainty and its calibration; the feature importance and partial dependences that establish physical plausibility; and, ideally, the data and code that allow the results to be reproduced. Such a report allows a reader to judge exactly how much the results can be trusted and to build upon them, and its provision is the difference between a demonstration that persuades only its authors and a contribution that advances the field. The standards are not onerous—they are largely a matter of discipline and disclosure rather than additional experimentation—and their adoption, as argued in Section 14, is among the most important steps toward the maturation of ML-based MAF modelling from promising individual studies into a reliable, cumulative discipline worthy of industrial trust [126], [127], [128], [129], [130], [131], [132].</w:t>
      </w:r>
    </w:p>
    <w:p>
      <w:pPr>
        <w:pStyle w:val="Heading1"/>
      </w:pPr>
      <w:r>
        <w:t xml:space="preserve">22. Extended Treatment: Data Engineering, Infrastructure, and Model Lifecycle</w:t>
      </w:r>
    </w:p>
    <w:p>
      <w:pPr>
        <w:pStyle w:val="Heading2"/>
      </w:pPr>
      <w:r>
        <w:t xml:space="preserve">22.1 From a Study to a Sustained Capability</w:t>
      </w:r>
    </w:p>
    <w:p>
      <w:pPr>
        <w:pStyle w:val="Normal"/>
      </w:pPr>
      <w:r>
        <w:t xml:space="preserve">A single modelling study, however rigorous, is a one-off; an intelligent manufacturing capability is a sustained system that acquires data continuously, maintains and updates models, serves predictions to decision-makers and controllers, and improves over time. The transition from study to sustained capability raises questions of data engineering, infrastructure, and model lifecycle management that lie beyond the algorithms and statistics of the preceding sections but that are decisive for the durable, industrial success of intelligent MAF. This section addresses these questions at the conceptual level appropriate to a manufacturing audience, without descending into the specifics of any particular software stack, and it complements the technical framework with the operational framework that sustains it in practice.</w:t>
      </w:r>
    </w:p>
    <w:p>
      <w:pPr>
        <w:pStyle w:val="Heading2"/>
      </w:pPr>
      <w:r>
        <w:t xml:space="preserve">22.2 Data Acquisition Infrastructure</w:t>
      </w:r>
    </w:p>
    <w:p>
      <w:pPr>
        <w:pStyle w:val="Normal"/>
      </w:pPr>
      <w:r>
        <w:t xml:space="preserve">A sustained capability requires an infrastructure that captures process and quality data reliably and consistently at the point of production. This means instrumenting the MAF machine to record the process parameters actually used for each workpiece—not the nominal recipe but the realized field, speed, gap, and time, ideally with in-process sensor traces—and capturing the resulting quality measurements, linked to the specific workpiece and process record. Consistency is paramount: the units, protocols, and definitions must be standardized and enforced at capture, because the heterogeneity that plagues aggregated literature datasets (Section 14) arises precisely from inconsistent capture, and it is far easier to enforce consistency at the source than to reconcile it afterward. The infrastructure must also capture the context—the material batch, the abrasive medium condition, the ambient conditions, the initial surface state—that constitutes the confounders of Section 6, so that these can be recorded as features rather than lurking as unexplained variability. A well-designed data-acquisition infrastructure turns the ordinary operation of the process into a continuous, structured, high-quality data stream, which is the raw material of every downstream model.</w:t>
      </w:r>
    </w:p>
    <w:p>
      <w:pPr>
        <w:pStyle w:val="Heading2"/>
      </w:pPr>
      <w:r>
        <w:t xml:space="preserve">22.3 Data Storage, Governance, and Quality</w:t>
      </w:r>
    </w:p>
    <w:p>
      <w:pPr>
        <w:pStyle w:val="Normal"/>
      </w:pPr>
      <w:r>
        <w:t xml:space="preserve">The captured data must be stored in a manner that preserves their integrity, provenance, and accessibility over time. This entails a data model that represents the process records, quality measurements, and their linkages; governance that establishes ownership, access, and stewardship; and, critically, ongoing data-quality assurance that validates incoming data against the expected ranges and formats (the automated data-dictionary checks of Section 8), detects drift and anomalies, and flags problems for investigation. Data quality is not established once but maintained continuously, because a production data stream degrades without vigilance—sensors drift, formats change, and errors accumulate—and a model fed degrading data degrades with it. The governance and quality functions, though unglamorous, are the foundation on which every model rests, and their neglect undermines the most sophisticated modelling as surely as poor experimental design undermines a study. The principle that data quality dominates algorithm choice, established for the study in Section 6, holds a fortiori for the sustained system.</w:t>
      </w:r>
    </w:p>
    <w:p>
      <w:pPr>
        <w:pStyle w:val="Heading2"/>
      </w:pPr>
      <w:r>
        <w:t xml:space="preserve">22.4 The Model Lifecycle</w:t>
      </w:r>
    </w:p>
    <w:p>
      <w:pPr>
        <w:pStyle w:val="Normal"/>
      </w:pPr>
      <w:r>
        <w:t xml:space="preserve">A model in a sustained system has a lifecycle: it is developed, validated, deployed, monitored, and eventually retired or replaced. Development and validation follow the methodology of the preceding sections. Deployment makes the model available to serve predictions—to engineers designing a process, to optimizers selecting recipes, or to controllers regulating the running process—which requires that the exact preprocessing applied in training be applied identically in serving, a common source of subtle errors when the two are implemented separately. Monitoring tracks the model's performance in production against fresh outcomes, detecting the degradation that inevitably occurs as the process, materials, and tooling drift away from the conditions on which the model was trained—a phenomenon known as concept or data drift. When monitoring detects unacceptable degradation, the model is updated: retrained on data that include the new conditions, revalidated, and redeployed, in a controlled cycle that maintains its accuracy over the life of the process. This lifecycle discipline—the treatment of a model not as a finished artefact but as a maintained asset with a managed life—is what distinguishes a durable capability from a study that decays into irrelevance as conditions change.</w:t>
      </w:r>
    </w:p>
    <w:p>
      <w:pPr>
        <w:pStyle w:val="Heading2"/>
      </w:pPr>
      <w:r>
        <w:t xml:space="preserve">22.5 Monitoring, Drift, and Continual Learning</w:t>
      </w:r>
    </w:p>
    <w:p>
      <w:pPr>
        <w:pStyle w:val="Normal"/>
      </w:pPr>
      <w:r>
        <w:t xml:space="preserve">Drift deserves particular attention because it is inevitable and because its neglect silently erodes a model's value. The MAF process drifts as tooling wears, as abrasive medium ages, as material batches vary, and as the machine itself ages; the distribution of the inputs may shift (covariate drift) or the relationship between inputs and roughness may change (concept drift). Monitoring detects drift by tracking prediction errors against fresh measurements and by tracking the statistical distribution of the incoming data against the training distribution. Continual or online learning addresses drift by updating the model incrementally as new data arrive, allowing it to track the drifting process rather than lagging behind a static snapshot. The uncertainty quantification of Section 11 aids this by flagging when the process moves into regions where the model is uncertain, and the active-learning principle extends to production, prompting confirmation measurements where the model is least sure. The result is a self-monitoring, self-updating model that maintains its accuracy against a moving target—the modelling counterpart of the closed-loop adaptive control of Section 12, and an element of the digital twin and Industry 4.0 vision of Section 14.</w:t>
      </w:r>
    </w:p>
    <w:p>
      <w:pPr>
        <w:pStyle w:val="Heading2"/>
      </w:pPr>
      <w:r>
        <w:t xml:space="preserve">22.6 Reproducibility, Versioning, and Auditability</w:t>
      </w:r>
    </w:p>
    <w:p>
      <w:pPr>
        <w:pStyle w:val="Normal"/>
      </w:pPr>
      <w:r>
        <w:t xml:space="preserve">A sustained capability must be reproducible and auditable, both for engineering reliability and, in regulated sectors, for compliance. This requires versioning not only of code but of data and models, so that any prediction can be traced to the exact model, the exact data, and the exact code that produced it, and so that results can be reproduced and audited. It requires the recording of the lineage of each model—the data on which it was trained, the preprocessing and hyperparameters, the validation results—so that its provenance and validity can be established. And it requires the explainability of Section 11 to render individual decisions auditable and justifiable. These practices, familiar from software and data engineering, are the operational counterpart of the honest-reporting standards of Section 21, extending the discipline of trustworthiness from the one-off study to the sustained system. In regulated sectors such as aerospace and biomedical, they are not optional but mandatory, and their provision is part of the cost and the discipline of deploying intelligent MAF where the stakes are high.</w:t>
      </w:r>
    </w:p>
    <w:p>
      <w:pPr>
        <w:pStyle w:val="Heading2"/>
      </w:pPr>
      <w:r>
        <w:t xml:space="preserve">22.7 The Human and Organizational System</w:t>
      </w:r>
    </w:p>
    <w:p>
      <w:pPr>
        <w:pStyle w:val="Normal"/>
      </w:pPr>
      <w:r>
        <w:t xml:space="preserve">Finally, the sustained capability is embedded in a human and organizational system without which the technical infrastructure is inert. It requires people with the data literacy to interpret models and their uncertainty, the domain expertise to judge physical plausibility, and the systems skills to maintain the infrastructure; it requires processes that integrate the model's outputs into engineering and production decisions; and it requires an organizational commitment to the ongoing investment that a maintained capability demands, as opposed to the one-time effort of a study. The workforce implications noted in Section 14 are realized here: the value of intelligent MAF is captured not by the models alone but by the socio-technical system—people, processes, and technology—that surrounds them, and the successful adopters are those who invest in the whole system rather than in the algorithms alone. This operational and organizational framing completes the technical framework of the chapter, situating the elegant algorithms and rigorous statistics within the practical reality of sustained industrial capability, where their value is ultimately realized [133], [134], [135], [136], [137], [138], [139], [140], [141], [142], [143].</w:t>
      </w:r>
    </w:p>
    <w:p>
      <w:pPr>
        <w:pStyle w:val="Heading1"/>
      </w:pPr>
      <w:r>
        <w:t xml:space="preserve">23. Extended Treatment: Classical Statistical Modelling and Its Relationship to Machine Learning</w:t>
      </w:r>
    </w:p>
    <w:p>
      <w:pPr>
        <w:pStyle w:val="Heading2"/>
      </w:pPr>
      <w:r>
        <w:t xml:space="preserve">23.1 The Continuing Relevance of Classical Methods</w:t>
      </w:r>
    </w:p>
    <w:p>
      <w:pPr>
        <w:pStyle w:val="Normal"/>
      </w:pPr>
      <w:r>
        <w:t xml:space="preserve">The advocacy of machine learning throughout this chapter should not be mistaken for a dismissal of the classical statistical methods—response surface methodology, the Taguchi method, and analysis of variance—that have long served the MAF community and that remain valuable. These methods and machine learning are not rivals to be chosen between but complementary tools whose relationship is best understood clearly, so that each is used where it is strongest and so that the transition from classical to data-driven modelling is informed rather than dogmatic. This section examines the classical methods in some depth, articulates precisely where their assumptions limit them for MAF, and shows how they connect to and prepare the ground for the machine-learning framework, arguing for an integrated practice that uses classical methods for what they do well and machine learning for what it does better.</w:t>
      </w:r>
    </w:p>
    <w:p>
      <w:pPr>
        <w:pStyle w:val="Heading2"/>
      </w:pPr>
      <w:r>
        <w:t xml:space="preserve">23.2 Response Surface Methodology</w:t>
      </w:r>
    </w:p>
    <w:p>
      <w:pPr>
        <w:pStyle w:val="Normal"/>
      </w:pPr>
      <w:r>
        <w:t xml:space="preserve">Response surface methodology fits a low-order polynomial—typically a full quadratic including linear, squared, and two-factor-interaction terms—to experimental data from a designed experiment such as a central composite or Box–Behnken design, and it uses the fitted polynomial to characterize the response, locate optima, and understand the effects of the factors. Its strengths are considerable: it is well established, statistically principled, interpretable (the coefficients have direct meaning), economical in experiments, and equipped with a mature theory of experimental design tailored to it. For processes whose response is genuinely smooth and mildly curved over the region of interest, response surface methodology is efficient and effective, and it remains an excellent tool for local optimization and for screening. Its limitation, as emphasized throughout this chapter, is the low order of its polynomial: a quadratic can represent only a single smooth bowl or saddle, with two-factor interactions and no higher, and it cannot capture the sharp nonlinearities, thresholds, saturation, and high-order interactions that characterize the MAF response over any but a small region. Where the response is complex, the quadratic misfits, and its extrapolation beyond the experimental region is unreliable. The relationship to machine learning is now clear: response surface methodology is a highly restricted special case of the general function-approximation problem, with the function class fixed at low-order polynomials, and machine learning generalizes it by admitting flexible function classes that lift the low-order restriction.</w:t>
      </w:r>
    </w:p>
    <w:p>
      <w:pPr>
        <w:pStyle w:val="Heading2"/>
      </w:pPr>
      <w:r>
        <w:t xml:space="preserve">23.3 The Taguchi Method</w:t>
      </w:r>
    </w:p>
    <w:p>
      <w:pPr>
        <w:pStyle w:val="Normal"/>
      </w:pPr>
      <w:r>
        <w:t xml:space="preserve">The Taguchi method, developed for robust engineering design, uses highly economical orthogonal-array experimental designs to identify the factor settings that optimize a performance characteristic while minimizing sensitivity to uncontrollable noise, quantified through a signal-to-noise ratio. Its strengths are its extreme economy in experiments—a handful of runs can screen many factors—and its explicit and valuable focus on robustness, on finding settings that perform consistently despite variation, which is a genuine engineering concern that the accuracy-focused machine-learning framework does not directly address. Its limitations are that its economical designs estimate mainly main effects, treating interactions crudely or not at all, and that its analysis is oriented toward selecting among discrete tested levels rather than modelling a continuous response surface. For MAF, the Taguchi method is an excellent screening and robustness tool—it can rapidly identify the influential factors and robust settings from few experiments—but it is not a predictive model of the continuous response and cannot support the fine optimization and closed-loop control that machine learning enables. The productive relationship is sequential: use the Taguchi method to screen and to establish robust operating regions economically, then use space-filling experimentation and machine learning within those regions to build the predictive model for fine optimization.</w:t>
      </w:r>
    </w:p>
    <w:p>
      <w:pPr>
        <w:pStyle w:val="Heading2"/>
      </w:pPr>
      <w:r>
        <w:t xml:space="preserve">23.4 Analysis of Variance</w:t>
      </w:r>
    </w:p>
    <w:p>
      <w:pPr>
        <w:pStyle w:val="Normal"/>
      </w:pPr>
      <w:r>
        <w:t xml:space="preserve">Analysis of variance partitions the variation in an experimental response into contributions attributable to each factor and interaction and to residual error, and it tests the statistical significance of each contribution. It is the classical instrument for determining which factors and interactions matter and with what confidence, and it is valuable in MAF for exactly this: establishing, with statistical rigour, which process parameters significantly affect roughness and which interactions are real rather than noise. Its output—the significance and the proportion of variation explained by each factor—is the classical counterpart of the feature-importance analysis of Section 11, and the two illuminate the same question by different means. Analysis of variance rests on assumptions (normality, homoscedasticity, independence) that should be checked, and it characterizes effects within the fitted model rather than predicting new responses, so it complements rather than replaces predictive modelling. In an integrated practice, analysis of variance from a screening experiment identifies the significant factors to carry forward into the predictive model, focuses the modelling effort, and provides an independent, statistically principled check on the machine-learning model's feature-importance findings.</w:t>
      </w:r>
    </w:p>
    <w:p>
      <w:pPr>
        <w:pStyle w:val="Heading2"/>
      </w:pPr>
      <w:r>
        <w:t xml:space="preserve">23.5 An Integrated Classical–Machine-Learning Practice</w:t>
      </w:r>
    </w:p>
    <w:p>
      <w:pPr>
        <w:pStyle w:val="Normal"/>
      </w:pPr>
      <w:r>
        <w:t xml:space="preserve">The foregoing suggests an integrated practice that uses classical and machine-learning methods in concert, each where it is strongest, rather than treating the choice as an ideological one. A sound sequence might begin with a screening experiment analysed by analysis of variance and the Taguchi method to identify the significant factors, establish robust operating regions, and economize on experiments; proceed to space-filling or sequential experimentation within the identified region to generate data for predictive modelling; build and validate machine-learning models, cross-checking their feature importance against the analysis of variance and their response shapes against physical expectation; and use the validated models for the fine optimization, uncertainty-guided experimentation, and closed-loop control that only they can support, while retaining response surface methodology for rapid local optimization where a smooth quadratic suffices. This integrated practice captures the economy and interpretability of the classical methods and the flexibility and predictive power of machine learning, and it reflects the reality that the best practitioners command both toolkits and deploy them judiciously. The transition from classical to data-driven modelling that this chapter charts is thus not a repudiation of the classical methods but an extension of them, lifting the restriction to low-order function classes while retaining the hard-won wisdom of designed experimentation and statistical rigour that the classical tradition contributes to the whole enterprise.</w:t>
      </w:r>
    </w:p>
    <w:p>
      <w:pPr>
        <w:pStyle w:val="Heading2"/>
      </w:pPr>
      <w:r>
        <w:t xml:space="preserve">23.6 What Machine Learning Adds and What It Does Not Replace</w:t>
      </w:r>
    </w:p>
    <w:p>
      <w:pPr>
        <w:pStyle w:val="Normal"/>
      </w:pPr>
      <w:r>
        <w:t xml:space="preserve">It is worth stating plainly what machine learning adds to the classical toolkit and what it does not replace. It adds the capacity to model arbitrary nonlinearity and high-order interaction, the fast surrogate that enables exhaustive and multi-objective optimization, the calibrated uncertainty that guides efficient experimentation and closed-loop control, and the scalability to rich data modalities and continual learning. It does not replace the discipline of designed experimentation, which supplies the data on which everything depends; it does not replace the statistical rigour of honest validation, which the classical tradition pioneered; it does not replace the engineering concern for robustness that the Taguchi method addresses directly; and it does not replace the physical understanding that grounds, constrains, and interprets the models. Machine learning is a powerful addition to the manufacturing engineer's toolkit, not a wholesale substitution for it, and its greatest value is realized in combination with the classical methods and the physical understanding that surround it—the integrative theme that runs through this entire chapter and that distinguishes reliable, useful data-driven modelling from the naive application of algorithms to data.</w:t>
      </w:r>
    </w:p>
    <w:p>
      <w:pPr>
        <w:pStyle w:val="Heading1"/>
      </w:pPr>
      <w:r>
        <w:t xml:space="preserve">24. Extended Treatment: Neuro-Fuzzy Systems and Hybrid Intelligent Methods</w:t>
      </w:r>
    </w:p>
    <w:p>
      <w:pPr>
        <w:pStyle w:val="Heading2"/>
      </w:pPr>
      <w:r>
        <w:t xml:space="preserve">24.1 The Appeal of Hybrid Intelligent Systems</w:t>
      </w:r>
    </w:p>
    <w:p>
      <w:pPr>
        <w:pStyle w:val="Normal"/>
      </w:pPr>
      <w:r>
        <w:t xml:space="preserve">Between the extremes of purely empirical machine learning and purely physical modelling lies a family of hybrid intelligent systems that combine learning with other forms of knowledge representation, and among these the neuro-fuzzy systems have a particular place in the manufacturing-modelling literature, including that of magnetic abrasive finishing. These systems are attractive because they seek to combine the learning capacity of neural networks with the interpretability and the capacity to encode expert knowledge of fuzzy logic, addressing the black-box opacity that is one of the principal reservations about neural networks. This section examines neuro-fuzzy systems and related hybrid intelligent methods, situating them within the framework of the chapter and assessing their strengths and limitations for MAF, so that the practitioner can judge when their particular blend of learning and interpretability is worth the additional complexity.</w:t>
      </w:r>
    </w:p>
    <w:p>
      <w:pPr>
        <w:pStyle w:val="Heading2"/>
      </w:pPr>
      <w:r>
        <w:t xml:space="preserve">24.2 Fuzzy Logic and Fuzzy Inference</w:t>
      </w:r>
    </w:p>
    <w:p>
      <w:pPr>
        <w:pStyle w:val="Normal"/>
      </w:pPr>
      <w:r>
        <w:t xml:space="preserve">Fuzzy logic represents knowledge in terms of linguistic variables and rules that mirror human reasoning—rules of the form that if the flux density is high and the gap is small, then the finishing force is very high—with the vagueness of the linguistic terms captured by membership functions that assign degrees of membership rather than sharp boundaries. A fuzzy inference system fuzzifies the crisp inputs into degrees of membership, applies the rule base to infer fuzzy conclusions, and defuzzifies these into a crisp output. The appeal of fuzzy inference for MAF is its interpretability and its capacity to encode expert process knowledge directly as rules: an experienced operator's understanding of how the parameters affect the finish can be expressed as a rule base, and the resulting system is transparent, its reasoning traceable through the rules that fired. Its limitation is that constructing and tuning the membership functions and the rule base by hand is laborious and subjective, and a hand-built system may not fit the data as accurately as a learned model. This limitation is precisely what the neuro-fuzzy combination addresses.</w:t>
      </w:r>
    </w:p>
    <w:p>
      <w:pPr>
        <w:pStyle w:val="Heading2"/>
      </w:pPr>
      <w:r>
        <w:t xml:space="preserve">24.3 Adaptive Neuro-Fuzzy Inference Systems</w:t>
      </w:r>
    </w:p>
    <w:p>
      <w:pPr>
        <w:pStyle w:val="Normal"/>
      </w:pPr>
      <w:r>
        <w:t xml:space="preserve">The adaptive neuro-fuzzy inference system combines fuzzy inference with neural-network learning: it structures a fuzzy inference system as a layered network in which the membership-function parameters and the rule-consequent parameters are adjustable, and it tunes these parameters from data by the same gradient-based and least-squares learning used for neural networks. The result is a system that retains the interpretable, rule-based structure of fuzzy inference while learning its parameters from data rather than requiring them to be set by hand, marrying the learning capacity of neural networks with the transparency of fuzzy logic. For MAF, the adaptive neuro-fuzzy inference system has been applied with success comparable to that of neural networks and support vector regression, and it offers the distinctive advantage that its learned rules can be inspected and interpreted, providing a degree of transparency that a plain neural network lacks. Its limitations are that it scales poorly with the number of inputs—the number of rules grows combinatorially, so that it is best suited to problems with few inputs, which the low-dimensional MAF problem often satisfies—and that its interpretability, while real, degrades as the rule base grows large. Where interpretability is valued and the input dimension is modest, the adaptive neuro-fuzzy inference system is an attractive member of the algorithmic ensemble, competitive in accuracy and superior in transparency to a plain network.</w:t>
      </w:r>
    </w:p>
    <w:p>
      <w:pPr>
        <w:pStyle w:val="Heading2"/>
      </w:pPr>
      <w:r>
        <w:t xml:space="preserve">24.4 Genetic and Evolutionary Hybrids</w:t>
      </w:r>
    </w:p>
    <w:p>
      <w:pPr>
        <w:pStyle w:val="Normal"/>
      </w:pPr>
      <w:r>
        <w:t xml:space="preserve">A second important family of hybrids couples learning models with evolutionary optimization, and these appear pervasively in the MAF literature under names such as genetically optimized neural networks or evolutionary support vector machines. Here the evolutionary algorithm—a genetic algorithm, particle swarm, or differential evolution—is used not (or not only) to optimize the process but to optimize the learning model itself: to select its features, to tune its hyperparameters, or to train its parameters, escaping the local optima that trap gradient-based training. The same evolutionary algorithms then optimize the process using the trained model as a surrogate, as described in Section 12, so that a single evolutionary framework serves both to build the model and to exploit it. These evolutionary hybrids are powerful and popular, and they address the hyperparameter-tuning burden of the more sensitive algorithms (Section 10) through global search. Their cost is computational—evolutionary optimization of a model's hyperparameters is expensive—and their benefit over the more principled Bayesian optimization of Section 10 is not always clear, so they are best regarded as one effective option among several for the tuning and optimization tasks rather than as uniquely necessary.</w:t>
      </w:r>
    </w:p>
    <w:p>
      <w:pPr>
        <w:pStyle w:val="Heading2"/>
      </w:pPr>
      <w:r>
        <w:t xml:space="preserve">24.5 Fuzzy, Grey, and Small-Data Methods</w:t>
      </w:r>
    </w:p>
    <w:p>
      <w:pPr>
        <w:pStyle w:val="Normal"/>
      </w:pPr>
      <w:r>
        <w:t xml:space="preserve">The chronic data scarcity of MAF has motivated the application of methods specifically designed for small or uncertain data, including grey relational analysis and grey system models, which are designed to extract trends from very limited data, and various fuzzy regression methods that model imprecision explicitly. These methods can be useful when data are extremely scarce, and grey relational analysis in particular is popular in the Taguchi-based MAF literature for combining multiple response objectives into a single grey relational grade for multi-objective optimization. Their theoretical foundations and their advantages over the mainstream machine-learning methods equipped with proper regularization and uncertainty quantification are, however, contested, and for datasets large enough to support them the well-founded methods of Section 9—particularly Gaussian processes, which handle small data and uncertainty in a principled Bayesian manner—are generally preferable. The small-data methods are best seen as options for the extreme-scarcity regime and as historically important within the Taguchi tradition, rather than as replacements for the mainstream framework where data suffice to support it.</w:t>
      </w:r>
    </w:p>
    <w:p>
      <w:pPr>
        <w:pStyle w:val="Heading2"/>
      </w:pPr>
      <w:r>
        <w:t xml:space="preserve">24.6 Selecting Among Hybrid and Mainstream Methods</w:t>
      </w:r>
    </w:p>
    <w:p>
      <w:pPr>
        <w:pStyle w:val="Normal"/>
      </w:pPr>
      <w:r>
        <w:t xml:space="preserve">The proliferation of hybrid intelligent methods can bewilder the practitioner, and a clarifying principle is useful. The mainstream methods of Section 9—neural networks, support vector regression, tree ensembles, and Gaussian processes—equipped with proper validation, regularization, and uncertainty quantification, are the sound default for MAF roughness prediction, and among them the choice is made empirically by comparison as described in Section 10. The hybrid methods add value in specific circumstances: neuro-fuzzy systems where interpretability through rules is particularly valued and the input dimension is modest; evolutionary hybrids where global model tuning or the escape from local optima is needed; and small-data methods where data are extraordinarily scarce. The practitioner should not be seduced by the novelty or the acronymic profusion of the hybrids into neglecting the well-founded mainstream, nor dismiss the hybrids where their particular strengths—interpretability, global optimization, extreme-data-scarcity handling—are genuinely needed. The judicious course, consistent with the comparative, evidence-based philosophy of this chapter, is to include the relevant candidates in the comparison, to evaluate them honestly on held-out data, and to select on the basis of performance and of the secondary requirements (interpretability, uncertainty) that the application imposes, rather than on the basis of fashion or of allegiance to any single method or family.</w:t>
      </w:r>
    </w:p>
    <w:p>
      <w:pPr>
        <w:pStyle w:val="Heading1"/>
      </w:pPr>
      <w:r>
        <w:t xml:space="preserve">25. Extended Treatment: Feature Engineering and Representation for MAF Models</w:t>
      </w:r>
    </w:p>
    <w:p>
      <w:pPr>
        <w:pStyle w:val="Heading2"/>
      </w:pPr>
      <w:r>
        <w:t xml:space="preserve">25.1 Representation as the Foundation of Learning</w:t>
      </w:r>
    </w:p>
    <w:p>
      <w:pPr>
        <w:pStyle w:val="Normal"/>
      </w:pPr>
      <w:r>
        <w:t xml:space="preserve">The performance of a machine-learning model depends not only on the algorithm and the data but, often decisively, on the representation of the inputs—the features presented to the model. A well-chosen representation makes the underlying relationships easy for the learner to discover; a poor one obscures them and forces the learner to expend its limited capacity and its scarce data on recovering structure that could have been supplied directly. In the low-dimensional, data-scarce MAF setting, where every unit of learning capacity and every data point is precious, thoughtful feature engineering is among the highest-leverage activities available to the modeller, frequently yielding larger gains than switching among algorithms. This section develops feature engineering for MAF in depth, extending the treatment of Section 8 with a systematic account of the kinds of features that embed process understanding and improve models.</w:t>
      </w:r>
    </w:p>
    <w:p>
      <w:pPr>
        <w:pStyle w:val="Heading2"/>
      </w:pPr>
      <w:r>
        <w:t xml:space="preserve">25.2 Raw, Derived, and Physically Motivated Features</w:t>
      </w:r>
    </w:p>
    <w:p>
      <w:pPr>
        <w:pStyle w:val="Normal"/>
      </w:pPr>
      <w:r>
        <w:t xml:space="preserve">The features available to a MAF model fall into a hierarchy. The </w:t>
      </w:r>
      <w:r>
        <w:rPr>
          <w:b/>
        </w:rPr>
        <w:t xml:space="preserve">raw features</w:t>
      </w:r>
      <w:r>
        <w:t xml:space="preserve"> are the controllable process parameters as measured—flux density, speed, gap, concentration, grain size, time—and they are the natural starting point. </w:t>
      </w:r>
      <w:r>
        <w:rPr>
          <w:b/>
        </w:rPr>
        <w:t xml:space="preserve">Derived features</w:t>
      </w:r>
      <w:r>
        <w:t xml:space="preserve"> are transformations and combinations of the raw features that may be more directly related to the response: logarithms of quantities that vary over orders of magnitude, products and ratios that capture combined effects, and powers that capture curvature. </w:t>
      </w:r>
      <w:r>
        <w:rPr>
          <w:b/>
        </w:rPr>
        <w:t xml:space="preserve">Physically motivated features</w:t>
      </w:r>
      <w:r>
        <w:t xml:space="preserve"> are derived features whose form is dictated by the process physics, and these are the most valuable because they embed genuine understanding. The physics of Sections 16 and 17 suggests several: a feature combining flux density and gap to approximate the finishing force, whose physical dependence on field and gradient is understood; the product of speed and time to approximate the trajectory density and hence the cumulative cutting exposure; the ratio of grain size to gap to capture the engagement geometry; and, where material varies, ratios of the finishing force to the material hardness to capture the cutting regime. Each such feature presents the learner with a physically meaningful quantity that it would otherwise have to reconstruct from the raw features and scarce data, and their inclusion accordingly improves accuracy, data efficiency, and interpretability.</w:t>
      </w:r>
    </w:p>
    <w:p>
      <w:pPr>
        <w:pStyle w:val="Heading2"/>
      </w:pPr>
      <w:r>
        <w:t xml:space="preserve">25.3 Encoding the Initial Surface Condition</w:t>
      </w:r>
    </w:p>
    <w:p>
      <w:pPr>
        <w:pStyle w:val="Normal"/>
      </w:pPr>
      <w:r>
        <w:t xml:space="preserve">A feature frequently neglected but often important is the initial surface condition of the workpiece. The finished roughness depends not only on the process parameters but on the roughness from which finishing began, because MAF removes a finite amount of material and cannot reach an arbitrarily low finish from an arbitrarily rough start in a fixed time. When the initial roughness varies across the dataset—as it does when blanks come from different upstream processes or batches—its omission from the features causes its effect to appear as unexplained noise, degrading the model, or, worse, to be spuriously attributed to correlated process parameters, biasing it. Including the initial roughness as a feature, and ideally its full initial parameter set (initial Ra, Rz, skewness) where available, allows the model to account for the starting point and to predict the finished roughness conditional on it, substantially improving accuracy where the initial condition varies. This is an instance of the general principle that confounders identified in Section 6 should be recorded and included as features rather than left to masquerade as noise, and the initial surface condition is the most important such confounder in MAF.</w:t>
      </w:r>
    </w:p>
    <w:p>
      <w:pPr>
        <w:pStyle w:val="Heading2"/>
      </w:pPr>
      <w:r>
        <w:t xml:space="preserve">25.4 Encoding Material Through Properties</w:t>
      </w:r>
    </w:p>
    <w:p>
      <w:pPr>
        <w:pStyle w:val="Normal"/>
      </w:pPr>
      <w:r>
        <w:t xml:space="preserve">The property-based encoding of materials, introduced in Section 8, deserves fuller development as a feature-engineering strategy because it is the key to models that generalize across materials. Rather than representing the workpiece material as a categorical label—which conveys nothing about a new, unseen material and forces a separate model per material—property-based encoding represents each material by a vector of its relevant physical properties: hardness, elastic modulus, ductility or elongation, magnetic permeability, thermal conductivity, and any other property that mechanistically influences the finishing response. This transforms the material from an opaque label into a set of continuous, physically meaningful features, with two profound consequences. First, the model can interpolate and extrapolate across the property space, predicting the response for a material it has never seen by placing it in the property space near materials it has seen—the foundation of the transfer learning of Sections 14 and 30. Second, the learned relationships become physically interpretable in terms of material properties, revealing how hardness or ductility modulates the finishing response, which both aids understanding and provides a check on physical plausibility. Property-based material encoding is, as argued repeatedly, among the most valuable and underused feature-engineering techniques for building broadly applicable MAF models.</w:t>
      </w:r>
    </w:p>
    <w:p>
      <w:pPr>
        <w:pStyle w:val="Heading2"/>
      </w:pPr>
      <w:r>
        <w:t xml:space="preserve">25.5 Dimensionless Groups and Scaling</w:t>
      </w:r>
    </w:p>
    <w:p>
      <w:pPr>
        <w:pStyle w:val="Normal"/>
      </w:pPr>
      <w:r>
        <w:t xml:space="preserve">A powerful and classical form of physically motivated feature engineering is the construction of dimensionless groups—products of the variables raised to powers chosen so that the units cancel, yielding pure numbers that capture the essential scaling of the physics. Dimensional analysis of the MAF process, treating the finishing outcome as a function of the field, the geometry, the material properties, the kinematics, and the time, yields a set of dimensionless groups—ratios of force to hardness, of grain size to gap, of a dimensionless time or exposure—in terms of which the response can be expressed more compactly and more universally than in the raw variables. Modelling the response as a function of dimensionless groups rather than raw dimensional variables has several advantages: it reduces the effective dimensionality of the problem, since several raw variables may combine into fewer groups; it captures scaling behaviour, so that a model built at one scale may apply at another; and it improves generalization and physical interpretability. The construction of appropriate dimensionless groups requires physical insight and is an art, but where it can be done it is among the most powerful feature-engineering strategies, embedding the scaling structure of the physics directly into the representation and thereby easing the burden on the learner and the data.</w:t>
      </w:r>
    </w:p>
    <w:p>
      <w:pPr>
        <w:pStyle w:val="Heading2"/>
      </w:pPr>
      <w:r>
        <w:t xml:space="preserve">25.6 Feature Interactions and Their Explicit Encoding</w:t>
      </w:r>
    </w:p>
    <w:p>
      <w:pPr>
        <w:pStyle w:val="Normal"/>
      </w:pPr>
      <w:r>
        <w:t xml:space="preserve">Although the flexible learners of Section 9 represent interactions automatically, there is sometimes value in encoding known important interactions explicitly as features—forming, for instance, the product of flux density and grain size to represent their known joint effect on the cutting regime—so that even a simpler model can capture them and so that a flexible model can capture them from less data. The decision whether to encode interactions explicitly depends on the algorithm: for linear and additive models, explicit interaction features are essential to capture any interaction at all; for flexible learners, they are optional aids that can improve data efficiency but are not strictly necessary. Physical understanding guides which interactions to encode: the flux-density-by-gap interaction through the field, the grain-size-by-time interaction through the saturation mechanics, the speed-by-time interaction through the trajectory density. Explicitly encoding these physically motivated interactions is a middle path between relying entirely on the learner to discover them and constraining the model to only the encoded ones, and it is often worthwhile in the data-scarce regime where every aid to learning counts.</w:t>
      </w:r>
    </w:p>
    <w:p>
      <w:pPr>
        <w:pStyle w:val="Heading2"/>
      </w:pPr>
      <w:r>
        <w:t xml:space="preserve">25.7 The Discipline and Limits of Feature Engineering</w:t>
      </w:r>
    </w:p>
    <w:p>
      <w:pPr>
        <w:pStyle w:val="Normal"/>
      </w:pPr>
      <w:r>
        <w:t xml:space="preserve">Feature engineering, for all its value, must be disciplined by the same rigour that governs the rest of the pipeline. Engineered features must be computed from the raw inputs alone, never incorporating the response or any proxy for it, on pain of the leakage that inflates apparent performance and destroys real performance (Section 21). Their construction must be fitted, where it involves data-dependent quantities, within the training partition only. And their proliferation must be restrained, because adding many engineered features, especially in a small dataset, expands the dimensionality and invites overfitting, partly negating the benefit; a few well-chosen, physically motivated features are worth more than many speculative ones. The discipline is to engineer features that embed genuine physical understanding, to validate that they improve held-out performance rather than merely training fit, and to prefer parsimony. Practised thus, feature engineering is the point at which the physical understanding developed in the extended treatments of Sections 16 and 17 enters and improves the data-driven model most directly, and it exemplifies the physics-grounded, integrative approach that this chapter advocates as the route to models that are accurate, efficient, interpretable, and trustworthy.</w:t>
      </w:r>
    </w:p>
    <w:p>
      <w:pPr>
        <w:pStyle w:val="Heading1"/>
      </w:pPr>
      <w:r>
        <w:t xml:space="preserve">26. Extended Treatment: Surface Metrology in Depth and Its Modelling Consequences</w:t>
      </w:r>
    </w:p>
    <w:p>
      <w:pPr>
        <w:pStyle w:val="Heading2"/>
      </w:pPr>
      <w:r>
        <w:t xml:space="preserve">26.1 Metrology as the Ground Truth</w:t>
      </w:r>
    </w:p>
    <w:p>
      <w:pPr>
        <w:pStyle w:val="Normal"/>
      </w:pPr>
      <w:r>
        <w:t xml:space="preserve">Every prediction, every model, and every optimization in this chapter refers ultimately to a measured surface roughness, and the fidelity of that measurement is the ground truth against which all else is judged. If the measurement is biased, the model learns the bias; if it is noisy, the noise sets the floor below which the model cannot improve; if it is inconsistent across a dataset, the inconsistency masquerades as process variation and corrupts the model. Metrology is therefore not a peripheral detail but a foundational determinant of the whole enterprise, and a deeper treatment than Section 4 afforded is warranted, both to inform good measurement practice and to clarify the consequences of metrology for modelling. This section develops surface metrology in greater depth and draws out its implications for the data-driven framework.</w:t>
      </w:r>
    </w:p>
    <w:p>
      <w:pPr>
        <w:pStyle w:val="Heading2"/>
      </w:pPr>
      <w:r>
        <w:t xml:space="preserve">26.2 The Measurement Chain and Its Filtering</w:t>
      </w:r>
    </w:p>
    <w:p>
      <w:pPr>
        <w:pStyle w:val="Normal"/>
      </w:pPr>
      <w:r>
        <w:t xml:space="preserve">A roughness measurement is the end of a chain of operations, each of which shapes the result. The surface is sensed—by a stylus tracing a profile, by an optical instrument capturing an area—yielding a raw data set of heights. This raw data is then processed: form is removed (the nominal shape of the part is subtracted), and the residual is filtered to separate the roughness (short-wavelength) component from the waviness (long-wavelength) component, using a filter whose cut-off wavelength is a chosen parameter. Only after this form removal and filtering is the roughness parameter—Ra, Rz, or another—computed from the filtered roughness profile over a defined evaluation length. Every step involves choices: the sensing method and its resolution, the form-removal method, the cut-off wavelength, the evaluation length, and the sampling density. These choices materially affect the computed roughness: a longer cut-off admits more of the intermediate-wavelength content into the roughness and raises the value; a coarser sampling misses fine features and lowers it. Two measurements of the same surface with different choices can differ substantially, and this is the origin of much of the inconsistency in aggregated datasets. The modelling consequence is imperative: the entire measurement chain must be fixed and reported for a study, and datasets aggregated across sources with different chains are heterogeneous in a way that must be modelled (through a source feature) or the heterogeneity will corrupt the model.</w:t>
      </w:r>
    </w:p>
    <w:p>
      <w:pPr>
        <w:pStyle w:val="Heading2"/>
      </w:pPr>
      <w:r>
        <w:t xml:space="preserve">26.3 Contact Stylus Profilometry</w:t>
      </w:r>
    </w:p>
    <w:p>
      <w:pPr>
        <w:pStyle w:val="Normal"/>
      </w:pPr>
      <w:r>
        <w:t xml:space="preserve">Contact stylus profilometry, the reference method and the basis of most MAF datasets, traces a fine diamond stylus across the surface under a small load and records its vertical motion. Its virtues are its robustness, its traceability to standards, its insensitivity to surface optical properties, and its long-established standardization, which make it the trusted arbiter of roughness. Its limitations shape the data it produces. The finite radius of the stylus tip acts as a mechanical low-pass filter, unable to enter valleys narrower than the tip and thereby smoothing the finest features and slightly underestimating the roughness of very fine surfaces—a consideration that matters as MAF approaches nanometric finishes. The measurement is a single profile line, so it samples the surface sparsely and, on an anisotropic surface, depends on the direction of the trace relative to the lay. The traverse speed and the stylus load can influence the result, and on very soft surfaces the stylus can scratch. These characteristics mean that stylus roughness values carry a specific, tip-and-line-limited meaning, and that multiple traces in multiple directions are needed to characterize an anisotropic or non-uniform MAF surface adequately, informing the multi-location averaging advocated in Section 6.</w:t>
      </w:r>
    </w:p>
    <w:p>
      <w:pPr>
        <w:pStyle w:val="Heading2"/>
      </w:pPr>
      <w:r>
        <w:t xml:space="preserve">26.4 Optical and Areal Methods</w:t>
      </w:r>
    </w:p>
    <w:p>
      <w:pPr>
        <w:pStyle w:val="Normal"/>
      </w:pPr>
      <w:r>
        <w:t xml:space="preserve">Non-contact optical methods—coherence scanning interferometry, confocal microscopy, and focus variation—capture the areal topography of a region rather than a single line, rapidly and without contact. Their advantages are the richness of the areal data, which supports areal roughness parameters that describe the surface far more completely than profile parameters, and the speed and non-destructiveness that suit them to in-line and high-throughput use. Their limitations are a sensitivity to the optical properties of the surface—reflectivity, transparency, steep slopes—that can produce artefacts, spurious spikes, and dropouts, and a resolution and measurement principle that differ from the stylus, so that optical and stylus roughness values of the same surface are related but not identical. For MAF modelling, the areal richness of optical methods is increasingly valuable, supporting the prediction of areal parameters and of spatial uniformity and pointing toward the image-based modelling of Section 14; but the artefact-sensitivity demands care, and the difference from stylus values means that optical and stylus data should not be naively mixed in one dataset without accounting for the method.</w:t>
      </w:r>
    </w:p>
    <w:p>
      <w:pPr>
        <w:pStyle w:val="Heading2"/>
      </w:pPr>
      <w:r>
        <w:t xml:space="preserve">26.5 The Incompleteness of Any Single Parameter</w:t>
      </w:r>
    </w:p>
    <w:p>
      <w:pPr>
        <w:pStyle w:val="Normal"/>
      </w:pPr>
      <w:r>
        <w:t xml:space="preserve">Section 4 argued that Ra is an incomplete descriptor, and the deeper metrological view reinforces and generalizes the point: no single roughness parameter, and indeed no small set of parameters, fully characterizes a surface's functional behaviour, because the surface is a rich two-dimensional field and any scalar parameter is a drastic reduction of it. Ra conveys the average amplitude but nothing of the shape of the height distribution; adding skewness and kurtosis conveys the shape but nothing of the spatial arrangement; adding spacing parameters conveys the horizontal scale but nothing of the specific topography. The functional properties that ultimately matter—friction, wear, sealing, fatigue, biological response—depend on aspects of the topography that no standard parameter fully captures. The modelling consequence is twofold. First, a model should predict multiple parameters, not Ra alone, to convey a fuller picture of the surface it describes, as advocated throughout. Second, the ultimate aspiration, discussed in Section 14, is to model the topography itself—the areal height field or its functional consequences—rather than any reduced parameter, which the areal and image-based methods make increasingly feasible and which would transcend the incompleteness of scalar parameters altogether.</w:t>
      </w:r>
    </w:p>
    <w:p>
      <w:pPr>
        <w:pStyle w:val="Heading2"/>
      </w:pPr>
      <w:r>
        <w:t xml:space="preserve">26.6 Calibration, Traceability, and Uncertainty</w:t>
      </w:r>
    </w:p>
    <w:p>
      <w:pPr>
        <w:pStyle w:val="Normal"/>
      </w:pPr>
      <w:r>
        <w:t xml:space="preserve">The trustworthiness of a roughness measurement rests on its calibration and traceability: the instrument must be verified against reference specimens whose roughness is certified against national standards, so that its readings are anchored to a common, traceable scale, and this verification must be performed regularly, ideally before each measurement campaign, to catch drift. Beyond calibration, every measurement carries an uncertainty—a quantified statement of the range within which the true value is likely to lie—arising from the instrument, the procedure, the surface non-uniformity, and the operator. The formal estimation of measurement uncertainty, following the established metrological framework, yields the aleatoric noise floor that Section 11 identified as the limit on model accuracy and that Section 19 established from replicates in the worked example. A study that reports its measurement uncertainty enables its model's performance to be judged against the achievable limit, distinguishing a model that has extracted all available signal from one with room to improve, and it grounds the whole predictive enterprise in the traceable, quantified reality of the measurement. Metrology, in the end, is where the abstract predictive framework touches the physical surface, and its rigour is the foundation of the rigour of everything built upon it.</w:t>
      </w:r>
    </w:p>
    <w:p>
      <w:pPr>
        <w:pStyle w:val="Heading1"/>
      </w:pPr>
      <w:r>
        <w:t xml:space="preserve">27. Extended Treatment: Error Analysis, Residual Diagnostics, and Model Criticism</w:t>
      </w:r>
    </w:p>
    <w:p>
      <w:pPr>
        <w:pStyle w:val="Heading2"/>
      </w:pPr>
      <w:r>
        <w:t xml:space="preserve">27.1 Beyond the Summary Metric</w:t>
      </w:r>
    </w:p>
    <w:p>
      <w:pPr>
        <w:pStyle w:val="Normal"/>
      </w:pPr>
      <w:r>
        <w:t xml:space="preserve">A single summary metric—an R² of 0.96, a root mean squared error of 0.02 micrometre—tells whether a model is accurate on average but conceals how and where it errs, and the how and where are often more informative than the average. A model that is accurate on average may nonetheless err systematically in the region of the optimum, where accuracy matters most; may err more for one material or one regime than another; or may err in a patterned way that betrays unmodelled structure. Error analysis and residual diagnostics probe these questions, criticizing the model to reveal its weaknesses and to guide its improvement. This section develops the practice of model criticism for MAF, extending the diagnostic visualization of Section 10 into a systematic discipline of interrogating a model's errors.</w:t>
      </w:r>
    </w:p>
    <w:p>
      <w:pPr>
        <w:pStyle w:val="Heading2"/>
      </w:pPr>
      <w:r>
        <w:t xml:space="preserve">27.2 The Structure of Residuals</w:t>
      </w:r>
    </w:p>
    <w:p>
      <w:pPr>
        <w:pStyle w:val="Normal"/>
      </w:pPr>
      <w:r>
        <w:t xml:space="preserve">The residuals—the differences between predicted and measured roughness on held-out data—carry a wealth of diagnostic information in their structure. If the model has captured all the systematic relationship and the remaining error is pure measurement noise, the residuals should be random: unpatterned, centred on zero, of roughly constant spread, and uncorrelated with the predictions or with any input. Departures from this ideal are diagnostic. A non-zero mean residual indicates systematic bias, the model over- or under-predicting on average. A trend of the residuals with the predicted value—residuals negative at low predictions and positive at high, say—indicates that the model systematically misestimates the response's range, often a sign of an inappropriate functional form or insufficient flexibility. A trend of the residuals with an input indicates that the model has failed to capture that input's effect fully. A spread of the residuals that grows with the prediction (heteroscedasticity) indicates that the error is proportional rather than additive, suggesting a transformation of the response. Systematically examining the residuals against the prediction and against each input, through the residual plots of Section 10, thus reveals specific, actionable deficiencies that the summary metric hides.</w:t>
      </w:r>
    </w:p>
    <w:p>
      <w:pPr>
        <w:pStyle w:val="Heading2"/>
      </w:pPr>
      <w:r>
        <w:t xml:space="preserve">27.3 Region-Specific and Regime-Specific Error</w:t>
      </w:r>
    </w:p>
    <w:p>
      <w:pPr>
        <w:pStyle w:val="Normal"/>
      </w:pPr>
      <w:r>
        <w:t xml:space="preserve">An average metric pools the model's performance across the whole input space, but performance is rarely uniform, and its variation across the space is diagnostically and practically important. A model may be accurate where data are dense and inaccurate where they are sparse; accurate in the gentle-finishing regime and inaccurate in the aggressive regime; accurate for one material and inaccurate for another. Analysing the error region by region and regime by regime—by computing metrics within subsets of the data, or by mapping the error across the input space—reveals this variation and its practical consequences. If the largest errors coincide with the region of the optimum, the model is weakest exactly where it is used most, and the average metric's reassurance is misleading; the remedy is targeted experimentation there, as in the active-learning step of Section 19. If the errors concentrate in a particular regime or material, the model's applicability is correspondingly limited, and this limit should be documented. Region-specific error analysis thus connects the abstract performance to the concrete use of the model and directs the effort to improve it where improvement matters.</w:t>
      </w:r>
    </w:p>
    <w:p>
      <w:pPr>
        <w:pStyle w:val="Heading2"/>
      </w:pPr>
      <w:r>
        <w:t xml:space="preserve">27.4 The Noise Floor and the Limits of Improvement</w:t>
      </w:r>
    </w:p>
    <w:p>
      <w:pPr>
        <w:pStyle w:val="Normal"/>
      </w:pPr>
      <w:r>
        <w:t xml:space="preserve">Error analysis must always be referred to the noise floor—the irreducible aleatoric uncertainty established from replicated measurements (Sections 6, 11, and 19). A model whose held-out error has fallen to the noise floor has extracted all the signal the data contain, and further effort to reduce its error is futile, chasing noise that no model can predict; the appropriate response is either to accept the model or to reduce the noise floor itself through better measurement or process control. A model whose error substantially exceeds the noise floor has unextracted signal, and its error analysis should reveal where—the biased region, the missed input effect—and guide its improvement. The noise floor thus provides the essential context for interpreting a model's error: it distinguishes the achievable from the achieved, prevents the futile pursuit of accuracy below the data's resolution, and identifies the genuine opportunities for improvement. Its establishment at the outset, and its use as the reference throughout error analysis, is a mark of the rigorous practice this chapter advocates and a guard against both premature satisfaction and pointless effort.</w:t>
      </w:r>
    </w:p>
    <w:p>
      <w:pPr>
        <w:pStyle w:val="Heading2"/>
      </w:pPr>
      <w:r>
        <w:t xml:space="preserve">27.5 Detecting Overfitting and Extrapolation Through Error Analysis</w:t>
      </w:r>
    </w:p>
    <w:p>
      <w:pPr>
        <w:pStyle w:val="Normal"/>
      </w:pPr>
      <w:r>
        <w:t xml:space="preserve">Error analysis is also the instrument for detecting the two great dangers of the small-data regime: overfitting and extrapolation. Overfitting reveals itself as a gap between training error, which is small, and held-out error, which is larger, and the size of the gap measures its severity; a model with near-zero training error and substantial held-out error has memorized the training data and generalizes poorly, and the remedy is more regularization, less capacity, or more data. Extrapolation reveals itself when the model is queried outside the region of the training data, where its error is uncontrolled and, for the tree-based methods, its predictions are pinned to the training range; the uncertainty quantification of Section 11 flags such extrapolation by its inflated variance, and the practical discipline is to restrict the model's use, and any optimization over it, to the region the data support. Error analysis, by comparing training and held-out error and by referring queries to the training region, thus detects and guards against the two failure modes that most threaten small-data models, complementing the preventive disciplines of regularization and validation with a diagnostic vigilance that catches what prevention misses.</w:t>
      </w:r>
    </w:p>
    <w:p>
      <w:pPr>
        <w:pStyle w:val="Heading2"/>
      </w:pPr>
      <w:r>
        <w:t xml:space="preserve">27.6 Model Criticism as a Continuous Practice</w:t>
      </w:r>
    </w:p>
    <w:p>
      <w:pPr>
        <w:pStyle w:val="Normal"/>
      </w:pPr>
      <w:r>
        <w:t xml:space="preserve">Model criticism is not a one-time gate that a model passes before deployment but a continuous practice that accompanies a model throughout its life. In development, criticism guides the iterative improvement of the model. Before deployment, it establishes the model's reliability and its limits. After deployment, the monitoring of Section 22 continues the criticism against fresh data, detecting the drift and degradation that erode the model over time. The disposition of continuous criticism—of treating a model as a hypothesis to be perpetually tested rather than a truth to be trusted—is the scientific attitude appropriate to data-driven modelling, and it is the surest protection against the overconfidence that leads models to be trusted beyond their validity. A model subjected to continuous, rigorous criticism, its errors analysed, its limits documented, its performance monitored, and its degradation detected and remedied, is a model that can be trusted within its established bounds; a model accepted on the strength of a single summary metric and thereafter unexamined is a liability waiting to manifest. The practice of model criticism, developed in this section, is thus not an academic refinement but an operational necessity, and it is integral to the responsible deployment of intelligent MAF that this chapter has argued for throughout.</w:t>
      </w:r>
    </w:p>
    <w:p>
      <w:pPr>
        <w:pStyle w:val="Heading1"/>
      </w:pPr>
      <w:r>
        <w:t xml:space="preserve">28. Extended Treatment: Physics-Informed and Hybrid Modelling in Depth</w:t>
      </w:r>
    </w:p>
    <w:p>
      <w:pPr>
        <w:pStyle w:val="Heading2"/>
      </w:pPr>
      <w:r>
        <w:t xml:space="preserve">28.1 The Spectrum from Pure Physics to Pure Data</w:t>
      </w:r>
    </w:p>
    <w:p>
      <w:pPr>
        <w:pStyle w:val="Normal"/>
      </w:pPr>
      <w:r>
        <w:t xml:space="preserve">Section 14 introduced physics-informed machine learning as a response to data scarcity; this section develops it in depth, because the marriage of physical knowledge and data-driven learning is arguably the most promising direction for MAF modelling and deserves a fuller treatment. Modelling approaches span a spectrum from pure physics—analytical and numerical models derived entirely from first principles, requiring no data—to pure data-driven learning—empirical models derived entirely from data, incorporating no physics. Each extreme has complementary strengths and weaknesses. Pure physics extrapolates reliably, respects physical law, and requires no data, but for MAF it is inaccurate because the process is too complex to model exactly. Pure data-driven learning is accurate within its data but extrapolates poorly, may violate physical law where data are absent, and demands data that MAF struggles to supply. The hybrid approaches occupy the productive middle of the spectrum, combining physics and data to secure the accuracy of the latter and the reliability, physical fidelity, and data efficiency of the former, and the art lies in combining them well.</w:t>
      </w:r>
    </w:p>
    <w:p>
      <w:pPr>
        <w:pStyle w:val="Heading2"/>
      </w:pPr>
      <w:r>
        <w:t xml:space="preserve">28.2 Physics-Guided Feature and Architecture Design</w:t>
      </w:r>
    </w:p>
    <w:p>
      <w:pPr>
        <w:pStyle w:val="Normal"/>
      </w:pPr>
      <w:r>
        <w:t xml:space="preserve">The gentlest incorporation of physics guides the design of the model's features and architecture without altering its training. Physics-guided feature engineering, developed in Section 25, embeds known physical relationships—the force as a function of field and gradient, the exposure as a product of speed and time, the dimensionless groups of the process—into the input representation, so that the learner works with physically meaningful quantities and needs less data and capacity to discover the relationships. Physics-guided architecture design structures the model to reflect known physical structure: separating the model into components that mirror the stages of the process chain, or constraining the functional form to respect known monotonicities or asymptotes. These approaches require no change to the training procedure and no additional data, incorporating physics purely through the representation and structure, and they are the easiest and often the most cost-effective way to make a data-driven model physically informed. For MAF, they are widely applicable because the process physics, though not exactly predictive, is understood well enough to guide features and structure, and their adoption improves accuracy, data efficiency, and interpretability at little cost.</w:t>
      </w:r>
    </w:p>
    <w:p>
      <w:pPr>
        <w:pStyle w:val="Heading2"/>
      </w:pPr>
      <w:r>
        <w:t xml:space="preserve">28.3 Physics-Constrained Learning</w:t>
      </w:r>
    </w:p>
    <w:p>
      <w:pPr>
        <w:pStyle w:val="Normal"/>
      </w:pPr>
      <w:r>
        <w:t xml:space="preserve">A deeper incorporation of physics constrains the learning itself, requiring the model not merely to fit the data but to respect physical principles. This is achieved by augmenting the training objective with penalty terms that penalize violations of known physics—predictions that decrease roughness with decreasing finishing time, that exceed the initial roughness, that violate known bounds or monotonicities—so that the model is driven toward solutions that both fit the data and obey the physics. The physics-constrained model thus behaves sensibly even where data are absent, because the constraints govern its behaviour there, extending its reliable range beyond the data and preventing the physically absurd predictions that a purely data-driven model may make under extrapolation. The constraints act as a form of regularization grounded in physics rather than in generic smoothness, and they are especially valuable in the data-scarce regime because they supply information that the scarce data cannot, effectively augmenting the data with physical knowledge. Their implementation requires that the physical constraints be expressible as penalties on the model's predictions, which is straightforward for monotonicities and bounds and more involved for differential relationships, and their strength must be tuned to balance data-fit against physical fidelity.</w:t>
      </w:r>
    </w:p>
    <w:p>
      <w:pPr>
        <w:pStyle w:val="Heading2"/>
      </w:pPr>
      <w:r>
        <w:t xml:space="preserve">28.4 Residual and Hybrid Modelling</w:t>
      </w:r>
    </w:p>
    <w:p>
      <w:pPr>
        <w:pStyle w:val="Normal"/>
      </w:pPr>
      <w:r>
        <w:t xml:space="preserve">The most explicit combination of physics and data is residual, or hybrid, modelling, in which a physics-based model provides a first prediction and a data-driven model learns the discrepancy between the physics and the observations. The physics-based model—an analytical force-and-removal model or a finite-element magnetic-and-mechanical simulation—captures the first-order behaviour and the correct qualitative trends and extrapolates reliably, while the data-driven residual model corrects its quantitative errors, learning the systematic discrepancy between the idealized physics and the messy reality. The combined prediction is the physics prediction plus the learned correction, and it inherits the physics model's reliable extrapolation and physical fidelity together with the data model's accuracy where data exist. Residual modelling is powerful because it lets each component do what it does best—the physics carries the structure and the extrapolation, the data carries the correction—and it is data-efficient because the residual is typically smaller and simpler than the full response, requiring less data to learn than a model built from scratch. Its prerequisite is a physics-based model of adequate quality, which for MAF means at least an approximate force-and-removal model or a coupled simulation, and its payoff is a model that is accurate, physically faithful, and reliable under extrapolation—the ideal that the pure approaches cannot individually attain.</w:t>
      </w:r>
    </w:p>
    <w:p>
      <w:pPr>
        <w:pStyle w:val="Heading2"/>
      </w:pPr>
      <w:r>
        <w:t xml:space="preserve">28.5 Simulation-Augmented Learning</w:t>
      </w:r>
    </w:p>
    <w:p>
      <w:pPr>
        <w:pStyle w:val="Normal"/>
      </w:pPr>
      <w:r>
        <w:t xml:space="preserve">Where experimental data are scarce but physics-based simulation is available, simulation-augmented learning uses the simulation to generate synthetic data that supplement the experimental data. The simulation—a coupled magnetic-field and abrasive-mechanics model—is run over a design of synthetic conditions to produce a large synthetic dataset, which is used to pre-train a model that is then fine-tuned on the scarce experimental data, or to augment the experimental data directly. The synthetic data, though imperfect, carry the structure of the physics and vastly expand the effective data, allowing a flexible model to learn the response's shape from the abundant synthetic data and to correct its quantitative details from the scarce real data. Simulation-augmented learning is a form of transfer learning (Section 30) in which the source domain is the simulation and the target the reality, and it shares that method's promise and its pitfalls: the benefit depends on the simulation's fidelity, and a poor simulation can mislead through negative transfer. For MAF, where simulation is developing but not yet routinely high-fidelity, simulation-augmented learning is a promising direction whose realization tracks the maturation of MAF simulation, and it offers a route to alleviate the data scarcity that constrains the whole field.</w:t>
      </w:r>
    </w:p>
    <w:p>
      <w:pPr>
        <w:pStyle w:val="Heading2"/>
      </w:pPr>
      <w:r>
        <w:t xml:space="preserve">28.6 The Payoff and the Prospect</w:t>
      </w:r>
    </w:p>
    <w:p>
      <w:pPr>
        <w:pStyle w:val="Normal"/>
      </w:pPr>
      <w:r>
        <w:t xml:space="preserve">The payoff of physics-informed and hybrid modelling is a model that is more accurate than pure physics, more data-efficient and physically faithful than pure data-driven learning, and more reliable under extrapolation than either used alone—a model that leverages the substantial physical understanding of MAF to compensate for its scarce data and to constrain its predictions to physical reality. The prospect is that, as MAF physics and simulation mature and as the techniques of physics-informed learning develop, hybrid models will increasingly become the standard, displacing both the inaccurate pure-physics models and the data-hungry, extrapolation-prone pure-data models that have dominated the field's two traditions. This convergence of the physical and data-driven traditions—each community's strength compensating the other's weakness—is the natural resolution of the tension between them and the fullest expression of the integrative philosophy that this chapter has advocated from its opening: models whose architecture respects the physics, whose training respects the data, and whose behaviour respects both, offered as the route to finishing processes that are not only accurately predicted and intelligently optimized but deeply and reliably understood.</w:t>
      </w:r>
    </w:p>
    <w:p>
      <w:pPr>
        <w:pStyle w:val="Heading1"/>
      </w:pPr>
      <w:r>
        <w:t xml:space="preserve">29. Extended Treatment: Transfer Learning and Cross-Domain Knowledge Reuse</w:t>
      </w:r>
    </w:p>
    <w:p>
      <w:pPr>
        <w:pStyle w:val="Heading2"/>
      </w:pPr>
      <w:r>
        <w:t xml:space="preserve">29.1 The Rationale for Reusing Knowledge</w:t>
      </w:r>
    </w:p>
    <w:p>
      <w:pPr>
        <w:pStyle w:val="Normal"/>
      </w:pPr>
      <w:r>
        <w:t xml:space="preserve">Each MAF modelling problem is customarily approached as if it were the first: a new experimental campaign is designed, executed, and modelled from scratch, discarding the knowledge embedded in every prior campaign on related materials, configurations, and machines. This is profligate, because the problems are related—the same physics governs the finishing of one steel and another, the same principles apply to cylindrical and plane MAF—and the knowledge gained on one should accelerate learning on another. Transfer learning is the discipline of reusing knowledge across related problems, and in the data-scarce MAF setting, where every experiment is costly, it is among the most valuable strategies available, promising to multiply the effective data by borrowing strength across the domains that prior work has explored. This section develops transfer learning for MAF in depth, examining the axes along which knowledge can transfer, the mechanisms of transfer, and the pitfalls that must be avoided.</w:t>
      </w:r>
    </w:p>
    <w:p>
      <w:pPr>
        <w:pStyle w:val="Heading2"/>
      </w:pPr>
      <w:r>
        <w:t xml:space="preserve">29.2 Axes of Transfer</w:t>
      </w:r>
    </w:p>
    <w:p>
      <w:pPr>
        <w:pStyle w:val="Normal"/>
      </w:pPr>
      <w:r>
        <w:t xml:space="preserve">Knowledge in MAF can transfer along several axes. Along the </w:t>
      </w:r>
      <w:r>
        <w:rPr>
          <w:b/>
        </w:rPr>
        <w:t xml:space="preserve">material</w:t>
      </w:r>
      <w:r>
        <w:t xml:space="preserve"> axis, a model trained on abundant data for one alloy can inform a model for a related alloy, because the finishing physics depends on material properties that vary continuously across alloys; the property-based encoding of Sections 8 and 25 is the enabler, representing materials in a common property space through which knowledge transfers. Along the </w:t>
      </w:r>
      <w:r>
        <w:rPr>
          <w:b/>
        </w:rPr>
        <w:t xml:space="preserve">configuration</w:t>
      </w:r>
      <w:r>
        <w:t xml:space="preserve"> axis, knowledge from one MAF configuration—cylindrical, plane, internal—can inform another, because the configurations share underlying physics despite their kinematic and geometric differences, though the transfer is looser than across materials because the differences are larger. Along the </w:t>
      </w:r>
      <w:r>
        <w:rPr>
          <w:b/>
        </w:rPr>
        <w:t xml:space="preserve">machine</w:t>
      </w:r>
      <w:r>
        <w:t xml:space="preserve"> axis, a model developed on one machine can be adapted to another of the same type, addressing the machine-to-machine variation that otherwise fragments datasets and requires each machine to be modelled separately. Along the </w:t>
      </w:r>
      <w:r>
        <w:rPr>
          <w:b/>
        </w:rPr>
        <w:t xml:space="preserve">scale</w:t>
      </w:r>
      <w:r>
        <w:t xml:space="preserve"> axis, knowledge may transfer between component sizes through the dimensionless groups of Section 25, which capture scale-invariant structure. And along the </w:t>
      </w:r>
      <w:r>
        <w:rPr>
          <w:b/>
        </w:rPr>
        <w:t xml:space="preserve">source</w:t>
      </w:r>
      <w:r>
        <w:t xml:space="preserve"> axis, knowledge transfers from simulation to reality, as in the simulation-augmented learning of Section 28. Each axis offers an opportunity to reuse knowledge, and each has its own degree of relatedness and its own mechanism and pitfalls.</w:t>
      </w:r>
    </w:p>
    <w:p>
      <w:pPr>
        <w:pStyle w:val="Heading2"/>
      </w:pPr>
      <w:r>
        <w:t xml:space="preserve">29.3 Mechanisms of Transfer</w:t>
      </w:r>
    </w:p>
    <w:p>
      <w:pPr>
        <w:pStyle w:val="Normal"/>
      </w:pPr>
      <w:r>
        <w:t xml:space="preserve">Transfer learning operates through several mechanisms of increasing sophistication. The simplest is </w:t>
      </w:r>
      <w:r>
        <w:rPr>
          <w:b/>
        </w:rPr>
        <w:t xml:space="preserve">feature-space transfer</w:t>
      </w:r>
      <w:r>
        <w:t xml:space="preserve"> through shared, physically meaningful features—especially the property-based material encoding—so that a model built in the shared feature space applies across domains without special adaptation, because a new material or scale is simply a new point in the same feature space. A more active mechanism is </w:t>
      </w:r>
      <w:r>
        <w:rPr>
          <w:b/>
        </w:rPr>
        <w:t xml:space="preserve">pre-training and fine-tuning</w:t>
      </w:r>
      <w:r>
        <w:t xml:space="preserve">: a model is trained on the abundant source-domain data and then fine-tuned on the scarce target-domain data, so that it begins from the source-informed solution and adapts it to the target, requiring far less target data than training from scratch. A further mechanism is </w:t>
      </w:r>
      <w:r>
        <w:rPr>
          <w:b/>
        </w:rPr>
        <w:t xml:space="preserve">domain adaptation</w:t>
      </w:r>
      <w:r>
        <w:t xml:space="preserve">, which explicitly aligns the source and target data distributions to correct for their differences before or during transfer. And a principled mechanism, natural for the Gaussian processes favoured in MAF, is </w:t>
      </w:r>
      <w:r>
        <w:rPr>
          <w:b/>
        </w:rPr>
        <w:t xml:space="preserve">hierarchical or multi-task modelling</w:t>
      </w:r>
      <w:r>
        <w:t xml:space="preserve">, in which a shared model captures the common structure across domains and domain-specific components capture the differences, learning all domains jointly and sharing strength among them. The choice of mechanism depends on the relatedness of the domains and the data available, and the mechanisms can be combined, as when a property-encoded model is pre-trained on several materials and fine-tuned on a new one.</w:t>
      </w:r>
    </w:p>
    <w:p>
      <w:pPr>
        <w:pStyle w:val="Heading2"/>
      </w:pPr>
      <w:r>
        <w:t xml:space="preserve">29.4 The Peril of Negative Transfer</w:t>
      </w:r>
    </w:p>
    <w:p>
      <w:pPr>
        <w:pStyle w:val="Normal"/>
      </w:pPr>
      <w:r>
        <w:t xml:space="preserve">Transfer learning is not without peril, and its central danger is negative transfer: the borrowing of knowledge from a source domain too dissimilar to the target, which degrades rather than improves the target model by importing structure that does not apply. A model transferred from a soft ductile alloy to a hard brittle one, or from cylindrical to internal MAF, may carry relationships that are wrong for the target and mislead it, performing worse than a model built from the target data alone. Guarding against negative transfer requires judging the relatedness of the domains—physically, through the similarity of their materials, configurations, and mechanisms, and empirically, through the performance of the transferred model on target validation data—and transferring only where the domains are genuinely related and the transfer demonstrably helps. The uncertainty quantification of Section 11 aids this judgment by flagging when the transferred model is uncertain on the target, and the validation discipline of Section 21 provides the empirical check. Transfer should be adopted when it demonstrably improves held-out target performance and abandoned when it does not, a matter of empirical verification rather than assumption, and the same rigour that governs the rest of the framework governs the decision to transfer.</w:t>
      </w:r>
    </w:p>
    <w:p>
      <w:pPr>
        <w:pStyle w:val="Heading2"/>
      </w:pPr>
      <w:r>
        <w:t xml:space="preserve">29.5 Building Transferable Models by Design</w:t>
      </w:r>
    </w:p>
    <w:p>
      <w:pPr>
        <w:pStyle w:val="Normal"/>
      </w:pPr>
      <w:r>
        <w:t xml:space="preserve">Transfer is easiest when models are built to be transferable from the start, and several design choices promote transferability. Encoding materials by their physical properties rather than by labels, as emphasized repeatedly, is the single most important choice, because it places all materials in a common space through which knowledge flows. Using dimensionless groups promotes transfer across scales. Structuring models to reflect the shared physics promotes transfer across configurations. Recording and sharing data in standardized, consistent forms—the practice urged in Sections 14 and 22—makes cross-domain data poolable and hence transfer feasible. And maintaining models and their lineage in a managed lifecycle (Section 22) preserves the knowledge that transfer reuses. Building for transferability is thus not a separate activity but a set of choices integrated into the whole framework—in the feature engineering, the data engineering, and the modelling—that positions each model and each dataset to contribute to and benefit from a cumulative body of MAF knowledge rather than standing in isolation. This cumulative vision, in which knowledge compounds across problems rather than being repeatedly rediscovered, is the promise of transfer learning and a central element of the mature, data-efficient, cumulative discipline that this chapter envisions for the field.</w:t>
      </w:r>
    </w:p>
    <w:p>
      <w:pPr>
        <w:pStyle w:val="Heading2"/>
      </w:pPr>
      <w:r>
        <w:t xml:space="preserve">29.6 Transfer Learning and the Data-Scarcity Problem</w:t>
      </w:r>
    </w:p>
    <w:p>
      <w:pPr>
        <w:pStyle w:val="Normal"/>
      </w:pPr>
      <w:r>
        <w:t xml:space="preserve">Transfer learning bears directly on the data-scarcity problem that Section 14 identified as the field's central limitation, and its promise in this regard is substantial. By reusing the knowledge in prior campaigns, transfer learning reduces the data required for each new problem, sometimes dramatically, converting the scattered, isolated datasets of the field into a connected resource whose whole exceeds the sum of its parts. Combined with the physics-informed learning of Section 28, which augments scarce data with physical knowledge, and with the active learning of Sections 11 and 12, which extracts maximal information from each experiment, transfer learning is one of the three principal levers against data scarcity, and together these levers offer a realistic path to reliable modelling despite the irreducible costliness of MAF experimentation. The realization of this promise depends on the community practices—standardized data, shared benchmarks, property-based encoding, managed model lifecycles—that make transfer feasible, and it is therefore as much a matter of collective discipline as of individual technique. But its potential to alleviate the field's defining constraint makes it, alongside physics-informed and active learning, among the most consequential directions for the future of ML-based MAF modelling, and a fitting subject on which to conclude the extended treatment of the field's methods before turning to its optimization and control.</w:t>
      </w:r>
    </w:p>
    <w:p>
      <w:pPr>
        <w:pStyle w:val="Heading1"/>
      </w:pPr>
      <w:r>
        <w:t xml:space="preserve">30. Extended Treatment: Metaheuristic Optimization for MAF Process Design</w:t>
      </w:r>
    </w:p>
    <w:p>
      <w:pPr>
        <w:pStyle w:val="Heading2"/>
      </w:pPr>
      <w:r>
        <w:t xml:space="preserve">30.1 The Role of Metaheuristics</w:t>
      </w:r>
    </w:p>
    <w:p>
      <w:pPr>
        <w:pStyle w:val="Normal"/>
      </w:pPr>
      <w:r>
        <w:t xml:space="preserve">Section 12 established that a validated predictive model becomes a fast surrogate over which optimization algorithms search for optimal process settings, and it identified metaheuristic and population-based methods as the most common choice in the MAF literature. This section develops these methods in depth, because the optimization is the step that converts prediction into the actionable process recipe that is the ultimate purpose of the enterprise, and because the metaheuristics have characteristics—global search, gradient-freedom, multi-objective capability—that suit them to the multimodal, constrained, multi-objective MAF optimization problem. The treatment is at the level of principle and practice appropriate to a manufacturing audience, illuminating why these methods work and how to use them well rather than deriving their theory.</w:t>
      </w:r>
    </w:p>
    <w:p>
      <w:pPr>
        <w:pStyle w:val="Heading2"/>
      </w:pPr>
      <w:r>
        <w:t xml:space="preserve">30.2 Why Global, Gradient-Free Search</w:t>
      </w:r>
    </w:p>
    <w:p>
      <w:pPr>
        <w:pStyle w:val="Normal"/>
      </w:pPr>
      <w:r>
        <w:t xml:space="preserve">The MAF optimization problem has features that favour global, gradient-free search. The surrogate's response surface is multimodal, with multiple local optima arising from the non-monotonic and interacting parameter effects, so a local method starting from a single point risks converging to a local rather than the global optimum. The objective may be non-differentiable—especially when it incorporates constraints, discrete choices such as grain grade, or the outputs of a tree-based surrogate whose surface is stepped—so gradient-based methods may not apply. And the problem is often multi-objective, seeking a Pareto front rather than a single optimum. Metaheuristics address all three: they search globally by maintaining and evolving a population or by accepting occasional uphill moves, escaping local optima; they require no gradients, evaluating only the objective; and their population-based variants naturally trace the Pareto front. These characteristics, matched to the problem's features, are why metaheuristics dominate the MAF optimization literature, and they justify the modest computational cost of their many surrogate evaluations, which is negligible when the surrogate is fast.</w:t>
      </w:r>
    </w:p>
    <w:p>
      <w:pPr>
        <w:pStyle w:val="Heading2"/>
      </w:pPr>
      <w:r>
        <w:t xml:space="preserve">30.3 Genetic Algorithms</w:t>
      </w:r>
    </w:p>
    <w:p>
      <w:pPr>
        <w:pStyle w:val="Normal"/>
      </w:pPr>
      <w:r>
        <w:t xml:space="preserve">The genetic algorithm, inspired by biological evolution, maintains a population of candidate parameter sets and evolves it over generations toward the optimum. Each candidate is evaluated on the surrogate to determine its fitness; the fitter candidates are selected preferentially to reproduce; reproduction combines the parameters of two parents (crossover) to produce offspring that inherit features of both; and random mutation perturbs the offspring to introduce variation and explore new regions. Over generations, the population concentrates on high-fitness regions while retaining the diversity to escape local optima, converging toward the global optimum. The genetic algorithm is robust, general, and easily adapted to constraints (by penalizing or repairing infeasible candidates) and to multiple objectives (through its multi-objective variants), and it is the most widely used metaheuristic in MAF optimization. Its behaviour is governed by its population size, its crossover and mutation rates, and its selection scheme, which balance exploration against exploitation and which are tuned to the problem; too little diversity converges prematurely to a local optimum, too much wanders without converging. Properly configured, the genetic algorithm reliably locates near-optimal MAF settings over the surrogate, and its ubiquity reflects its robustness and adaptability.</w:t>
      </w:r>
    </w:p>
    <w:p>
      <w:pPr>
        <w:pStyle w:val="Heading2"/>
      </w:pPr>
      <w:r>
        <w:t xml:space="preserve">30.4 Particle Swarm and Other Swarm Methods</w:t>
      </w:r>
    </w:p>
    <w:p>
      <w:pPr>
        <w:pStyle w:val="Normal"/>
      </w:pPr>
      <w:r>
        <w:t xml:space="preserve">Particle swarm optimization, inspired by the collective motion of flocks and swarms, maintains a population of candidate solutions—particles—that move through the parameter space guided by their own best-found position and by the best position found by the swarm, balancing individual exploration against collective exploitation. Each particle's velocity is updated toward these attractors with random perturbation, and the swarm converges toward the optimum as the particles are drawn to the best regions. Particle swarm optimization is simple, fast-converging, and effective, often reaching good solutions in fewer evaluations than a genetic algorithm, and it is a popular alternative in MAF optimization. Related swarm and nature-inspired methods—ant colony optimization, artificial bee colony, and many others—apply similar collective-intelligence principles, and the profusion of such methods, while sometimes driven more by novelty than by demonstrated superiority, offers a range of options whose relative performance is problem-dependent and best assessed empirically. For the low-dimensional MAF problem, the differences among the well-established metaheuristics are usually small, and the genetic algorithm and particle swarm optimization are sound, well-understood defaults.</w:t>
      </w:r>
    </w:p>
    <w:p>
      <w:pPr>
        <w:pStyle w:val="Heading2"/>
      </w:pPr>
      <w:r>
        <w:t xml:space="preserve">30.5 Differential Evolution and Simulated Annealing</w:t>
      </w:r>
    </w:p>
    <w:p>
      <w:pPr>
        <w:pStyle w:val="Normal"/>
      </w:pPr>
      <w:r>
        <w:t xml:space="preserve">Differential evolution, a population-based method particularly effective for continuous optimization, generates new candidates by adding the scaled difference between population members to another member, an operation that adapts the search step to the population's spread and that is robust and efficient for the continuous parameter spaces of MAF. Simulated annealing, by contrast, is a single-solution method inspired by the annealing of metals, which explores by accepting not only improving moves but, with a probability that decreases over time, worsening moves, allowing it to escape local optima early and to settle into the global optimum as the acceptance of worsening moves is cooled away. Both methods are effective for MAF optimization, differential evolution for its efficiency on continuous problems and simulated annealing for its principled escape from local optima, and both take their place among the metaheuristic options. The choice among the metaheuristics—genetic algorithm, particle swarm, differential evolution, simulated annealing, and their many relatives—is, for the well-behaved low-dimensional MAF problem, less consequential than the quality of the surrogate they optimize, and the practitioner is well served by any competent, properly configured metaheuristic, selected for familiarity and available implementation as much as for marginal performance differences.</w:t>
      </w:r>
    </w:p>
    <w:p>
      <w:pPr>
        <w:pStyle w:val="Heading2"/>
      </w:pPr>
      <w:r>
        <w:t xml:space="preserve">30.6 Multi-Objective Optimization and Pareto Fronts Revisited</w:t>
      </w:r>
    </w:p>
    <w:p>
      <w:pPr>
        <w:pStyle w:val="Normal"/>
      </w:pPr>
      <w:r>
        <w:t xml:space="preserve">The multi-objective variants of the metaheuristics deserve emphasis because the MAF optimization is genuinely multi-objective, trading roughness against time, cost, removal rate, and integrity. Multi-objective evolutionary algorithms evolve a population toward the Pareto front rather than a single optimum, using selection schemes that reward both proximity to the front and diversity along it, so that the final population approximates the whole front, spread across the range of trade-offs. The resulting Pareto front, as Section 12 argued, is a far richer decision aid than a single optimum, presenting the engineer with the menu of efficient compromises from which to select according to the application's priorities. The multi-objective metaheuristics are mature and widely available, and they integrate naturally with the multi-output surrogate that predicts the several objectives together. Their use transforms the optimization from the pursuit of a single, priority-laden objective into the discovery of the full trade-off structure, empowering an informed rather than a presupposed compromise and exposing the true cost of each objective in terms of the others—the fullest expression of intelligent process design that the framework of this chapter delivers.</w:t>
      </w:r>
    </w:p>
    <w:p>
      <w:pPr>
        <w:pStyle w:val="Heading2"/>
      </w:pPr>
      <w:r>
        <w:t xml:space="preserve">30.7 Constraints, Robustness, and Practicalities</w:t>
      </w:r>
    </w:p>
    <w:p>
      <w:pPr>
        <w:pStyle w:val="Normal"/>
      </w:pPr>
      <w:r>
        <w:t xml:space="preserve">Real MAF optimization is constrained—by equipment limits, quality requirements, and integrity bounds—and robust—concerned not only with the nominal optimum but with its sensitivity to variation. Metaheuristics handle constraints by penalizing infeasible candidates, by repairing them to feasibility, or by restricting the search to the feasible region, and the practitioner must encode the constraints faithfully so that the optimum found is actually realizable and acceptable. Robustness, the concern that the Taguchi tradition addresses directly (Section 23), can be incorporated by optimizing not the nominal predicted roughness but a robust measure—the worst-case or the mean-plus-variance over the expected variation in the inputs—so that the chosen settings perform consistently despite the inevitable variation in field, medium, and material. And the practical realities—the restriction of the search to the region the surrogate supports, lest the optimizer find a spurious optimum in an extrapolation region where the surrogate is unreliable; the validation of the found optimum by confirmation experiments, as in Section 19; and the accounting for the surrogate's own uncertainty in judging the optimum—must all be observed. Optimization over a surrogate is only as trustworthy as the surrogate and as faithful as the problem formulation, and the disciplines of restricting to the supported region, encoding constraints and robustness faithfully, and confirming the result experimentally are what make the optimized recipe reliable rather than illusory—the final safeguards on the path from prediction to intelligent, actionable process design.</w:t>
      </w:r>
    </w:p>
    <w:p>
      <w:pPr>
        <w:pStyle w:val="Heading1"/>
      </w:pPr>
      <w:r>
        <w:t xml:space="preserve">31. Extended Treatment: In-Process Sensing and Closed-Loop Adaptive Control</w:t>
      </w:r>
    </w:p>
    <w:p>
      <w:pPr>
        <w:pStyle w:val="Heading2"/>
      </w:pPr>
      <w:r>
        <w:t xml:space="preserve">31.1 The Vision and the Obstacle</w:t>
      </w:r>
    </w:p>
    <w:p>
      <w:pPr>
        <w:pStyle w:val="Normal"/>
      </w:pPr>
      <w:r>
        <w:t xml:space="preserve">Section 12 sketched closed-loop, in-process adaptive control as the ultimate expression of intelligent MAF, and Section 14 identified in-process sensing as its principal obstacle. This section develops both the vision and the obstacle in depth, because closed-loop control is where the predictive modelling of this chapter would deliver its greatest practical value—a process that finishes each individual workpiece to target automatically, adapting to its particular condition and terminating precisely at saturation—and because understanding the sensing obstacle is essential to charting the path toward that value. The treatment addresses the architecture of closed-loop MAF, the sensing approaches that might enable it, the control strategies that would exploit the predictive model, and the state of the art and the frontier.</w:t>
      </w:r>
    </w:p>
    <w:p>
      <w:pPr>
        <w:pStyle w:val="Heading2"/>
      </w:pPr>
      <w:r>
        <w:t xml:space="preserve">31.2 The Architecture of Closed-Loop MAF</w:t>
      </w:r>
    </w:p>
    <w:p>
      <w:pPr>
        <w:pStyle w:val="Normal"/>
      </w:pPr>
      <w:r>
        <w:t xml:space="preserve">A closed-loop MAF system comprises four elements in a continuous cycle. </w:t>
      </w:r>
      <w:r>
        <w:rPr>
          <w:b/>
        </w:rPr>
        <w:t xml:space="preserve">Sensing</w:t>
      </w:r>
      <w:r>
        <w:t xml:space="preserve"> monitors the process and the evolving surface state in real time. </w:t>
      </w:r>
      <w:r>
        <w:rPr>
          <w:b/>
        </w:rPr>
        <w:t xml:space="preserve">Estimation</w:t>
      </w:r>
      <w:r>
        <w:t xml:space="preserve"> infers, from the sensor signals and the predictive model, the current surface roughness and its trajectory. </w:t>
      </w:r>
      <w:r>
        <w:rPr>
          <w:b/>
        </w:rPr>
        <w:t xml:space="preserve">Decision</w:t>
      </w:r>
      <w:r>
        <w:t xml:space="preserve"> determines, from the estimated state and the target, what adjustment to the process parameters will best steer the surface toward the target. And </w:t>
      </w:r>
      <w:r>
        <w:rPr>
          <w:b/>
        </w:rPr>
        <w:t xml:space="preserve">actuation</w:t>
      </w:r>
      <w:r>
        <w:t xml:space="preserve"> effects the adjustment, most readily by varying the excitation current of an electromagnet and hence the field and force. The cycle repeats continuously, so that the process is regulated moment by moment rather than run open-loop to a fixed recipe, and it terminates automatically when the estimated roughness reaches the target or when the estimated trajectory indicates that saturation has been reached and further processing is futile. This architecture converts MAF from a recipe-driven batch process into a state-driven adaptive process, and its intelligence resides in the estimation and decision elements, where the predictive model of this chapter operates: the model maps the sensor-inferred state and the candidate adjustments to predicted outcomes, enabling the decision element to choose the adjustment that best achieves the target.</w:t>
      </w:r>
    </w:p>
    <w:p>
      <w:pPr>
        <w:pStyle w:val="Heading2"/>
      </w:pPr>
      <w:r>
        <w:t xml:space="preserve">31.3 Direct and Indirect Sensing of Surface State</w:t>
      </w:r>
    </w:p>
    <w:p>
      <w:pPr>
        <w:pStyle w:val="Normal"/>
      </w:pPr>
      <w:r>
        <w:t xml:space="preserve">The central obstacle, as noted, is sensing the surface state in process, and two broad approaches exist. </w:t>
      </w:r>
      <w:r>
        <w:rPr>
          <w:b/>
        </w:rPr>
        <w:t xml:space="preserve">Direct sensing</w:t>
      </w:r>
      <w:r>
        <w:t xml:space="preserve"> measures the roughness itself during finishing, which is difficult because the finishing zone is occupied by the abrasive medium and fluid and inaccessible to conventional profilometry; direct approaches must measure during pauses, in accessible regions, or through the medium by methods yet to mature, and none is yet routine. </w:t>
      </w:r>
      <w:r>
        <w:rPr>
          <w:b/>
        </w:rPr>
        <w:t xml:space="preserve">Indirect sensing</w:t>
      </w:r>
      <w:r>
        <w:t xml:space="preserve"> infers the surface state from signals that accompany the finishing and are accessible—the finishing force, the electromagnet current and its fluctuations, the acoustic emission generated by the abrasive action, and the vibration of the system. These signals vary systematically as finishing proceeds and the surface changes, and a predictive model can be trained to map them to the surface state, turning accessible process signals into an estimate of the inaccessible roughness. Indirect sensing through signal-to-state models is the more immediately feasible approach, and it is itself an application of the machine-learning framework of this chapter: a model is trained on data pairing sensor signals with subsequently measured roughness, and it then infers roughness from signals in process. The fusion of multiple indirect signals, and of indirect with intermittent direct measurements, promises the most robust estimation, and it is an active frontier.</w:t>
      </w:r>
    </w:p>
    <w:p>
      <w:pPr>
        <w:pStyle w:val="Heading2"/>
      </w:pPr>
      <w:r>
        <w:t xml:space="preserve">31.4 State Estimation and Trajectory Prediction</w:t>
      </w:r>
    </w:p>
    <w:p>
      <w:pPr>
        <w:pStyle w:val="Normal"/>
      </w:pPr>
      <w:r>
        <w:t xml:space="preserve">Given sensor signals, the estimation element must infer not only the current surface state but its trajectory—how the roughness will evolve if the current parameters continue, and how it would evolve under alternative parameters. This requires a dynamic model of the finishing process, predicting the evolution of the surface state over time, which extends the static parameter-to-roughness models of the earlier sections into the temporal domain—the recurrent and temporal architectures foreshadowed in Section 14. Such a dynamic model, trained on the time evolution of roughness under various parameters, predicts the trajectory toward saturation and its dependence on the parameters, enabling the decision element to anticipate the outcome of its choices and to detect the approach of saturation. State estimation that fuses the sensor signals with the dynamic model—inferring the state from noisy signals while respecting the model's prediction of how the state should evolve, in the manner of a filter—yields a robust, continuously updated estimate of the surface state and trajectory that is the foundation for intelligent control. The development of accurate dynamic and estimation models for MAF is a research frontier that the growing availability of in-process sensing and the maturation of temporal machine learning are advancing.</w:t>
      </w:r>
    </w:p>
    <w:p>
      <w:pPr>
        <w:pStyle w:val="Heading2"/>
      </w:pPr>
      <w:r>
        <w:t xml:space="preserve">31.5 Control Strategies</w:t>
      </w:r>
    </w:p>
    <w:p>
      <w:pPr>
        <w:pStyle w:val="Normal"/>
      </w:pPr>
      <w:r>
        <w:t xml:space="preserve">The decision element—the controller—exploits the estimated state and the predictive model to choose the parameter adjustments that steer the surface to target. The simplest strategy is threshold control: continue at fixed parameters until the estimated roughness reaches the target, then stop, which already delivers the valuable benefit of automatic, workpiece-specific termination that avoids the overprocessing of fixed-time recipes. A more sophisticated strategy is model-predictive control, which uses the dynamic predictive model to simulate the outcome of candidate parameter trajectories over a horizon and selects the trajectory that best achieves the target—optimizing the process continuously in light of the estimated state, exactly as the offline optimization of Section 12 operates but repeatedly and in real time as the state is updated. Model-predictive control naturally handles constraints and multiple objectives and adapts to disturbances, and it is the natural control strategy for intelligent MAF, embedding the predictive model at the heart of the real-time regulation. Its realization requires an accurate dynamic model, a reliable state estimate, and sufficient computational speed to optimize within the control cycle, all of which are increasingly attainable, and it represents the fullest exploitation of predictive modelling for process control.</w:t>
      </w:r>
    </w:p>
    <w:p>
      <w:pPr>
        <w:pStyle w:val="Heading2"/>
      </w:pPr>
      <w:r>
        <w:t xml:space="preserve">31.6 Benefits, State of the Art, and the Frontier</w:t>
      </w:r>
    </w:p>
    <w:p>
      <w:pPr>
        <w:pStyle w:val="Normal"/>
      </w:pPr>
      <w:r>
        <w:t xml:space="preserve">The benefits of closed-loop adaptive MAF are substantial. It finishes each workpiece to target regardless of its individual initial condition, eliminating the variation that a fixed recipe leaves. It terminates automatically at the target or at saturation, eliminating the wasted time and potential damage of overprocessing. It adapts to disturbances—medium wear, material variation, machine drift—that would degrade a fixed recipe, maintaining quality against a changing process. And it logs its data continuously, feeding the continual learning of Section 22 and improving its models over time. The state of the art, however, remains short of routine industrial closed-loop MAF: the sensing obstacle, though eroding, is not fully overcome; dynamic and estimation models are still maturing; and the integration of sensing, estimation, control, and actuation into robust industrial systems is an engineering challenge in progress. Closed-loop adaptive MAF is thus a frontier rather than a commonplace, but it is a frontier being actively advanced by the convergence of improving in-process sensing, maturing temporal and dynamic modelling, and the predictive and optimization framework of this chapter, and it represents the destination toward which the whole trajectory of intelligent MAF is directed—the transformation of a skilled but static finishing process into an adaptive, self-regulating, self-improving intelligent system.</w:t>
      </w:r>
    </w:p>
    <w:p>
      <w:pPr>
        <w:pStyle w:val="Heading1"/>
      </w:pPr>
      <w:r>
        <w:t xml:space="preserve">32. Extended Treatment: Digital Twins and Integration into Smart Manufacturing</w:t>
      </w:r>
    </w:p>
    <w:p>
      <w:pPr>
        <w:pStyle w:val="Heading2"/>
      </w:pPr>
      <w:r>
        <w:t xml:space="preserve">32.1 From Model to Twin</w:t>
      </w:r>
    </w:p>
    <w:p>
      <w:pPr>
        <w:pStyle w:val="Normal"/>
      </w:pPr>
      <w:r>
        <w:t xml:space="preserve">Section 14 introduced the digital twin as the concept that integrates the several threads of intelligent MAF, and this section develops it in depth, distinguishing the twin from the models that compose it and articulating how it delivers the integrated value that individual models cannot. A predictive model maps parameters to roughness; a digital twin is a living, continuously updated virtual replica of the physical process that embeds such models within a broader representation and connects them to the physical process in real time, serving simultaneously as predictor, estimator, optimizer, monitor, and archive. The distinction is one of scope and connection: the model is a component, static once trained; the twin is a system, dynamic and connected, that ingests the physical process's data continuously, mirrors its state, predicts its behaviour, recommends or enacts its control, detects its anomalies, and accumulates its history. The twin is thus the vehicle that unifies the offline design, the online control, and the lifelong learning of the process into a single connected entity, and it is the natural architecture for delivering intelligent MAF within a manufacturing information system.</w:t>
      </w:r>
    </w:p>
    <w:p>
      <w:pPr>
        <w:pStyle w:val="Heading2"/>
      </w:pPr>
      <w:r>
        <w:t xml:space="preserve">32.2 The Anatomy of a MAF Digital Twin</w:t>
      </w:r>
    </w:p>
    <w:p>
      <w:pPr>
        <w:pStyle w:val="Normal"/>
      </w:pPr>
      <w:r>
        <w:t xml:space="preserve">A MAF digital twin comprises several integrated components. A </w:t>
      </w:r>
      <w:r>
        <w:rPr>
          <w:b/>
        </w:rPr>
        <w:t xml:space="preserve">data connection</w:t>
      </w:r>
      <w:r>
        <w:t xml:space="preserve"> links it to the physical process, ingesting the process parameters, sensor signals, and quality measurements in real time and, where the twin enacts control, sending parameter adjustments back. A </w:t>
      </w:r>
      <w:r>
        <w:rPr>
          <w:b/>
        </w:rPr>
        <w:t xml:space="preserve">state representation</w:t>
      </w:r>
      <w:r>
        <w:t xml:space="preserve"> mirrors the current state of the physical process—the parameters, the estimated surface state, the medium and tooling condition. </w:t>
      </w:r>
      <w:r>
        <w:rPr>
          <w:b/>
        </w:rPr>
        <w:t xml:space="preserve">Predictive models</w:t>
      </w:r>
      <w:r>
        <w:t xml:space="preserve">—the parameter-to-roughness models, the dynamic trajectory models, the signal-to-state estimation models of the preceding sections—predict the process's behaviour and estimate its unobservable state. An </w:t>
      </w:r>
      <w:r>
        <w:rPr>
          <w:b/>
        </w:rPr>
        <w:t xml:space="preserve">optimization and control module</w:t>
      </w:r>
      <w:r>
        <w:t xml:space="preserve"> exploits the models to recommend or enact optimal parameters, offline for design and online for control. A </w:t>
      </w:r>
      <w:r>
        <w:rPr>
          <w:b/>
        </w:rPr>
        <w:t xml:space="preserve">monitoring module</w:t>
      </w:r>
      <w:r>
        <w:t xml:space="preserve"> compares the twin's predictions against the physical outcomes, detecting the drift and anomalies that signal degradation or fault. And a </w:t>
      </w:r>
      <w:r>
        <w:rPr>
          <w:b/>
        </w:rPr>
        <w:t xml:space="preserve">historian</w:t>
      </w:r>
      <w:r>
        <w:t xml:space="preserve"> archives the accumulated data and model versions, preserving the lineage that supports continual learning, reproducibility, and audit. These components, integrated and connected to the physical process, constitute the twin, and together they deliver the unified predictive, optimizing, monitoring, and learning capability that is the twin's distinctive value.</w:t>
      </w:r>
    </w:p>
    <w:p>
      <w:pPr>
        <w:pStyle w:val="Heading2"/>
      </w:pPr>
      <w:r>
        <w:t xml:space="preserve">32.3 What the Twin Enables</w:t>
      </w:r>
    </w:p>
    <w:p>
      <w:pPr>
        <w:pStyle w:val="Normal"/>
      </w:pPr>
      <w:r>
        <w:t xml:space="preserve">The digital twin enables capabilities that its component models cannot deliver individually. It enables </w:t>
      </w:r>
      <w:r>
        <w:rPr>
          <w:b/>
        </w:rPr>
        <w:t xml:space="preserve">virtual experimentation and design</w:t>
      </w:r>
      <w:r>
        <w:t xml:space="preserve">: process changes can be tried on the twin before the physical process, at no material cost and no risk, accelerating development and optimization. It enables </w:t>
      </w:r>
      <w:r>
        <w:rPr>
          <w:b/>
        </w:rPr>
        <w:t xml:space="preserve">real-time optimization and control</w:t>
      </w:r>
      <w:r>
        <w:t xml:space="preserve">: the twin, mirroring the live state, optimizes and regulates the running process continuously, delivering the closed-loop adaptive control of Section 31 within an integrated system. It enables </w:t>
      </w:r>
      <w:r>
        <w:rPr>
          <w:b/>
        </w:rPr>
        <w:t xml:space="preserve">predictive monitoring and maintenance</w:t>
      </w:r>
      <w:r>
        <w:t xml:space="preserve">: by comparing predictions against outcomes and tracking the condition of medium and tooling, the twin detects impending quality excursions and maintenance needs before they manifest, shifting from reactive to predictive operation. It enables </w:t>
      </w:r>
      <w:r>
        <w:rPr>
          <w:b/>
        </w:rPr>
        <w:t xml:space="preserve">continual learning</w:t>
      </w:r>
      <w:r>
        <w:t xml:space="preserve">: the archived data continuously refine the twin's models, so that the twin improves over the process's life. And it enables </w:t>
      </w:r>
      <w:r>
        <w:rPr>
          <w:b/>
        </w:rPr>
        <w:t xml:space="preserve">integration</w:t>
      </w:r>
      <w:r>
        <w:t xml:space="preserve">: the twin, as a connected digital entity, communicates with other twins and systems across the manufacturing enterprise, participating in plant-wide coordination and optimization. The twin thus transforms the collection of models into an integrated intelligent capability whose value exceeds the sum of its parts, and it is the concrete architecture through which the intelligent MAF of this chapter is realized in an operating manufacturing environment.</w:t>
      </w:r>
    </w:p>
    <w:p>
      <w:pPr>
        <w:pStyle w:val="Heading2"/>
      </w:pPr>
      <w:r>
        <w:t xml:space="preserve">32.4 MAF in the Industry 4.0 Ecosystem</w:t>
      </w:r>
    </w:p>
    <w:p>
      <w:pPr>
        <w:pStyle w:val="Normal"/>
      </w:pPr>
      <w:r>
        <w:t xml:space="preserve">The digital twin of MAF does not stand alone but connects into the broader Industry 4.0 ecosystem of interconnected, data-driven manufacturing, and this connection multiplies its value. Upstream, the twin receives data on the incoming workpiece—its material batch, its initial surface condition from the preceding process—enriching its inputs and enabling it to adapt to each workpiece's provenance. Downstream, the twin's outputs—the achieved finish, the process record—inform subsequent operations and the final quality record. Across the plant, the twin participates in scheduling, coordinating its operation with the flow of production, and in quality management, contributing to the plant-wide prediction and prevention of quality excursions. At the enterprise level, the twin's data feed the analytics that optimize across the whole production chain, and its models contribute to the accumulating institutional knowledge. This integration situates the MAF process within a connected intelligence that coordinates and optimizes across processes rather than within each in isolation, and it exemplifies the Industry 4.0 vision in which every process is a connected, intelligent, data-generating and data-consuming node in a plant-wide and enterprise-wide learning system. The predictive modelling of MAF surface roughness, developed in this chapter, is the enabling capability at the heart of the MAF node, and its integration into the ecosystem is where its value is most fully realized.</w:t>
      </w:r>
    </w:p>
    <w:p>
      <w:pPr>
        <w:pStyle w:val="Heading2"/>
      </w:pPr>
      <w:r>
        <w:t xml:space="preserve">32.5 The Challenges of Integration</w:t>
      </w:r>
    </w:p>
    <w:p>
      <w:pPr>
        <w:pStyle w:val="Normal"/>
      </w:pPr>
      <w:r>
        <w:t xml:space="preserve">The integration of MAF into the Industry 4.0 ecosystem raises challenges that transcend the modelling and that must be addressed for the vision to be realized. </w:t>
      </w:r>
      <w:r>
        <w:rPr>
          <w:b/>
        </w:rPr>
        <w:t xml:space="preserve">Interoperability</w:t>
      </w:r>
      <w:r>
        <w:t xml:space="preserve"> requires that the MAF twin communicate with heterogeneous systems through common standards and interfaces, a matter of standardization that the fragmented manufacturing-technology landscape complicates. </w:t>
      </w:r>
      <w:r>
        <w:rPr>
          <w:b/>
        </w:rPr>
        <w:t xml:space="preserve">Data standardization</w:t>
      </w:r>
      <w:r>
        <w:t xml:space="preserve"> requires that the data exchanged be consistent in format, units, and meaning, the same requirement that Sections 14 and 22 urged for poolable, transferable data. </w:t>
      </w:r>
      <w:r>
        <w:rPr>
          <w:b/>
        </w:rPr>
        <w:t xml:space="preserve">Cybersecurity</w:t>
      </w:r>
      <w:r>
        <w:t xml:space="preserve"> requires that the connected twin and its data be protected against the threats that connection introduces, a serious concern for the intellectual property embedded in process knowledge and for the integrity of automated control. </w:t>
      </w:r>
      <w:r>
        <w:rPr>
          <w:b/>
        </w:rPr>
        <w:t xml:space="preserve">Scalability</w:t>
      </w:r>
      <w:r>
        <w:t xml:space="preserve"> requires that the infrastructure support many twins across many processes and plants. And </w:t>
      </w:r>
      <w:r>
        <w:rPr>
          <w:b/>
        </w:rPr>
        <w:t xml:space="preserve">organizational integration</w:t>
      </w:r>
      <w:r>
        <w:t xml:space="preserve"> requires that the twin's outputs be woven into the enterprise's decision processes and that the workforce be equipped to operate and trust the integrated system, the socio-technical challenge of Section 22. These challenges are substantial and largely non-technical in the modelling sense, but they are decisive for the realization of the vision, and their resolution—through standards, security practices, scalable infrastructure, and organizational investment—is as essential to intelligent MAF at scale as the modelling itself. The trajectory toward integrated, intelligent, connected MAF is thus a trajectory of both technical and organizational advance, and its destination is a manufacturing in which the finishing process is a fully intelligent, fully connected participant in a plant-wide and enterprise-wide learning system—the fullest realization of the framework that this chapter has developed from its physical foundations to its intelligent, integrated future.</w:t>
      </w:r>
    </w:p>
    <w:p>
      <w:pPr>
        <w:pStyle w:val="Heading1"/>
      </w:pPr>
      <w:r>
        <w:t xml:space="preserve">33. Extended Treatment: Economic Analysis and the Business Case</w:t>
      </w:r>
    </w:p>
    <w:p>
      <w:pPr>
        <w:pStyle w:val="Heading2"/>
      </w:pPr>
      <w:r>
        <w:t xml:space="preserve">33.1 Why the Economics Matter</w:t>
      </w:r>
    </w:p>
    <w:p>
      <w:pPr>
        <w:pStyle w:val="Normal"/>
      </w:pPr>
      <w:r>
        <w:t xml:space="preserve">The technical merits of machine-learning-based MAF optimization, however compelling, will not secure its adoption unless the economics justify the investment, and no treatment of intelligent MAF is complete without an honest examination of its business case. Manufacturing decisions are made on economic grounds, and the sophisticated modelling and infrastructure that this chapter has developed carry real costs—in experimentation, instrumentation, data infrastructure, and expertise—that must be repaid by real benefits in productivity, quality, and cost. This section examines the economics of intelligent MAF: the costs of adoption, the sources of benefit, the factors that determine the return, and the circumstances under which the investment is justified. The analysis is qualitative and structural rather than quantitative and specific, because the numbers depend on the particular application, but its structure clarifies where and why intelligent MAF pays.</w:t>
      </w:r>
    </w:p>
    <w:p>
      <w:pPr>
        <w:pStyle w:val="Heading2"/>
      </w:pPr>
      <w:r>
        <w:t xml:space="preserve">33.2 The Costs of Adoption</w:t>
      </w:r>
    </w:p>
    <w:p>
      <w:pPr>
        <w:pStyle w:val="Normal"/>
      </w:pPr>
      <w:r>
        <w:t xml:space="preserve">The costs of adopting machine-learning-based MAF optimization fall into several categories. </w:t>
      </w:r>
      <w:r>
        <w:rPr>
          <w:b/>
        </w:rPr>
        <w:t xml:space="preserve">Experimentation</w:t>
      </w:r>
      <w:r>
        <w:t xml:space="preserve"> costs the workpieces, machine time, abrasive medium, and metrology effort of the training campaign, which, though reduced by the space-filling design, active learning, transfer learning, and physics-informed methods of this chapter, remains a real cost proportional to the number of experiments. </w:t>
      </w:r>
      <w:r>
        <w:rPr>
          <w:b/>
        </w:rPr>
        <w:t xml:space="preserve">Instrumentation</w:t>
      </w:r>
      <w:r>
        <w:t xml:space="preserve"> costs the sensors, data-acquisition hardware, and metrology equipment required to capture the data, and, for closed-loop control, the actuation and control hardware. </w:t>
      </w:r>
      <w:r>
        <w:rPr>
          <w:b/>
        </w:rPr>
        <w:t xml:space="preserve">Infrastructure</w:t>
      </w:r>
      <w:r>
        <w:t xml:space="preserve"> costs the data storage, processing, and software systems of the data engineering and model lifecycle of Section 22. </w:t>
      </w:r>
      <w:r>
        <w:rPr>
          <w:b/>
        </w:rPr>
        <w:t xml:space="preserve">Expertise</w:t>
      </w:r>
      <w:r>
        <w:t xml:space="preserve"> costs the skilled personnel—data-literate engineers, domain experts, systems specialists—required to build and maintain the capability, and their training or recruitment. And </w:t>
      </w:r>
      <w:r>
        <w:rPr>
          <w:b/>
        </w:rPr>
        <w:t xml:space="preserve">ongoing</w:t>
      </w:r>
      <w:r>
        <w:t xml:space="preserve"> costs the maintenance, monitoring, retraining, and support that sustain the capability over its life, as opposed to the one-time cost of a study. These costs are substantial, and they are higher for the fuller realizations—closed-loop control and digital twins cost more than offline optimization—so the investment must be scaled to the expected return.</w:t>
      </w:r>
    </w:p>
    <w:p>
      <w:pPr>
        <w:pStyle w:val="Heading2"/>
      </w:pPr>
      <w:r>
        <w:t xml:space="preserve">33.3 The Sources of Benefit</w:t>
      </w:r>
    </w:p>
    <w:p>
      <w:pPr>
        <w:pStyle w:val="Normal"/>
      </w:pPr>
      <w:r>
        <w:t xml:space="preserve">The benefits of intelligent MAF optimization arise from several sources. </w:t>
      </w:r>
      <w:r>
        <w:rPr>
          <w:b/>
        </w:rPr>
        <w:t xml:space="preserve">Reduced development cost and time</w:t>
      </w:r>
      <w:r>
        <w:t xml:space="preserve">: the data-driven, model-guided approach reaches an optimized process with fewer experiments and less time than trial-and-error or exhaustive experimentation, accelerating the introduction of new components and reducing development cost. </w:t>
      </w:r>
      <w:r>
        <w:rPr>
          <w:b/>
        </w:rPr>
        <w:t xml:space="preserve">Reduced production cost</w:t>
      </w:r>
      <w:r>
        <w:t xml:space="preserve">: the optimized recipe finishes to target in less time and with less medium than a conservative or manually tuned recipe, reducing the cost per part, and the automatic termination of closed-loop control eliminates the overprocessing that wastes time and medium. </w:t>
      </w:r>
      <w:r>
        <w:rPr>
          <w:b/>
        </w:rPr>
        <w:t xml:space="preserve">Improved quality and yield</w:t>
      </w:r>
      <w:r>
        <w:t xml:space="preserve">: the optimized and controlled process achieves the target finish more consistently, reducing the scrap and rework of parts that miss specification and improving the yield, and the adaptation to each workpiece's condition reduces the variation that fixed recipes leave. </w:t>
      </w:r>
      <w:r>
        <w:rPr>
          <w:b/>
        </w:rPr>
        <w:t xml:space="preserve">Reduced risk</w:t>
      </w:r>
      <w:r>
        <w:t xml:space="preserve">: the model's respect for the integrity-preserving regime and its avoidance of the damaging force reduce the risk of the finishing failures—damaged surfaces, fatigue-initiating defects—whose cost, especially in high-value or safety-critical applications, can be enormous. And </w:t>
      </w:r>
      <w:r>
        <w:rPr>
          <w:b/>
        </w:rPr>
        <w:t xml:space="preserve">institutional knowledge</w:t>
      </w:r>
      <w:r>
        <w:t xml:space="preserve">: the models and data accumulate a codified, transferable understanding of the process that outlasts individual expertise and transfers across problems, a durable asset. These benefits, summed over the volume of production and the life of the capability, constitute the return against which the costs are weighed.</w:t>
      </w:r>
    </w:p>
    <w:p>
      <w:pPr>
        <w:pStyle w:val="Heading2"/>
      </w:pPr>
      <w:r>
        <w:t xml:space="preserve">33.4 The Determinants of Return</w:t>
      </w:r>
    </w:p>
    <w:p>
      <w:pPr>
        <w:pStyle w:val="Normal"/>
      </w:pPr>
      <w:r>
        <w:t xml:space="preserve">The return on intelligent MAF depends on factors that determine how large the benefits are relative to the costs, and understanding them identifies where the investment pays. </w:t>
      </w:r>
      <w:r>
        <w:rPr>
          <w:b/>
        </w:rPr>
        <w:t xml:space="preserve">Production volume</w:t>
      </w:r>
      <w:r>
        <w:t xml:space="preserve"> multiplies the per-part benefits, so high-volume applications—where a small per-part saving accumulates enormously—repay the investment most readily, while low-volume applications may not justify the fixed costs. </w:t>
      </w:r>
      <w:r>
        <w:rPr>
          <w:b/>
        </w:rPr>
        <w:t xml:space="preserve">Component value</w:t>
      </w:r>
      <w:r>
        <w:t xml:space="preserve"> scales the benefit of improved quality and reduced risk, so high-value applications—aerospace, biomedical, semiconductor—where a scrapped or failed part is costly, justify substantial investment in reliability and integrity. </w:t>
      </w:r>
      <w:r>
        <w:rPr>
          <w:b/>
        </w:rPr>
        <w:t xml:space="preserve">Finishing difficulty</w:t>
      </w:r>
      <w:r>
        <w:t xml:space="preserve"> scales the benefit of optimization, so difficult applications—hard materials, tight tolerances, complex geometries—where trial-and-error is costly and the optimum elusive, repay the modelling effort most, while easy applications may be adequately served by simpler methods. </w:t>
      </w:r>
      <w:r>
        <w:rPr>
          <w:b/>
        </w:rPr>
        <w:t xml:space="preserve">Sensitivity of performance to finish</w:t>
      </w:r>
      <w:r>
        <w:t xml:space="preserve"> scales the benefit of quality, so applications where service performance depends critically on finish justify the pursuit of the last increment of quality. And </w:t>
      </w:r>
      <w:r>
        <w:rPr>
          <w:b/>
        </w:rPr>
        <w:t xml:space="preserve">the maturity of the enabling infrastructure</w:t>
      </w:r>
      <w:r>
        <w:t xml:space="preserve"> reduces the marginal cost, so organizations that have already invested in data infrastructure and expertise adopt intelligent MAF more cheaply than those starting from scratch. The return is greatest where these factors align—high-volume, high-value, difficult, finish-sensitive applications in infrastructure-mature organizations—and it is there that intelligent MAF is first and most compellingly justified.</w:t>
      </w:r>
    </w:p>
    <w:p>
      <w:pPr>
        <w:pStyle w:val="Heading2"/>
      </w:pPr>
      <w:r>
        <w:t xml:space="preserve">33.5 The Phased Business Case</w:t>
      </w:r>
    </w:p>
    <w:p>
      <w:pPr>
        <w:pStyle w:val="Normal"/>
      </w:pPr>
      <w:r>
        <w:t xml:space="preserve">Because the costs scale with the fullness of the realization—offline optimization costing less than closed-loop control, which costs less than a full digital twin—the business case is often best made in phases, each justified by its own return and each building the foundation for the next. The first phase, offline model-based optimization, requires only the experimentation and modelling to build a predictive model and optimize a recipe, and it repays itself through reduced development cost and an improved recipe with modest investment; it is the natural entry point, delivering value quickly and building the data and expertise for later phases. The second phase, monitoring and continual learning, adds the data infrastructure and monitoring to sustain and improve the models over production, repaying itself through maintained quality and accumulated knowledge. The third phase, closed-loop adaptive control, adds the sensing and control to regulate the running process, repaying itself through per-part savings, consistency, and risk reduction, and requiring the sensing advances that Section 31 identified as the frontier. The fourth phase, full digital-twin integration into the Industry 4.0 ecosystem, delivers the plant-wide and enterprise-wide value of Section 32, repaying the largest investment through the largest, most integrated returns. The phased approach manages the investment and the risk, delivering value at each step and justifying each phase by its own return, and it is the pragmatic path by which most organizations will realize intelligent MAF, ascending the phases as the returns and the enabling technologies justify.</w:t>
      </w:r>
    </w:p>
    <w:p>
      <w:pPr>
        <w:pStyle w:val="Heading2"/>
      </w:pPr>
      <w:r>
        <w:t xml:space="preserve">33.6 The Realistic Verdict</w:t>
      </w:r>
    </w:p>
    <w:p>
      <w:pPr>
        <w:pStyle w:val="Normal"/>
      </w:pPr>
      <w:r>
        <w:t xml:space="preserve">The realistic economic verdict is that machine-learning-based MAF optimization is compellingly justified in the high-volume, high-value, difficult, finish-sensitive applications where its benefits are large and the finishing challenge is acute, and that it is justified in its fuller, closed-loop and digital-twin forms as the enabling sensing and infrastructure mature and as the phased approach builds the foundation. It is less obviously justified in low-volume, low-value, easy applications, where simpler methods may suffice and the fixed costs may not be repaid, and the honest counsel is to match the sophistication of the approach to the value of the application rather than to pursue intelligent MAF for its own sake. This sober, application-matched economic realism, far from diminishing the promise of the framework, is essential to its successful adoption: intelligent MAF adopted where it pays delivers real value and builds the case for wider adoption, while intelligent MAF imposed where it does not pay discredits the approach and wastes the investment. The framework of this chapter is a powerful capability, and like every capability its value is realized when it is applied where its benefits exceed its costs—a judgment that the structural economic analysis of this section is intended to inform, so that the technical excellence of the framework is matched by the economic wisdom of its application, and so that intelligent MAF advances on the firm foundation of demonstrated value rather than the shifting ground of technological enthusiasm.</w:t>
      </w:r>
    </w:p>
    <w:p>
      <w:pPr>
        <w:pStyle w:val="Heading1"/>
      </w:pPr>
      <w:r>
        <w:t xml:space="preserve">34. Extended Treatment: An Implementation Roadmap and Best-Practice Guide</w:t>
      </w:r>
    </w:p>
    <w:p>
      <w:pPr>
        <w:pStyle w:val="Heading2"/>
      </w:pPr>
      <w:r>
        <w:t xml:space="preserve">34.1 From Principles to Practice</w:t>
      </w:r>
    </w:p>
    <w:p>
      <w:pPr>
        <w:pStyle w:val="Normal"/>
      </w:pPr>
      <w:r>
        <w:t xml:space="preserve">The preceding sections have developed the framework's principles in depth; this section distils them into a practical roadmap and a best-practice guide, so that the practitioner embarking on a machine-learning-based MAF modelling and optimization project has a concrete sequence to follow and a checklist of practices to observe. The roadmap follows the logical progression of the framework, and the best practices consolidate the disciplines urged throughout, presented here in actionable form. The intention is to make the framework not merely understood but usable, converting the chapter's exposition into a guide that an engineer can follow to a validated, optimized, trustworthy result.</w:t>
      </w:r>
    </w:p>
    <w:p>
      <w:pPr>
        <w:pStyle w:val="Heading2"/>
      </w:pPr>
      <w:r>
        <w:t xml:space="preserve">34.2 Phase One: Define and Scope</w:t>
      </w:r>
    </w:p>
    <w:p>
      <w:pPr>
        <w:pStyle w:val="Normal"/>
      </w:pPr>
      <w:r>
        <w:t xml:space="preserve">Every project begins with definition and scoping. Capture the requirement—the target finish and its functional basis, the initial condition, the material, and the constraints of equipment, quality, and integrity—as in the worked example of Section 19. Define the objective precisely: minimize roughness, hit a target window, or minimize time subject to a target, single- or multi-objective, as Section 12 discussed. Establish the economic case—the volume, value, difficulty, and finish-sensitivity that determine the return, per Section 33—and scope the sophistication of the approach to match, from offline optimization to closed-loop control. And identify the responses to model—Ra primarily, but Rq, Rz, skewness, integrity, and uniformity as the application requires, per Sections 4 and 26. This phase, though it precedes any experiment or model, determines the project's direction and its value, and its careful execution is the foundation of everything that follows.</w:t>
      </w:r>
    </w:p>
    <w:p>
      <w:pPr>
        <w:pStyle w:val="Heading2"/>
      </w:pPr>
      <w:r>
        <w:t xml:space="preserve">34.3 Phase Two: Design and Acquire</w:t>
      </w:r>
    </w:p>
    <w:p>
      <w:pPr>
        <w:pStyle w:val="Normal"/>
      </w:pPr>
      <w:r>
        <w:t xml:space="preserve">With the project scoped, design the experiments and acquire the data. Choose a space-filling or sequential design (Section 7) sized to the dimensionality and the anticipated response complexity (Section 7's sample-size guidance), with replicates to establish the noise floor and randomization to neutralize confounders (Section 6). Fix and document the measurement protocol, calibrate the instrument, and measure at multiple locations (Sections 4, 6, 26). Record the confounders—initial condition, medium condition, ambient conditions—as features rather than leaving them as noise (Sections 6, 25). Execute the design, and establish the noise floor from the replicates as the reference for all subsequent evaluation (Sections 11, 19, 27). This phase produces the data on which everything depends, and its quality—determined by the design, the measurement, and the control of confounders—dominates the eventual model quality, per the repeated emphasis of Sections 6 and 8.</w:t>
      </w:r>
    </w:p>
    <w:p>
      <w:pPr>
        <w:pStyle w:val="Heading2"/>
      </w:pPr>
      <w:r>
        <w:t xml:space="preserve">34.4 Phase Three: Preprocess and Engineer</w:t>
      </w:r>
    </w:p>
    <w:p>
      <w:pPr>
        <w:pStyle w:val="Normal"/>
      </w:pPr>
      <w:r>
        <w:t xml:space="preserve">Transform the raw data into a model-ready representation. Clean the data against a data dictionary, treat any missing values, and investigate rather than automatically delete outliers (Section 8). Scale the features as the algorithms require, fitting the scaling on the training partition only (Sections 8, 21). Encode materials by their physical properties, not labels, to enable generalization (Sections 8, 25, 29). Engineer physically motivated features—force-related combinations, exposure products, dimensionless groups—that embed process understanding (Sections 25, 28). Partition the data by cross-validation, given the likely small size, respecting the data's structure to avoid leakage (Sections 8, 21). This phase, unglamorous but consequential, embeds physical understanding into the representation and establishes the leakage-free pipeline on which honest evaluation depends.</w:t>
      </w:r>
    </w:p>
    <w:p>
      <w:pPr>
        <w:pStyle w:val="Heading2"/>
      </w:pPr>
      <w:r>
        <w:t xml:space="preserve">34.5 Phase Four: Model, Validate, and Interrogate</w:t>
      </w:r>
    </w:p>
    <w:p>
      <w:pPr>
        <w:pStyle w:val="Normal"/>
      </w:pPr>
      <w:r>
        <w:t xml:space="preserve">Build, validate, and interrogate the model. Train several diverse candidate algorithms—an XGBoost or gradient-boosting model, a Gaussian process, a support vector regression, and others as warranted (Section 9)—tuning each by nested cross-validation without leakage (Section 10). Compare them fairly on held-out performance with multiple metrics and their variability, referred to the noise floor (Sections 10, 21, 27). Select the best, or stack them, weighing the secondary needs of uncertainty (favouring the Gaussian process) and interpretability (favouring the tree ensembles) (Section 9). Quantify the predictive uncertainty and check its calibration (Section 11). Interrogate the model through feature importance and partial dependence, confirming physical plausibility and detecting spurious correlations (Section 11). Analyse the residuals and the region-specific error, and augment by active learning where the model is uncertain near the optimum (Sections 11, 12, 27). This phase produces a validated, uncertainty-quantified, physically sensible model, and its rigour—the honest validation, the leakage prevention, the interrogation—determines the model's trustworthiness, per the insistence of Sections 21 and 27.</w:t>
      </w:r>
    </w:p>
    <w:p>
      <w:pPr>
        <w:pStyle w:val="Heading2"/>
      </w:pPr>
      <w:r>
        <w:t xml:space="preserve">34.6 Phase Five: Optimize and Confirm</w:t>
      </w:r>
    </w:p>
    <w:p>
      <w:pPr>
        <w:pStyle w:val="Normal"/>
      </w:pPr>
      <w:r>
        <w:t xml:space="preserve">Convert the model into an optimized, confirmed process recipe. Formulate the optimization faithfully, with the objective and constraints of the requirement, restricting the search to the region the model supports (Sections 12, 30). Optimize over the model with a competent metaheuristic, tracing the Pareto front for multi-objective problems to expose the trade-offs (Sections 12, 30). Select the recipe from the front or the single optimum according to the priorities, incorporating robustness if variation is a concern (Sections 23, 30). Confirm the selected recipe by confirmation experiments, validating the model and the optimization (Sections 12, 19). And add the confirmed data to the model, completing the cycle and improving the model for future use (Sections 12, 19). This phase delivers the actionable, confirmed recipe that is the project's purpose, and its safeguards—the faithful formulation, the restriction to the supported region, the confirmation—ensure that the optimum is reliable rather than illusory, per the cautions of Section 30.</w:t>
      </w:r>
    </w:p>
    <w:p>
      <w:pPr>
        <w:pStyle w:val="Heading2"/>
      </w:pPr>
      <w:r>
        <w:t xml:space="preserve">34.7 Phase Six: Deploy, Monitor, and Sustain</w:t>
      </w:r>
    </w:p>
    <w:p>
      <w:pPr>
        <w:pStyle w:val="Normal"/>
      </w:pPr>
      <w:r>
        <w:t xml:space="preserve">For a sustained capability rather than a one-off study, deploy, monitor, and sustain the model. Deploy it with the exact training preprocessing, into the decision or control process it serves (Section 22). Monitor its performance against fresh outcomes and its inputs against the training distribution, detecting drift (Section 22). Update it—retrain, revalidate, redeploy—as drift or degradation warrant, in a managed lifecycle (Section 22). Version the data, code, and models for reproducibility and audit (Sections 21, 22). And, for the fuller realizations, ascend the phases toward closed-loop control and digital-twin integration as the returns and enabling technologies justify (Sections 31, 32, 33). This phase sustains the capability over its life, maintaining its value against a changing process and building toward the integrated, intelligent future, per the operational framework of Section 22.</w:t>
      </w:r>
    </w:p>
    <w:p>
      <w:pPr>
        <w:pStyle w:val="Heading2"/>
      </w:pPr>
      <w:r>
        <w:t xml:space="preserve">34.8 The Best-Practice Checklist Consolidated</w:t>
      </w:r>
    </w:p>
    <w:p>
      <w:pPr>
        <w:pStyle w:val="Normal"/>
      </w:pPr>
      <w:r>
        <w:t xml:space="preserve">Consolidating the disciplines urged throughout, the practitioner should: prefer data-efficient, well-regularized methods and compare several rather than championing one; design experiments to fill the space and establish the noise floor; control and record confounders; prevent leakage at every data-dependent step; validate honestly with nested cross-validation and multiple metrics referred to the noise floor; quantify and calibrate uncertainty; interrogate the model for physical plausibility; encode materials by properties and engineer physically motivated features; restrict optimization to the supported region and confirm the optimum experimentally; report methodology fully for reproducibility; monitor and sustain deployed models against drift; and match the sophistication of the approach to the economic value of the application. These practices, developed and justified throughout the chapter and consolidated here, are the difference between a model that flatters in the laboratory and disappoints in the plant and one that delivers reliable, sustained, industrial value, and their observance is the practical embodiment of the rigorous, physics-grounded, economically realistic framework that this chapter has advocated as the route to intelligent magnetic abrasive finishing.</w:t>
      </w:r>
    </w:p>
    <w:p>
      <w:pPr>
        <w:pStyle w:val="Heading1"/>
      </w:pPr>
      <w:r>
        <w:t xml:space="preserve">35. Extended Case Studies</w:t>
      </w:r>
    </w:p>
    <w:p>
      <w:pPr>
        <w:pStyle w:val="Heading2"/>
      </w:pPr>
      <w:r>
        <w:t xml:space="preserve">35.1 Case Study A: Multi-Material Model with Property-Based Encoding</w:t>
      </w:r>
    </w:p>
    <w:p>
      <w:pPr>
        <w:pStyle w:val="Normal"/>
      </w:pPr>
      <w:r>
        <w:t xml:space="preserve">This extended case study illustrates the construction of a single model that generalizes across several workpiece materials through property-based encoding, addressing the common industrial situation in which a finishing cell processes a family of related components in different alloys and a separate model per material would be uneconomical. The dataset combines experiments on several steels and non-ferrous alloys spanning a range of hardness, ductility, and magnetic character, with each material represented not by a label but by its physical properties—hardness, elastic modulus, elongation, and magnetic permeability—appended to the process parameters as continuous features, per the strategy of Sections 8 and 25. A gradient-boosting model and a Gaussian process are trained on the pooled, property-encoded data and validated by a material-stratified cross-validation that, crucially, holds out entire materials to test the model's ability to generalize to unseen materials, not merely to unseen conditions of seen materials.</w:t>
      </w:r>
    </w:p>
    <w:p>
      <w:pPr>
        <w:pStyle w:val="Normal"/>
      </w:pPr>
      <w:r>
        <w:t xml:space="preserve">The results illustrate the power and the limits of property-based encoding. Within the property range spanned by the training materials, the model predicts the finished roughness of a held-out material with useful accuracy, interpolating through the property space to a material it has not seen—a capability that a label-encoded or per-material model cannot possess. The feature-importance analysis confirms that hardness and magnetic permeability are influential material properties, consistent with the mechanics of Section 17, and the partial-dependence plots trace physically sensible relationships—finished roughness rising with hardness for a fixed process, as harder materials resist the abrasive. The limits appear when the model is queried for a material outside the training property range, where its accuracy degrades as it extrapolates in the property space, its uncertainty appropriately inflating to flag the extrapolation. The case study demonstrates that property-based encoding delivers genuine cross-material generalization within the sampled property range, that it enables a single economical model for a material family, and that its extrapolation beyond the range is limited and flagged by uncertainty—a concrete realization of the transfer-across-materials theme of Sections 25 and 29 and a template for the common industrial multi-material situation.</w:t>
      </w:r>
    </w:p>
    <w:p>
      <w:pPr>
        <w:pStyle w:val="Heading2"/>
      </w:pPr>
      <w:r>
        <w:t xml:space="preserve">35.2 Case Study B: Physics-Informed Residual Model for a Data-Scarce Problem</w:t>
      </w:r>
    </w:p>
    <w:p>
      <w:pPr>
        <w:pStyle w:val="Normal"/>
      </w:pPr>
      <w:r>
        <w:t xml:space="preserve">This case study illustrates physics-informed residual modelling applied to a data-scarce problem, addressing the situation in which experiments are so costly that a purely data-driven model would be unreliable. A physics-based model of the finishing—an approximate force-and-removal model combining a magnetic-circuit estimate of the finishing force with an indentation-and-wear estimate of the removal, per the analyses of Sections 16 and 17—provides a first prediction of the finished roughness that captures the correct qualitative trends but errs quantitatively because of its simplifying assumptions. A small experimental dataset, too small to train a reliable model from scratch, is used instead to train a data-driven residual model that learns the discrepancy between the physics prediction and the measured roughness, per the residual-modelling strategy of Section 28. The combined prediction is the physics prediction plus the learned correction.</w:t>
      </w:r>
    </w:p>
    <w:p>
      <w:pPr>
        <w:pStyle w:val="Normal"/>
      </w:pPr>
      <w:r>
        <w:t xml:space="preserve">The results illustrate the data efficiency and reliability of the hybrid approach. The combined model achieves substantially better accuracy than the physics model alone, the residual correction removing the physics model's quantitative errors, and substantially better accuracy than a purely data-driven model trained on the same scarce data, because the residual is simpler and smaller than the full response and requires less data to learn. Critically, the combined model extrapolates far more reliably than the purely data-driven model, because outside the data the residual correction is small and the physically grounded first prediction governs, keeping the combined prediction physically sensible where a purely data-driven model would produce uncontrolled extrapolations. The case study demonstrates that physics-informed residual modelling secures accuracy from scarce data and reliability under extrapolation that neither pure physics nor pure data-driven learning attains alone—a concrete realization of the hybrid-modelling promise of Section 28 and a template for the data-scarce problems that pervade MAF, showing that the substantial physical understanding of the process can compensate for its scarce data when the two are combined with skill.</w:t>
      </w:r>
    </w:p>
    <w:p>
      <w:pPr>
        <w:pStyle w:val="Heading2"/>
      </w:pPr>
      <w:r>
        <w:t xml:space="preserve">35.3 Case Study C: Closed-Loop Termination Through Indirect Sensing</w:t>
      </w:r>
    </w:p>
    <w:p>
      <w:pPr>
        <w:pStyle w:val="Normal"/>
      </w:pPr>
      <w:r>
        <w:t xml:space="preserve">This case study illustrates the most immediately attainable element of closed-loop control—automatic, workpiece-specific termination through indirect sensing—addressing the wasteful overprocessing that fixed-time recipes impose. The finishing force and the electromagnet current are monitored in process, and a signal-to-state model, trained on data pairing these signals with subsequently measured roughness per the indirect-sensing strategy of Section 31, infers the current roughness from the signals in real time. A threshold controller continues finishing until the inferred roughness reaches the target, then terminates, delivering the automatic, workpiece-specific termination that a fixed-time recipe cannot, per the simplest control strategy of Section 31.</w:t>
      </w:r>
    </w:p>
    <w:p>
      <w:pPr>
        <w:pStyle w:val="Normal"/>
      </w:pPr>
      <w:r>
        <w:t xml:space="preserve">The results illustrate the value of even this simplest closed-loop element. Because workpieces vary in their initial condition and their finishing response, a fixed-time recipe must be set conservatively long to ensure that the worst-case workpiece reaches the target, overprocessing the typical workpiece and wasting time and medium and risking damage to the easiest. The closed-loop termination, by contrast, finishes each workpiece exactly to target and stops, eliminating the overprocessing of the typical workpiece and adapting to each one's condition. The signal-to-state model's inference is validated against post-process measurement, confirming that the indirect sensing infers the roughness with useful accuracy, and the terminated workpieces are confirmed to reach the target more consistently and with less average finishing time than the fixed recipe achieves. The case study demonstrates that automatic termination through indirect sensing—the most attainable closed-loop element, requiring no direct roughness sensing and only a threshold controller—delivers real value in reduced time, improved consistency, and reduced risk, and that it is achievable with present technology, a concrete near-term realization of the closed-loop vision of Section 31 and an entry point to the fuller adaptive control that the sensing frontier will progressively enable.</w:t>
      </w:r>
    </w:p>
    <w:p>
      <w:pPr>
        <w:pStyle w:val="Heading2"/>
      </w:pPr>
      <w:r>
        <w:t xml:space="preserve">35.4 Case Study D: Bayesian Optimization from Scratch</w:t>
      </w:r>
    </w:p>
    <w:p>
      <w:pPr>
        <w:pStyle w:val="Normal"/>
      </w:pPr>
      <w:r>
        <w:t xml:space="preserve">This case study illustrates Bayesian optimization applied to a process from scratch, addressing the situation in which a new component or material must be optimized with no prior data and a minimum of experiments. Beginning with only a handful of initial space-filling runs, a Gaussian process surrogate is fitted, and an acquisition function balancing exploration and exploitation selects each successive experiment to most advance the search for the optimum, per the Bayesian-optimization strategy of Section 12. Each selected experiment is performed, its result added, and the surrogate updated, the cycle iterating toward the optimum.</w:t>
      </w:r>
    </w:p>
    <w:p>
      <w:pPr>
        <w:pStyle w:val="Normal"/>
      </w:pPr>
      <w:r>
        <w:t xml:space="preserve">The results illustrate the experimental efficiency of Bayesian optimization. The optimum—the settings achieving the target finish in minimum time—is located in far fewer experiments than a fixed space-filling design followed by optimization would require, because the acquisition function concentrates the experiments where they most advance the search rather than spreading them uniformly, per the efficiency argument of Section 12. The Gaussian process's uncertainty, guiding the exploration, ensures that the search does not prematurely converge to a local optimum, exploring uncertain regions that might harbour a better optimum before exploiting the best found. The case study demonstrates that Bayesian optimization locates the optimum of a new process from scratch with a minimum of experiments, directly attacking the data-scarcity and experimental-cost problems that constrain the field, and it exemplifies the uncertainty-guided, closed-loop experimentation that the calibrated uncertainty of the Gaussian process (Section 11) enables—a concrete realization of the efficient-experimentation promise of Sections 11 and 12 and the method of choice for optimizing a new MAF process where experiments are costly and prior data absent.</w:t>
      </w:r>
    </w:p>
    <w:p>
      <w:pPr>
        <w:pStyle w:val="Heading2"/>
      </w:pPr>
      <w:r>
        <w:t xml:space="preserve">35.5 Synthesis of the Case Studies</w:t>
      </w:r>
    </w:p>
    <w:p>
      <w:pPr>
        <w:pStyle w:val="Normal"/>
      </w:pPr>
      <w:r>
        <w:t xml:space="preserve">The four extended case studies, together with the three illustrative studies of Section 13 and the detailed worked example of Section 19, span the principal strategies that the framework offers: comparative modelling and optimization (Section 13, Section 19), cross-material generalization through property encoding (Case A), physics-informed residual modelling for scarce data (Case B), closed-loop termination through indirect sensing (Case C), and Bayesian optimization from scratch (Case D). Together they demonstrate that the framework is not a single method but a toolkit, whose elements are selected and combined according to the problem—the multi-material family calling for property encoding, the data-scarce problem for physics-informed modelling, the overprocessing problem for closed-loop termination, the new process for Bayesian optimization. They demonstrate that each element delivers concrete, measurable value—cross-material economy, data-efficient accuracy, reduced overprocessing, efficient optimization—against a specific problem. And they demonstrate that the elements share the common disciplines—honest validation, uncertainty quantification, physical grounding, experimental confirmation—that make each trustworthy. The case studies thus instantiate the framework in the diversity of its application, showing that the principles developed abstractly throughout the chapter become, in practice, a versatile and powerful toolkit for the intelligent modelling, optimization, and control of magnetic abrasive finishing across the range of problems that the process presents.</w:t>
      </w:r>
    </w:p>
    <w:p>
      <w:pPr>
        <w:pStyle w:val="Heading1"/>
      </w:pPr>
      <w:r>
        <w:t xml:space="preserve">36. Extended Treatment: A Detailed Parameter-by-Parameter Empirical Review</w:t>
      </w:r>
    </w:p>
    <w:p>
      <w:pPr>
        <w:pStyle w:val="Heading2"/>
      </w:pPr>
      <w:r>
        <w:t xml:space="preserve">36.1 Purpose of the Detailed Review</w:t>
      </w:r>
    </w:p>
    <w:p>
      <w:pPr>
        <w:pStyle w:val="Normal"/>
      </w:pPr>
      <w:r>
        <w:t xml:space="preserve">Section 5 analysed the process parameters and their interactions at the level needed to motivate the modelling; this section returns to them for a more detailed empirical review, examining for each parameter the characteristic shape of its effect on roughness, the mechanisms underlying that shape, the interactions that modulate it, and the implications for modelling and optimization. The purpose is to consolidate, in one place, the empirical understanding of parameter effects that a modeller must possess to interpret models, engineer features, and formulate optimizations sensibly, and to connect that understanding to the mechanics of Sections 16 and 17 and the modelling of Sections 9 through 12. The review is qualitative, describing the characteristic behaviour that recurs across the literature rather than specific numerical values, which depend on the particular system.</w:t>
      </w:r>
    </w:p>
    <w:p>
      <w:pPr>
        <w:pStyle w:val="Heading2"/>
      </w:pPr>
      <w:r>
        <w:t xml:space="preserve">36.2 Magnetic Flux Density: The Non-Monotonic Master Variable</w:t>
      </w:r>
    </w:p>
    <w:p>
      <w:pPr>
        <w:pStyle w:val="Normal"/>
      </w:pPr>
      <w:r>
        <w:t xml:space="preserve">The magnetic flux density is the master variable, and its effect on roughness is characteristically non-monotonic: roughness falls as flux density rises from low values, reaches a minimum at an intermediate optimal value, and rises again at high values. The mechanism, per Section 16, is that flux density sets the finishing force; at low force the interaction is insufficient—sliding dominates, little material is removed, and the surface is barely improved; at the optimal force, cutting and ploughing level the asperities effectively; at excessive force, the grains penetrate too deeply, scratching and damaging the surface and raising the roughness. The location of the optimum shifts with the other parameters: it is lower for harder materials (which resist penetration, needing more force), for finer grains (which cut gently, tolerating more force), and for smaller gaps (which amplify the field). This non-monotonic, interaction-shifted behaviour is a paradigm of what defeats low-order regression and demands flexible modelling, and it implies for optimization that flux density must be tuned to an interior optimum, not simply maximized, and for modelling that the flux-density effect and its interactions with material, grain, and gap must be well sampled and captured.</w:t>
      </w:r>
    </w:p>
    <w:p>
      <w:pPr>
        <w:pStyle w:val="Heading2"/>
      </w:pPr>
      <w:r>
        <w:t xml:space="preserve">36.3 Working Gap: The Sensitive Field-Shaper</w:t>
      </w:r>
    </w:p>
    <w:p>
      <w:pPr>
        <w:pStyle w:val="Normal"/>
      </w:pPr>
      <w:r>
        <w:t xml:space="preserve">The working gap's effect is characteristically monotonic over the usable range but highly sensitive: roughness generally falls as the gap decreases, because a smaller gap concentrates the field and raises the force, up to the point where too small a gap constrains circulation and causes loading, at which the benefit reverses. The mechanism, per Section 16, is the gap's control of the field strength and gradient through the reluctance of the magnetic circuit. The gap interacts strongly with flux density, since both act through the field—a large gap can be compensated by a high flux density and vice versa—so that the two are partially interchangeable and their joint effect matters more than either alone, motivating the engineered feature combining them (Section 25). The gap's sensitivity means that its precise control is essential to reproducibility and that its effect must be finely sampled, and its interchangeability with flux density means that the optimization has a degree of freedom—a family of gap-and-field combinations achieving similar force—that can be exploited to satisfy secondary constraints.</w:t>
      </w:r>
    </w:p>
    <w:p>
      <w:pPr>
        <w:pStyle w:val="Heading2"/>
      </w:pPr>
      <w:r>
        <w:t xml:space="preserve">36.4 Rotational Speed: Diminishing and Reversing Returns</w:t>
      </w:r>
    </w:p>
    <w:p>
      <w:pPr>
        <w:pStyle w:val="Normal"/>
      </w:pPr>
      <w:r>
        <w:t xml:space="preserve">The rotational speed's effect is characteristically one of diminishing and eventually reversing returns: roughness falls as speed rises, because more cutting events occur per unit time, but the benefit diminishes and eventually reverses at high speed as centrifugal loss of abrasive, frictional heating, and reduced residence time set in, per Section 5. The speed interacts with finishing time, since the total cutting exposure scales with their product, motivating the engineered exposure feature (Section 25), and with the gap and field, which govern how firmly the abrasive is held against centrifugal loss. For modelling, the diminishing-and-reversing effect is another non-monotonic relationship requiring flexible capture, and for optimization, speed like flux density must be tuned to an interior optimum rather than maximized, though its optimum is often broad, so that a range of speeds performs similarly and the choice can serve secondary considerations such as throughput or heat.</w:t>
      </w:r>
    </w:p>
    <w:p>
      <w:pPr>
        <w:pStyle w:val="Heading2"/>
      </w:pPr>
      <w:r>
        <w:t xml:space="preserve">36.5 Finishing Time: The Saturating Variable</w:t>
      </w:r>
    </w:p>
    <w:p>
      <w:pPr>
        <w:pStyle w:val="Normal"/>
      </w:pPr>
      <w:r>
        <w:t xml:space="preserve">The finishing time's effect is the characteristic saturating one, developed at length in Sections 3 and 17: roughness falls steeply at first, then more slowly, and finally approaches a saturation value beyond which further time yields negligible improvement and may introduce damage. The mechanism is the preferential truncation of an initially broad asperity-height distribution toward a narrow limiting distribution set by the finest scale of the abrasive action. The time interacts with every other parameter, which sets the rate of approach to saturation and the saturation level—stronger fields, sharper grains, and higher speeds reach a given roughness sooner. For modelling, the saturating relationship, with its interaction-dependent rate and level, must be captured, requiring adequate temporal sampling including the approach to saturation. For optimization, the saturation implies that time should be set to reach the target and no longer—the automatic-termination principle of Sections 31 and 35—since time beyond the target wastes cost and risks damage, and this makes time the natural variable to minimize subject to the target, the common industrial objective.</w:t>
      </w:r>
    </w:p>
    <w:p>
      <w:pPr>
        <w:pStyle w:val="Heading2"/>
      </w:pPr>
      <w:r>
        <w:t xml:space="preserve">36.6 Abrasive Concentration: The Interior Optimum</w:t>
      </w:r>
    </w:p>
    <w:p>
      <w:pPr>
        <w:pStyle w:val="Normal"/>
      </w:pPr>
      <w:r>
        <w:t xml:space="preserve">The abrasive concentration's effect is characteristically an interior optimum: roughness falls as concentration rises from low values, because more cutting grains engage, but rises again at high concentration, because the diluted ferromagnetic content weakens the brush and reduces the force per grain, per Section 5. The concentration interacts with the flux density and gap, which set how much magnetic content is needed to maintain brush stiffness, so that the optimal concentration is higher when the field is stronger. For modelling, the interior optimum is another non-monotonic relationship, and for optimization, concentration must be tuned to its interior optimum, which shifts with the field, an interaction the model must capture and the optimizer respect.</w:t>
      </w:r>
    </w:p>
    <w:p>
      <w:pPr>
        <w:pStyle w:val="Heading2"/>
      </w:pPr>
      <w:r>
        <w:t xml:space="preserve">36.7 Abrasive Particle Size: The Rate-Finish Trade-off</w:t>
      </w:r>
    </w:p>
    <w:p>
      <w:pPr>
        <w:pStyle w:val="Normal"/>
      </w:pPr>
      <w:r>
        <w:t xml:space="preserve">The abrasive particle size's effect embodies the fundamental rate-finish trade-off, developed in Sections 5 and 17: larger grains cut faster but leave a coarser limiting finish, finer grains cut slower but reach a lower limiting finish. The grain size sets the saturation roughness—the floor below which a given grain cannot finish regardless of time or force—so that a target below a grain's saturation is unachievable with it, a hard constraint that modelling must represent and optimization respect. The grain size interacts with the material hardness (which resists the grain's penetration), the flux density (which drives it), and the concentration (which sets the number of grains). For modelling, the grain-size effect, its saturation-setting role, and its interactions are central, and for optimization, the grain size is often the primary lever for the achievable finish, with multi-stage strategies—coarse then fine—exploiting the trade-off deliberately to reach low targets efficiently, a strategy that the model's saturation predictions inform.</w:t>
      </w:r>
    </w:p>
    <w:p>
      <w:pPr>
        <w:pStyle w:val="Heading2"/>
      </w:pPr>
      <w:r>
        <w:t xml:space="preserve">36.8 The Integrated Picture and Its Modelling Implications</w:t>
      </w:r>
    </w:p>
    <w:p>
      <w:pPr>
        <w:pStyle w:val="Normal"/>
      </w:pPr>
      <w:r>
        <w:t xml:space="preserve">The parameter-by-parameter review reveals an integrated picture of the MAF response that consolidates the case for the framework. Nearly every parameter has a non-monotonic or saturating effect with an interior optimum or a limiting value, defeating low-order regression and demanding flexible modelling. Nearly every effect is modulated by interactions with the others—the field with the gap, the time with the speed, the concentration and grain with the field and material—so that no parameter can be understood or optimized in isolation, defeating one-factor-at-a-time experimentation and demanding joint modelling and optimization. The optima are interior and interaction-shifted, so that parameters must be tuned to intermediate values rather than maximized or minimized, and hard constraints—the grain-set saturation floor, the integrity-preserving force ceiling—bound the achievable, which optimization must respect. This integrated picture is precisely the nonlinear, interaction-laden, constrained response that the flexible, physically informed, uncertainty-quantified modelling and the constrained, multi-objective, surrogate-based optimization of this chapter are designed to handle, and the detailed empirical review, by making the picture concrete parameter by parameter, both equips the modeller to interpret and formulate sensibly and confirms, from the empirical behaviour of every parameter, the fundamental rationale for the data-driven framework that the chapter has developed throughout.</w:t>
      </w:r>
    </w:p>
    <w:p>
      <w:pPr>
        <w:pStyle w:val="Heading1"/>
      </w:pPr>
      <w:r>
        <w:t xml:space="preserve">37. Extended Treatment: Neural Network Training in Depth</w:t>
      </w:r>
    </w:p>
    <w:p>
      <w:pPr>
        <w:pStyle w:val="Heading2"/>
      </w:pPr>
      <w:r>
        <w:t xml:space="preserve">37.1 The Practice of Training Neural Networks for Small Data</w:t>
      </w:r>
    </w:p>
    <w:p>
      <w:pPr>
        <w:pStyle w:val="Normal"/>
      </w:pPr>
      <w:r>
        <w:t xml:space="preserve">Section 9 introduced neural networks and Section 18 their mathematical foundation; this section addresses the practice of training them well for the small datasets of MAF, because neural networks, for all their flexibility, are the most demanding of the algorithms to train and the most prone to failure when trained carelessly on scarce data. The practices developed here—architecture selection, initialization, optimization, regularization, and the diagnosis of training pathologies—are the difference between a neural network that realizes its potential and one that overfits, underfits, or fails to converge, and their mastery is essential to using neural networks responsibly in the data-scarce MAF setting where their hazards are greatest.</w:t>
      </w:r>
    </w:p>
    <w:p>
      <w:pPr>
        <w:pStyle w:val="Heading2"/>
      </w:pPr>
      <w:r>
        <w:t xml:space="preserve">37.2 Architecture Selection for Low-Dimensional, Small Data</w:t>
      </w:r>
    </w:p>
    <w:p>
      <w:pPr>
        <w:pStyle w:val="Normal"/>
      </w:pPr>
      <w:r>
        <w:t xml:space="preserve">The architecture—the number and width of the hidden layers—sets the network's capacity, and for the low-dimensional, small-data MAF problem the guiding principle is restraint. A network with too much capacity for the data will overfit, memorizing the noise; the small MAF datasets support only modest capacity. In practice, a single hidden layer or two, of modest width, suffices for the low-dimensional MAF response and is far safer than the deep, wide architectures appropriate to large-data domains, whose many parameters the scarce MAF data cannot constrain. The universal approximation property (Sections 9, 18) assures that even a single hidden layer can represent the response given enough width, and the data, not the theory, limit the width that can be justified. The architecture should be selected by validation—trying a few modest architectures and choosing by held-out performance—rather than by reaching for depth and width that the data cannot support, and the disposition throughout should be toward the smallest network that performs, per the capacity-restraint principle of Sections 9 and 10.</w:t>
      </w:r>
    </w:p>
    <w:p>
      <w:pPr>
        <w:pStyle w:val="Heading2"/>
      </w:pPr>
      <w:r>
        <w:t xml:space="preserve">37.3 Initialization and Its Consequences</w:t>
      </w:r>
    </w:p>
    <w:p>
      <w:pPr>
        <w:pStyle w:val="Normal"/>
      </w:pPr>
      <w:r>
        <w:t xml:space="preserve">The initial values of the weights, from which training begins, influence whether training converges to a good solution, because the non-convex loss surface (Section 18) has many minima and the initialization determines which is approached. Poor initialization—weights too large or too small, or symmetric—can cause the training to stall, to converge slowly, or to reach a poor minimum, through the vanishing or exploding of the gradients that backpropagation computes. Principled initialization schemes, which scale the initial weights according to the layer sizes to keep the signals and gradients well conditioned as they propagate, largely resolve these pathologies and are standard practice. For the modest networks of MAF the initialization is less critical than for deep networks, but sound initialization remains a prerequisite for reliable training, and its neglect is an avoidable cause of training failure that the practitioner should preclude by using the established schemes.</w:t>
      </w:r>
    </w:p>
    <w:p>
      <w:pPr>
        <w:pStyle w:val="Heading2"/>
      </w:pPr>
      <w:r>
        <w:t xml:space="preserve">37.4 Optimization and Learning-Rate Management</w:t>
      </w:r>
    </w:p>
    <w:p>
      <w:pPr>
        <w:pStyle w:val="Normal"/>
      </w:pPr>
      <w:r>
        <w:t xml:space="preserve">Training minimizes the loss by gradient descent (Sections 9, 18), and the management of the optimization—the choice of optimizer and the learning rate—governs whether it converges efficiently to a good solution. The learning rate, which sets the size of the gradient steps, is the most consequential setting: too large a rate causes the optimization to overshoot and oscillate or diverge; too small a rate causes it to crawl and to stall in poor minima. Adaptive optimizers, which adjust the effective step size per parameter from the gradient history, largely automate the learning-rate management and are the standard choice, converging reliably with less manual tuning than plain gradient descent. Learning-rate schedules, which reduce the rate over training, further refine the convergence, taking large steps early to explore and small steps late to settle. For the small MAF datasets, full-batch or large-batch gradient descent is feasible and stable, avoiding the noise of small-batch stochastic descent, though the practices transfer. Sound optimization—an adaptive optimizer, a reasonable initial learning rate, and a schedule—converges the modest MAF networks reliably, and its management is a matter of following the established defaults rather than of extensive manual tuning.</w:t>
      </w:r>
    </w:p>
    <w:p>
      <w:pPr>
        <w:pStyle w:val="Heading2"/>
      </w:pPr>
      <w:r>
        <w:t xml:space="preserve">37.5 Regularization Techniques in Practice</w:t>
      </w:r>
    </w:p>
    <w:p>
      <w:pPr>
        <w:pStyle w:val="Normal"/>
      </w:pPr>
      <w:r>
        <w:t xml:space="preserve">The regularization that controls overfitting (Sections 9, 10) is, for neural networks on small data, not optional but essential, and several techniques are applied in combination. Weight-penalty regularization augments the loss with a penalty on the weight magnitudes, shrinking the weights and smoothing the fitted function, and its strength is a key hyperparameter tuned by validation. Dropout randomly disables a fraction of the neurons during each training step, preventing the co-adaptation of neurons and acting as an implicit ensemble that reduces variance, its fraction another tuned hyperparameter. Early stopping halts training when the validation error ceases to improve, capturing the network at its point of best generalization before it overfits, and it is among the simplest and most effective regularizers, requiring only the monitoring of validation error during training. These techniques, applied together and tuned by validation, allow the flexible neural network to be fitted safely to the small MAF datasets, and their combined and diligent application is the price of using neural networks responsibly where their overfitting hazard is greatest, per the insistence of Section 10.</w:t>
      </w:r>
    </w:p>
    <w:p>
      <w:pPr>
        <w:pStyle w:val="Heading2"/>
      </w:pPr>
      <w:r>
        <w:t xml:space="preserve">37.6 Diagnosing Training Pathologies</w:t>
      </w:r>
    </w:p>
    <w:p>
      <w:pPr>
        <w:pStyle w:val="Normal"/>
      </w:pPr>
      <w:r>
        <w:t xml:space="preserve">Neural network training can fail in characteristic ways that the practitioner must recognize and remedy, diagnosed through the training and validation loss curves. If both losses remain high and fail to fall, the network is underfitting—too little capacity, too much regularization, or a training failure—and the remedy is more capacity, less regularization, or corrected training. If the training loss falls to near zero while the validation loss rises, the network is overfitting—too much capacity for the data—and the remedy is more regularization, less capacity, early stopping, or more data. If the losses oscillate or diverge, the learning rate is too large or the initialization poor, and the remedy is a smaller rate or sound initialization. If the losses fall slowly and stall, the rate is too small or the optimization poorly configured. The diagnosis of these pathologies from the loss curves, and their remedy through the corresponding adjustments, is a core skill of neural network training, and it converts the opaque failure of a poorly trained network into a diagnosed and remediable condition, per the diagnostic discipline of Sections 10 and 27.</w:t>
      </w:r>
    </w:p>
    <w:p>
      <w:pPr>
        <w:pStyle w:val="Heading2"/>
      </w:pPr>
      <w:r>
        <w:t xml:space="preserve">37.7 The Verdict on Neural Networks for MAF</w:t>
      </w:r>
    </w:p>
    <w:p>
      <w:pPr>
        <w:pStyle w:val="Normal"/>
      </w:pPr>
      <w:r>
        <w:t xml:space="preserve">The verdict on neural networks for MAF, consolidating the treatment, is nuanced. Neural networks are supremely flexible universal approximators, unmatched in their capacity to represent the nonlinear, interaction-laden MAF response, and where data are relatively plentiful they are strong performers. But they are the most demanding of the algorithms to train well, the most prone to overfitting on scarce data, the most sensitive to their many settings, and the least interpretable, and on the small datasets that characterize much of MAF they are frequently outperformed by the more data-efficient, better-regularized support vector regression, tree ensembles, and Gaussian processes, per the comparative synthesis of Section 9. The sound practice is therefore to include neural networks in the comparison, to train them with the diligent architecture restraint, sound initialization and optimization, and combined regularization developed here, and to select them when they win the honest held-out comparison—which they do more often as data grow—while recognizing that on the smallest datasets the alternatives often prevail. Neural networks are a powerful tool in the toolkit, to be used skilfully where they excel and not reached for reflexively where simpler, more data-efficient methods serve better, per the comparative, evidence-based philosophy that governs the whole framework.</w:t>
      </w:r>
    </w:p>
    <w:p>
      <w:pPr>
        <w:pStyle w:val="Heading1"/>
      </w:pPr>
      <w:r>
        <w:t xml:space="preserve">38. Extended Treatment: Ensemble Learning Theory and Practice</w:t>
      </w:r>
    </w:p>
    <w:p>
      <w:pPr>
        <w:pStyle w:val="Heading2"/>
      </w:pPr>
      <w:r>
        <w:t xml:space="preserve">38.1 Why Ensembles Work</w:t>
      </w:r>
    </w:p>
    <w:p>
      <w:pPr>
        <w:pStyle w:val="Normal"/>
      </w:pPr>
      <w:r>
        <w:t xml:space="preserve">The tree ensembles of Section 9—random forests and gradient boosting—and the stacking of diverse models exemplify ensemble learning, the combination of multiple models into a predictor more accurate and robust than its constituents, and this section develops the theory and practice of ensembles because their effectiveness is one of the most robust findings in machine learning and their application is central to the MAF framework. The fundamental reason ensembles work is the reduction of error through combination: if the constituent models make errors that are not perfectly correlated, then combining them—by averaging or by weighted combination—causes the uncorrelated components of their errors to partially cancel, reducing the error of the combination below that of the constituents. This error reduction through the cancellation of uncorrelated errors is the theoretical heart of ensemble learning, and it explains both why ensembles work and the conditions—accurate and diverse constituents—under which they work best.</w:t>
      </w:r>
    </w:p>
    <w:p>
      <w:pPr>
        <w:pStyle w:val="Heading2"/>
      </w:pPr>
      <w:r>
        <w:t xml:space="preserve">38.2 Bagging and Variance Reduction</w:t>
      </w:r>
    </w:p>
    <w:p>
      <w:pPr>
        <w:pStyle w:val="Normal"/>
      </w:pPr>
      <w:r>
        <w:t xml:space="preserve">Bagging—bootstrap aggregating, the principle of the random forest (Section 9)—reduces error specifically by reducing variance. It trains each constituent on a bootstrap resample of the data, so that the constituents differ and their errors are partially uncorrelated, and it averages them, causing the uncorrelated variance components to cancel while the common bias remains. Bagging thus reduces the variance of a high-variance, low-bias base model—the deep decision tree—without increasing its bias, yielding an ensemble far more accurate than the individual trees, per the variance-reduction argument of Section 18. The random forest augments bagging with random feature selection at each split, which further decorrelates the trees—preventing a few dominant features from making all the trees alike—and thereby further reduces the variance, at a slight cost in the accuracy of the individual trees that the variance reduction more than repays. The random forest's effectiveness, its robustness, and its low tuning burden all flow from this variance-reduction-through-decorrelation mechanism, and understanding it clarifies why the random forest is such a dependable default for MAF: it takes a flexible but unstable base learner and stabilizes it through decorrelated averaging, yielding accuracy and robustness with little tuning.</w:t>
      </w:r>
    </w:p>
    <w:p>
      <w:pPr>
        <w:pStyle w:val="Heading2"/>
      </w:pPr>
      <w:r>
        <w:t xml:space="preserve">38.3 Boosting and Bias Reduction</w:t>
      </w:r>
    </w:p>
    <w:p>
      <w:pPr>
        <w:pStyle w:val="Normal"/>
      </w:pPr>
      <w:r>
        <w:t xml:space="preserve">Boosting—the principle of gradient boosting and XGBoost (Section 9)—reduces error by a different mechanism, principally reducing bias. It builds the constituents sequentially, each fitting the residual errors of the current ensemble, so that each constituent corrects the systematic errors—the bias—of its predecessors, progressively reducing the bias of the ensemble, per Section 18. Because boosting reduces bias by fitting the data ever more closely, it risks increasing variance and overfitting if carried too far, which the shrinkage of the learning rate and the regularization of XGBoost control, trading more constituents for lower variance. Boosting's bias-reduction mechanism makes it capable of very high accuracy—often the highest of the tree methods on tabular data—because it can fit subtle structure that the variance-reducing bagging may miss, but it demands more careful tuning than bagging to manage the variance it risks, per Section 9. The contrast between bagging's variance reduction and boosting's bias reduction clarifies their complementary characteristics—the random forest robust and low-tuning, the boosting more accurate but more demanding—and guides their selection: the random forest for a dependable, low-effort model, the boosting for peak accuracy when the tuning effort is warranted.</w:t>
      </w:r>
    </w:p>
    <w:p>
      <w:pPr>
        <w:pStyle w:val="Heading2"/>
      </w:pPr>
      <w:r>
        <w:t xml:space="preserve">38.4 Stacking and Model Combination</w:t>
      </w:r>
    </w:p>
    <w:p>
      <w:pPr>
        <w:pStyle w:val="Normal"/>
      </w:pPr>
      <w:r>
        <w:t xml:space="preserve">Stacking (Section 9) combines diverse models—not many versions of one base learner as in bagging and boosting, but genuinely different learners such as a neural network, a support vector regression, and a gradient-boosting model—by training a meta-model to combine their predictions, learning how to weight them according to their respective strengths. Stacking works because diverse learners make diverse, partially uncorrelated errors—the neural network erring where the tree ensemble does not and vice versa—so that their combination cancels more error than combining similar models, per the diversity principle of Section 38.1. The meta-model learns to trust each constituent where it is strong, extracting the best of each across the input space. Stacking is the most powerful ensemble strategy when diverse strong models are available, frequently outperforming any single model, and it is the natural way to combine the several algorithms that the framework advocates comparing (Sections 9, 10), converting the comparison from a selection of the single best into a combination of all their strengths. Its cost is the complexity of training and maintaining several models and the meta-model, and its benefit is the accuracy and robustness of the combination, a trade-off that favours stacking when the accuracy is valuable and the complexity manageable.</w:t>
      </w:r>
    </w:p>
    <w:p>
      <w:pPr>
        <w:pStyle w:val="Heading2"/>
      </w:pPr>
      <w:r>
        <w:t xml:space="preserve">38.5 Diversity as the Key to Ensemble Success</w:t>
      </w:r>
    </w:p>
    <w:p>
      <w:pPr>
        <w:pStyle w:val="Normal"/>
      </w:pPr>
      <w:r>
        <w:t xml:space="preserve">The recurring theme across the ensemble methods is that diversity among the constituents is the key to the ensemble's success, because it is the uncorrelatedness of the constituents' errors that allows their combination to cancel error, per Section 38.1. Bagging creates diversity through bootstrap resampling and random feature selection; boosting through the sequential fitting of different residuals; stacking through the use of genuinely different learners. The more diverse the constituents—provided each remains reasonably accurate—the more their errors cancel and the more the ensemble improves on them. This principle guides ensemble construction: seek constituents that are both accurate and diverse, and combine them in a way that exploits their diversity. It also bounds the benefit: an ensemble of identical or highly correlated models offers little improvement, because there is little uncorrelated error to cancel, so the mindless combination of similar models is unproductive. For MAF, the principle recommends the random forest and boosting, which build in diversity automatically, and stacking of the diverse algorithms that the framework compares, and it warns against the pointless combination of near-identical models. Diversity, in short, is the currency of ensemble success, and its deliberate cultivation is the art of ensemble construction.</w:t>
      </w:r>
    </w:p>
    <w:p>
      <w:pPr>
        <w:pStyle w:val="Heading2"/>
      </w:pPr>
      <w:r>
        <w:t xml:space="preserve">38.6 Ensembles, Uncertainty, and Robustness</w:t>
      </w:r>
    </w:p>
    <w:p>
      <w:pPr>
        <w:pStyle w:val="Normal"/>
      </w:pPr>
      <w:r>
        <w:t xml:space="preserve">Beyond accuracy, ensembles offer two further benefits central to the MAF framework: uncertainty and robustness. The disagreement among an ensemble's constituents estimates the predictive uncertainty (Section 11)—large where the constituents disagree, in sparse or difficult regions, and small where they concur—providing an uncertainty estimate to methods, such as the tree ensembles, that lack a native one, and complementing the calibrated uncertainty of the Gaussian process. The robustness of an ensemble—its insensitivity to the peculiarities of the training data and to outliers and noise—flows from the same averaging that reduces variance, so that an ensemble is less easily misled by a spurious pattern or a noisy point than a single model. These benefits—uncertainty from constituent disagreement, robustness from averaging—make ensembles doubly valuable in the noisy, small-data MAF setting, where both the uncertainty for guiding experimentation and the robustness against noise and outliers are prized. Ensembles thus deliver not only the accuracy that is their headline benefit but the uncertainty and robustness that the framework requires, and their central place in the MAF toolkit—the random forest and boosting as strong, robust, uncertainty-capable defaults, and stacking as the combination of the compared algorithms' strengths—reflects this multiplicity of virtues, making ensemble learning one of the most valuable and dependable elements of the whole data-driven framework for magnetic abrasive finishing.</w:t>
      </w:r>
    </w:p>
    <w:p>
      <w:pPr>
        <w:pStyle w:val="Heading1"/>
      </w:pPr>
      <w:r>
        <w:t xml:space="preserve">39. Extended Treatment: Bayesian Methods and Probabilistic Modelling in Depth</w:t>
      </w:r>
    </w:p>
    <w:p>
      <w:pPr>
        <w:pStyle w:val="Heading2"/>
      </w:pPr>
      <w:r>
        <w:t xml:space="preserve">39.1 The Bayesian Perspective</w:t>
      </w:r>
    </w:p>
    <w:p>
      <w:pPr>
        <w:pStyle w:val="Normal"/>
      </w:pPr>
      <w:r>
        <w:t xml:space="preserve">The Gaussian process of Section 9, the Bayesian optimization of Section 12, and the uncertainty quantification of Section 11 all rest on the Bayesian perspective on modelling, which this section develops in depth because it is the natural framework for the small-data, uncertainty-critical MAF setting and because its principles unify several of the framework's most valuable capabilities. The Bayesian perspective treats the unknown—the model, its parameters, its predictions—as uncertain and represents that uncertainty with probability distributions, updating them as data arrive by the rules of probability. It begins with a prior distribution expressing what is known before the data, combines it with the likelihood of the data under each hypothesis, and yields a posterior distribution expressing what is known after the data, which quantifies not only the best estimate but its uncertainty. This principled treatment of uncertainty—its representation, its update, and its propagation to predictions—is the Bayesian perspective's distinctive contribution, and it is precisely what the data-scarce, uncertainty-critical MAF setting most needs.</w:t>
      </w:r>
    </w:p>
    <w:p>
      <w:pPr>
        <w:pStyle w:val="Heading2"/>
      </w:pPr>
      <w:r>
        <w:t xml:space="preserve">39.2 Priors, Likelihoods, and Posteriors in Modelling</w:t>
      </w:r>
    </w:p>
    <w:p>
      <w:pPr>
        <w:pStyle w:val="Normal"/>
      </w:pPr>
      <w:r>
        <w:t xml:space="preserve">Applied to modelling, the Bayesian perspective places a prior distribution over the possible models—in the Gaussian process, a prior over functions expressing assumptions about their smoothness and scale (Section 18)—combines it with the likelihood of the observed data under each model, and yields a posterior distribution over models that concentrates on those consistent with the data while retaining the uncertainty that the finite, noisy data leave. Predictions are made not from a single model but by averaging over the posterior, weighting each model by its posterior probability, which propagates the model uncertainty into the predictions and yields the predictive distribution—a best estimate with a calibrated uncertainty. This Bayesian model averaging is more robust than committing to a single best model, because it acknowledges and incorporates the uncertainty in which model is correct, and it is especially valuable in the small-data regime where that uncertainty is large. The prior, expressing knowledge before the data, is where physical understanding can enter—a prior favouring smooth, physically plausible functions—connecting the Bayesian perspective to the physics-informed learning of Section 28, and its principled combination with the data to yield the posterior is the Bayesian perspective's coherent recipe for learning from limited, uncertain data.</w:t>
      </w:r>
    </w:p>
    <w:p>
      <w:pPr>
        <w:pStyle w:val="Heading2"/>
      </w:pPr>
      <w:r>
        <w:t xml:space="preserve">39.3 The Gaussian Process as the Exemplary Bayesian Model</w:t>
      </w:r>
    </w:p>
    <w:p>
      <w:pPr>
        <w:pStyle w:val="Normal"/>
      </w:pPr>
      <w:r>
        <w:t xml:space="preserve">The Gaussian process, developed in Sections 9 and 18, is the exemplary Bayesian model for MAF, and the Bayesian perspective illuminates its virtues. Its prior over functions, specified by the kernel, expresses the smoothness assumption appropriate to the smooth MAF response and can encode physical scale knowledge through the length scales. Its posterior, obtained by conditioning on the data, yields the predictive distribution whose mean predicts and whose variance quantifies the calibrated uncertainty—large away from data, small near it—that is the Gaussian process's distinctive and valuable feature. Its kernel hyperparameters are estimated by maximizing the marginal likelihood, an internally consistent Bayesian procedure that automatically balances fit against complexity, protecting against overfitting without a separate regularization. And its full probabilistic treatment supports the active learning and Bayesian optimization that exploit the uncertainty to guide experimentation (Sections 11, 12). The Gaussian process thus embodies the Bayesian perspective's virtues—principled uncertainty, robust model averaging, automatic complexity control, and the incorporation of prior knowledge—in a form ideally suited to the small, smooth, uncertainty-critical MAF problem, which is why it recurs throughout the framework as the method of choice where uncertainty and data efficiency are paramount.</w:t>
      </w:r>
    </w:p>
    <w:p>
      <w:pPr>
        <w:pStyle w:val="Heading2"/>
      </w:pPr>
      <w:r>
        <w:t xml:space="preserve">39.4 Bayesian Optimization as Sequential Bayesian Decision-Making</w:t>
      </w:r>
    </w:p>
    <w:p>
      <w:pPr>
        <w:pStyle w:val="Normal"/>
      </w:pPr>
      <w:r>
        <w:t xml:space="preserve">Bayesian optimization, developed in Sections 12 and 35, is the application of the Bayesian perspective to the sequential design of experiments, and it exemplifies Bayesian decision-making under uncertainty. It maintains a Bayesian model—the Gaussian process—of the objective, with its calibrated uncertainty, and it uses that uncertainty to decide, through the acquisition function, which experiment will most advance the goal, balancing the exploitation of the model's best estimate against the exploration of its uncertainty. Each experiment updates the Bayesian model, refining both the estimate and the uncertainty, and the next decision is made in light of the update, so that the whole process is a sequence of Bayesian updates and uncertainty-guided decisions converging efficiently to the optimum. This sequential Bayesian decision-making is the principled way to optimize under uncertainty with costly experiments, and it directly attacks the experimental-cost and data-scarcity problems of MAF by extracting maximal value from each experiment, per Sections 12 and 35. Its foundation in the Bayesian perspective—the calibrated uncertainty of the Gaussian process, propagated through the acquisition function into the experimental decision—is what makes it principled and efficient, and it exemplifies how the Bayesian treatment of uncertainty translates directly into the efficient, intelligent experimentation that the framework prizes.</w:t>
      </w:r>
    </w:p>
    <w:p>
      <w:pPr>
        <w:pStyle w:val="Heading2"/>
      </w:pPr>
      <w:r>
        <w:t xml:space="preserve">39.5 Approximate Bayesian Methods for Other Models</w:t>
      </w:r>
    </w:p>
    <w:p>
      <w:pPr>
        <w:pStyle w:val="Normal"/>
      </w:pPr>
      <w:r>
        <w:t xml:space="preserve">The full Bayesian treatment is exact and tractable for the Gaussian process but not for the neural networks and tree ensembles, whose complexity precludes the exact computation of the posterior, and for these approximate Bayesian methods are used to obtain uncertainty (Section 11). Bayesian neural networks place distributions over the network weights and approximate the intractable posterior by variational methods or by sampling, propagating the weight uncertainty into prediction uncertainty; Monte Carlo dropout approximates this cheaply by interpreting prediction-time dropout as posterior sampling. Ensemble methods approximate the Bayesian predictive distribution by the spread of independently trained models, a simple and effective approximation. Bootstrap methods approximate it by the spread of models trained on resampled data. These approximate methods extend the Bayesian benefit of calibrated uncertainty to the non-Gaussian-process models, at the cost of the exactness that the Gaussian process enjoys, and their calibration should be checked (Section 11) because the approximations can miscalibrate. They allow the whole toolkit—not only the Gaussian process—to provide the uncertainty that the framework requires, so that the choice of a non-Gaussian-process model for its accuracy need not forgo the uncertainty for guiding experimentation and control, and they thereby extend the Bayesian perspective's central benefit across the full range of the framework's methods.</w:t>
      </w:r>
    </w:p>
    <w:p>
      <w:pPr>
        <w:pStyle w:val="Heading2"/>
      </w:pPr>
      <w:r>
        <w:t xml:space="preserve">39.6 The Value of the Bayesian Perspective for MAF</w:t>
      </w:r>
    </w:p>
    <w:p>
      <w:pPr>
        <w:pStyle w:val="Normal"/>
      </w:pPr>
      <w:r>
        <w:t xml:space="preserve">The value of the Bayesian perspective for MAF, consolidating the treatment, is that it provides the principled treatment of uncertainty that the small-data, uncertainty-critical setting demands. It yields the calibrated uncertainty that distinguishes confident interpolation from uncertain extrapolation, guiding experimentation and control and flagging when a model is beyond its validity (Section 11). It provides the robust model averaging that acknowledges the model uncertainty large in scarce data. It incorporates prior physical knowledge coherently, connecting to physics-informed learning (Section 28). It supports the efficient sequential experimentation of Bayesian optimization and active learning that attacks the field's data-scarcity problem (Sections 12, 35). And through the Gaussian process it delivers all of this in a form ideally suited to the smooth, low-dimensional, small-data MAF response. The Bayesian perspective is thus not one option among many but the natural conceptual framework for the uncertainty-critical, data-scarce MAF problem, and its principles—the representation, update, and propagation of uncertainty—underlie several of the framework's most valuable capabilities. Its adoption, through the Gaussian process where exact and the approximate methods where not, is among the surest routes to the uncertainty-aware, data-efficient, physically informed modelling that this chapter has advocated as the mature practice for intelligent magnetic abrasive finishing.</w:t>
      </w:r>
    </w:p>
    <w:p>
      <w:pPr>
        <w:pStyle w:val="Heading1"/>
      </w:pPr>
      <w:r>
        <w:t xml:space="preserve">40. Extended Treatment: Data Augmentation and Synthetic Data Generation</w:t>
      </w:r>
    </w:p>
    <w:p>
      <w:pPr>
        <w:pStyle w:val="Heading2"/>
      </w:pPr>
      <w:r>
        <w:t xml:space="preserve">40.1 Augmenting Scarce Data</w:t>
      </w:r>
    </w:p>
    <w:p>
      <w:pPr>
        <w:pStyle w:val="Normal"/>
      </w:pPr>
      <w:r>
        <w:t xml:space="preserve">The data scarcity that constrains MAF modelling (Section 14) motivates not only the data-efficient methods and the transfer learning developed earlier but the direct augmentation of the scarce experimental data with additional, synthetically generated data, and this section develops the augmentation strategies because they offer a further lever against the field's defining limitation. Data augmentation expands the effective dataset by generating additional data that, though not from new physical experiments, carry information that improves the model, and it comes in several forms of increasing sophistication and increasing reliance on external knowledge. The forms range from simple perturbations of the existing data through physics-based simulation to generative modelling, and each trades the cost and difficulty of generation against the quality and quantity of the data it provides. The overarching principle is that augmented data are only as good as the knowledge that generates them, so that augmentation supplements but never replaces genuine experimental data, and its benefit depends on the fidelity of the generating knowledge.</w:t>
      </w:r>
    </w:p>
    <w:p>
      <w:pPr>
        <w:pStyle w:val="Heading2"/>
      </w:pPr>
      <w:r>
        <w:t xml:space="preserve">40.2 Simple Augmentation Through Perturbation and Noise</w:t>
      </w:r>
    </w:p>
    <w:p>
      <w:pPr>
        <w:pStyle w:val="Normal"/>
      </w:pPr>
      <w:r>
        <w:t xml:space="preserve">The simplest augmentation perturbs the existing data—adding small amounts of noise to the inputs or outputs of the measured runs to generate additional nearby points—which can regularize a model by teaching it that small perturbations of the inputs produce small changes in the output, smoothing the fitted function and reducing overfitting. This simple augmentation requires no external knowledge beyond the assumption of smoothness, and it can modestly improve the robustness of a model on small data, but it adds no genuinely new information—the perturbed points are near the originals and carry only the smoothness assumption—so its benefit is limited to regularization rather than the extension of the data to new regions. It is a cheap, easily applied technique whose modest regularizing benefit is worth having but whose limitation—the absence of genuinely new information—must be recognized, so that it is not mistaken for a substitute for the more informative augmentation or for genuine experimentation.</w:t>
      </w:r>
    </w:p>
    <w:p>
      <w:pPr>
        <w:pStyle w:val="Heading2"/>
      </w:pPr>
      <w:r>
        <w:t xml:space="preserve">40.3 Physics-Based Synthetic Data</w:t>
      </w:r>
    </w:p>
    <w:p>
      <w:pPr>
        <w:pStyle w:val="Normal"/>
      </w:pPr>
      <w:r>
        <w:t xml:space="preserve">The most valuable augmentation for MAF generates synthetic data from physics-based simulation, per the simulation-augmented learning of Section 28. A coupled magnetic-field and abrasive-mechanics simulation, run over a design of synthetic conditions, produces synthetic input-output pairs that carry the structure of the physics and extend the data to regions the experiments did not reach, and these synthetic data pre-train or augment a model that is then corrected by the scarce experimental data. Unlike simple perturbation, physics-based synthetic data carry genuinely new, physically grounded information—the structure of the response across the synthetic conditions—and can vastly expand the effective data, allowing a flexible model to learn the response's shape from the abundant synthetic data and its quantitative details from the scarce real data. The benefit depends on the fidelity of the simulation: a high-fidelity simulation provides valuable, trustworthy synthetic data, while a poor simulation provides misleading data that can degrade the model through the negative transfer of Section 29. For MAF, where simulation is developing but not uniformly high-fidelity, physics-based synthetic data are a promising but fidelity-dependent augmentation whose value tracks the maturation of MAF simulation, and their use requires the same judgment of the generating knowledge's quality that governs transfer learning.</w:t>
      </w:r>
    </w:p>
    <w:p>
      <w:pPr>
        <w:pStyle w:val="Heading2"/>
      </w:pPr>
      <w:r>
        <w:t xml:space="preserve">40.4 Generative Models for Synthetic Data</w:t>
      </w:r>
    </w:p>
    <w:p>
      <w:pPr>
        <w:pStyle w:val="Normal"/>
      </w:pPr>
      <w:r>
        <w:t xml:space="preserve">A more advanced augmentation uses generative machine-learning models—trained on the existing data to learn its distribution and then sampled to generate new synthetic data resembling the real data—to expand the dataset. Generative models can capture the structure of the real data and generate plausible new points, and they have been applied for augmentation in various domains. For MAF, however, their value is constrained by the same scarcity they seek to remedy: a generative model trained on scarce data learns the distribution only imperfectly and may generate data that reflect the scarce data's peculiarities rather than the true distribution, so that the generated data add little genuine information and may propagate the training data's biases. Generative augmentation is thus more promising where the data, though limited for the primary modelling, suffice to train a reasonable generative model, and it is less promising in the extreme-scarcity regime where it is most needed—a limitation that recommends caution and that favours the physics-based augmentation, whose generating knowledge comes from the physics rather than from the scarce data, in the scarcest settings.</w:t>
      </w:r>
    </w:p>
    <w:p>
      <w:pPr>
        <w:pStyle w:val="Heading2"/>
      </w:pPr>
      <w:r>
        <w:t xml:space="preserve">40.5 The Discipline of Augmentation</w:t>
      </w:r>
    </w:p>
    <w:p>
      <w:pPr>
        <w:pStyle w:val="Normal"/>
      </w:pPr>
      <w:r>
        <w:t xml:space="preserve">Data augmentation, like every element of the framework, must be disciplined to avoid the self-deception that undermines rigour. Augmented data must be clearly distinguished from genuine experimental data, and the model's performance must be validated on genuine held-out experimental data, never on synthetic data, because a model validated on synthetic data merely confirms that it has learned the generating knowledge, not that it predicts reality. The generating knowledge—the smoothness assumption, the simulation, the generative model—must be of sufficient quality that the augmented data help rather than mislead, and its quality must be judged, per the negative-transfer caution of Section 29. And the augmentation must be integrated into the leakage-free pipeline (Section 21), the generating models fitted on training data only. Practised with this discipline—distinguishing augmented from real data, validating on real held-out data, judging the generating knowledge's quality, and preventing leakage—augmentation is a valuable lever against data scarcity that supplements the experimental data with physically or statistically grounded synthetic data; practised without it, augmentation is a route to models validated on their own assumptions and failing on reality. The discipline is the difference, and its observance is, as throughout the framework, the mark of rigorous, trustworthy practice.</w:t>
      </w:r>
    </w:p>
    <w:p>
      <w:pPr>
        <w:pStyle w:val="Heading2"/>
      </w:pPr>
      <w:r>
        <w:t xml:space="preserve">40.6 Augmentation Within the Anti-Scarcity Arsenal</w:t>
      </w:r>
    </w:p>
    <w:p>
      <w:pPr>
        <w:pStyle w:val="Normal"/>
      </w:pPr>
      <w:r>
        <w:t xml:space="preserve">Data augmentation takes its place alongside the data-efficient methods, the transfer learning, the active learning, and the physics-informed modelling in the arsenal against the data scarcity that is the field's defining limitation, and its relationship to the others clarifies its role. The data-efficient methods (Sections 9, 39) extract the most from the data that exist; active learning (Sections 11, 12) chooses the most informative new experiments; transfer learning (Section 29) reuses knowledge from related problems; physics-informed modelling (Section 28) augments the data with physical constraints; and data augmentation (this section) supplements the data with synthetic points. These levers are complementary and combinable: a model might be built with a data-efficient Gaussian process, augmented with physics-based synthetic data, transferred from a related material, refined by active learning, and constrained by physics—each lever attacking the scarcity from a different angle. Together they constitute a comprehensive response to the field's central constraint, and their combined application, disciplined by the rigour that governs the framework, offers a realistic path to reliable modelling despite the irreducible costliness of MAF experimentation. Data augmentation, one lever among these, contributes the direct expansion of the data with synthetic points, and its judicious, disciplined use—especially through the physics-based simulation whose generating knowledge is the process physics itself—is a worthwhile element of the integrated anti-scarcity strategy that the framework brings to bear on the problem that most constrains the intelligent modelling of magnetic abrasive finishing.</w:t>
      </w:r>
    </w:p>
    <w:p>
      <w:pPr>
        <w:pStyle w:val="Heading1"/>
      </w:pPr>
      <w:r>
        <w:t xml:space="preserve">41. Extended Treatment: MAF Among Advanced Finishing Processes and the Transferability of the Framework</w:t>
      </w:r>
    </w:p>
    <w:p>
      <w:pPr>
        <w:pStyle w:val="Heading2"/>
      </w:pPr>
      <w:r>
        <w:t xml:space="preserve">41.1 MAF in the Family of Advanced Finishing Processes</w:t>
      </w:r>
    </w:p>
    <w:p>
      <w:pPr>
        <w:pStyle w:val="Normal"/>
      </w:pPr>
      <w:r>
        <w:t xml:space="preserve">Magnetic abrasive finishing belongs to a family of advanced, non-conventional finishing processes developed to meet the finishing challenges that conventional methods cannot, and situating MAF among them clarifies both its distinctive character and the transferability of the modelling framework to its relatives. The family includes abrasive flow machining, in which a viscoelastic abrasive medium is extruded through or across the workpiece; magnetorheological finishing, in which a magnetically stiffened abrasive fluid finishes optical and precision surfaces; elastic emission machining and float polishing for the ultimate finishes; and the several magnetic-field-assisted variants—magnetic float polishing, magnetorheological abrasive flow finishing—that combine magnetic control with fluid or flow media. These processes share with MAF the use of a flexible or fluid abrasive medium that conforms to the workpiece and transmits controlled finishing forces, and they share the finishing objective of improving surface integrity on challenging geometries and materials, but they differ in the medium, the force-transmission mechanism, and the achievable finish and geometry. MAF's distinctive character within this family is its use of a magnetically bound particulate brush, offering a combination of conformability, controllable force, and applicability to both external and internal surfaces that suits it to a broad range of geometries and materials.</w:t>
      </w:r>
    </w:p>
    <w:p>
      <w:pPr>
        <w:pStyle w:val="Heading2"/>
      </w:pPr>
      <w:r>
        <w:t xml:space="preserve">41.2 The Common Modelling Challenge</w:t>
      </w:r>
    </w:p>
    <w:p>
      <w:pPr>
        <w:pStyle w:val="Normal"/>
      </w:pPr>
      <w:r>
        <w:t xml:space="preserve">The advanced finishing processes share with MAF the modelling challenge that motivates this chapter: their finishing outcome is a nonlinear, interaction-laden function of numerous process parameters, difficult to model analytically because of the complex, coupled physics of the flexible or fluid medium and its interaction with the surface. Abrasive flow machining depends on the medium rheology, the pressure, the flow, and the geometry in coupled, nonlinear ways; magnetorheological finishing depends on the field, the fluid composition, the flow, and the kinematics; and each, like MAF, presents a response that defeats low-order analytical modelling and invites the data-driven approach. This common modelling challenge means that the framework developed for MAF—the physical grounding, the experimental design, the preprocessing, the flexible modelling, the validation, the uncertainty quantification, the explainability, and the optimization—transfers, in its structure and its principles, to the other advanced finishing processes, requiring only the instantiation of the process-specific parameters, physics, and responses. The framework is thus not narrowly specific to MAF but broadly applicable across the family of advanced finishing processes that share its modelling challenge, a transferability that multiplies its value and situates the MAF-specific development of this chapter within a wider applicability.</w:t>
      </w:r>
    </w:p>
    <w:p>
      <w:pPr>
        <w:pStyle w:val="Heading2"/>
      </w:pPr>
      <w:r>
        <w:t xml:space="preserve">41.3 Process-Specific Instantiation</w:t>
      </w:r>
    </w:p>
    <w:p>
      <w:pPr>
        <w:pStyle w:val="Normal"/>
      </w:pPr>
      <w:r>
        <w:t xml:space="preserve">The transfer of the framework to a related process requires its instantiation with the process-specific parameters, physics, and responses, and the pattern of instantiation clarifies both the transferability and its limits. For abrasive flow machining, the parameters become the medium rheology, the pressure, the number of cycles, and the geometry; the physics becomes the rheology and flow of the viscoelastic medium and its abrasion of the surface; and the responses remain roughness and integrity. For magnetorheological finishing, the parameters become the field, the fluid composition, the flow, and the kinematics; the physics becomes the field-induced stiffening of the fluid and its finishing action; and the responses extend to the nanometric finishes and figure accuracy of optics. In each, the framework's structure—design experiments, preprocess, model flexibly, validate honestly, quantify uncertainty, explain, and optimize—is retained, while its content—the specific parameters, the specific physics informing the features and constraints, the specific responses—is instantiated to the process. This pattern of retained structure and instantiated content is the general form of the framework's transferability, and it means that a practitioner who has mastered the framework for MAF can apply it to a related process by re-instantiating its content, a substantial leverage that the common structure provides across the family of advanced finishing processes.</w:t>
      </w:r>
    </w:p>
    <w:p>
      <w:pPr>
        <w:pStyle w:val="Heading2"/>
      </w:pPr>
      <w:r>
        <w:t xml:space="preserve">41.4 Cross-Process Knowledge Transfer</w:t>
      </w:r>
    </w:p>
    <w:p>
      <w:pPr>
        <w:pStyle w:val="Normal"/>
      </w:pPr>
      <w:r>
        <w:t xml:space="preserve">Beyond the transfer of the framework's structure, there is the prospect of transferring knowledge—data and models—across the related processes, an extension of the transfer learning of Section 29 to the cross-process axis. The advanced finishing processes share underlying mechanics—the abrasion of a surface by grains under controlled force—so that knowledge of the abrasion mechanics, of the material's finishing response, and of the roughness evolution may transfer across processes that share these mechanics despite their different media and force mechanisms. A model of a material's abrasive-finishing response, encoded through material properties and abrasion mechanics, might inform models of that material's finishing by several processes, and the accumulation of data and models across processes might build a cross-process understanding of abrasive finishing that benefits all. This cross-process transfer is looser and more challenging than the within-process transfer of Section 29, because the processes differ more than the materials or configurations within one process, and the risk of negative transfer is correspondingly greater, requiring careful judgment of the relatedness and empirical verification of the benefit. But its prospect—a cumulative, cross-process understanding of abrasive finishing, transferable across the family—is an appealing extension of the cumulative-knowledge vision of Section 29 to the wider family of processes, and it is a direction that the shared framework and the shared mechanics make conceivable.</w:t>
      </w:r>
    </w:p>
    <w:p>
      <w:pPr>
        <w:pStyle w:val="Heading2"/>
      </w:pPr>
      <w:r>
        <w:t xml:space="preserve">41.5 The Framework as a General Methodology for Data-Driven Manufacturing</w:t>
      </w:r>
    </w:p>
    <w:p>
      <w:pPr>
        <w:pStyle w:val="Normal"/>
      </w:pPr>
      <w:r>
        <w:t xml:space="preserve">Stepping back, the framework developed in this chapter for MAF, transferable across the family of advanced finishing processes, is an instance of a still more general methodology for the data-driven modelling and optimization of manufacturing processes, and recognizing this general character both clarifies the framework's foundations and points to its widest applicability. Every manufacturing process whose outcome is a nonlinear, interaction-laden function of numerous parameters, difficult to model analytically and costly to experiment upon, presents the same challenge and admits the same framework: ground the modelling in the process physics, design experiments to fill the space efficiently, preprocess with care and physical feature engineering, model with flexible data-efficient learners, validate honestly with uncertainty and explanation, and optimize over the validated surrogate, all disciplined by the prevention of leakage and the confirmation of results. This general methodology—the structure retained, the content instantiated to the process—is the framework's deepest form, and MAF is one exemplary instance of its application, chosen for its importance and its representative challenges. The chapter's development of the framework for MAF is thus, at its most general, a development of the methodology of data-driven manufacturing, instantiated for a process that exemplifies the challenges the methodology addresses, and its principles and practices—the physical grounding, the experimental and statistical rigour, the flexible modelling, the uncertainty and explainability, the surrogate-based optimization, and the integration into intelligent, connected manufacturing—apply, with process-specific instantiation, across the manufacturing landscape, making the chapter's contribution both specific to MAF and, in its general methodology, far wider.</w:t>
      </w:r>
    </w:p>
    <w:p>
      <w:pPr>
        <w:pStyle w:val="Heading1"/>
      </w:pPr>
      <w:r>
        <w:t xml:space="preserve">42. Extended Treatment: Sustainability, Efficiency, and Green Manufacturing</w:t>
      </w:r>
    </w:p>
    <w:p>
      <w:pPr>
        <w:pStyle w:val="Heading2"/>
      </w:pPr>
      <w:r>
        <w:t xml:space="preserve">42.1 The Sustainability Dimension</w:t>
      </w:r>
    </w:p>
    <w:p>
      <w:pPr>
        <w:pStyle w:val="Normal"/>
      </w:pPr>
      <w:r>
        <w:t xml:space="preserve">The optimization of manufacturing processes is increasingly judged not only by cost, quality, and productivity but by sustainability—the efficient use of energy and materials and the minimization of waste and environmental impact—and machine-learning-based MAF optimization contributes to sustainability in ways that this section develops, adding an environmental dimension to the economic case of Section 33. The sustainability contribution of intelligent MAF arises from the same optimization that delivers its economic benefits: by finishing to target efficiently rather than conservatively, the optimized and controlled process consumes less energy, less abrasive medium, and less material, and generates less waste, than an unoptimized or over-conservative process, so that the pursuit of efficiency serves sustainability and economics together. This alignment of sustainability and economics—the efficient process being both cheaper and greener—is a fortunate feature of MAF optimization, and it strengthens the case for intelligent MAF by adding environmental to economic value.</w:t>
      </w:r>
    </w:p>
    <w:p>
      <w:pPr>
        <w:pStyle w:val="Heading2"/>
      </w:pPr>
      <w:r>
        <w:t xml:space="preserve">42.2 Energy Efficiency</w:t>
      </w:r>
    </w:p>
    <w:p>
      <w:pPr>
        <w:pStyle w:val="Normal"/>
      </w:pPr>
      <w:r>
        <w:t xml:space="preserve">The energy consumed by MAF—principally by the electromagnet, the drive, and the auxiliary systems—is reduced by the optimization in several ways. The optimized recipe finishes to target in less time, reducing the energy consumed per part in proportion to the time saved. The closed-loop termination of Sections 31 and 35 eliminates the energy wasted in overprocessing beyond the target. And the optimization can incorporate energy consumption as an objective or constraint, per the multi-objective framework of Section 12, explicitly minimizing energy subject to the finishing target, so that among the recipes achieving the target the least energy-intensive is chosen. The energy efficiency of intelligent MAF thus flows from the time efficiency and the automatic termination that the optimization and control deliver, and it can be pursued explicitly through the inclusion of energy in the optimization objective, adding energy to the roughness-time-cost-integrity objectives that the multi-objective framework balances and delivering the Pareto trade-offs that expose the cost of energy in terms of the other objectives.</w:t>
      </w:r>
    </w:p>
    <w:p>
      <w:pPr>
        <w:pStyle w:val="Heading2"/>
      </w:pPr>
      <w:r>
        <w:t xml:space="preserve">42.3 Material and Medium Efficiency</w:t>
      </w:r>
    </w:p>
    <w:p>
      <w:pPr>
        <w:pStyle w:val="Normal"/>
      </w:pPr>
      <w:r>
        <w:t xml:space="preserve">The abrasive medium and the workpiece material are consumed by MAF—the medium wearing and requiring replenishment, the workpiece material removed as the finish is achieved—and their consumption is reduced by the optimization. The optimized recipe achieves the target with less finishing and hence less medium wear and less material removal than an over-conservative recipe, and the closed-loop termination avoids the medium wear and material removal of overprocessing. The reduced scrap and rework that the improved quality and consistency deliver (Section 33) further reduce material waste, since a part finished correctly the first time consumes only its own material, while a scrapped part wastes all the material and processing invested in it. The material and medium efficiency of intelligent MAF thus flows from the same optimization, control, and quality improvement that deliver its economic benefits, and it contributes to the conservation of the abrasive medium—whose production and disposal carry their own environmental costs—and of the workpiece material, adding material sustainability to the energy sustainability of the intelligent process.</w:t>
      </w:r>
    </w:p>
    <w:p>
      <w:pPr>
        <w:pStyle w:val="Heading2"/>
      </w:pPr>
      <w:r>
        <w:t xml:space="preserve">42.4 Waste Reduction and the Circular Economy</w:t>
      </w:r>
    </w:p>
    <w:p>
      <w:pPr>
        <w:pStyle w:val="Normal"/>
      </w:pPr>
      <w:r>
        <w:t xml:space="preserve">The waste generated by MAF—the worn medium, the removed material as debris, the spent finishing fluid, and the scrapped parts—is reduced by the optimization and control, and its management connects intelligent MAF to the principles of the circular economy. The reduced medium wear, material removal, and scrap reduce the waste generated per part, and the improved consistency reduces the scrap that is the most wasteful output. Beyond reduction, intelligent monitoring can optimize the reconditioning and reuse of the abrasive medium, extending its life and reducing its disposal, and the data-driven understanding of the medium's condition (Sections 6, 22) supports its management as a reusable rather than a disposable resource. The waste reduction and medium reuse that intelligent MAF enables align it with the circular-economy principles of reducing, reusing, and reconditioning that increasingly govern sustainable manufacturing, and they add waste sustainability to the energy and material sustainability of the intelligent process, completing an environmental case that parallels and reinforces the economic case of Section 33.</w:t>
      </w:r>
    </w:p>
    <w:p>
      <w:pPr>
        <w:pStyle w:val="Heading2"/>
      </w:pPr>
      <w:r>
        <w:t xml:space="preserve">42.5 Sustainability Within the Optimization Framework</w:t>
      </w:r>
    </w:p>
    <w:p>
      <w:pPr>
        <w:pStyle w:val="Normal"/>
      </w:pPr>
      <w:r>
        <w:t xml:space="preserve">The several sustainability contributions—energy, material, medium, and waste efficiency—are incorporated into the optimization framework as objectives and constraints, per the multi-objective framework of Section 12, so that sustainability is pursued explicitly and traded against the other objectives transparently. The optimization can minimize energy, material, and medium consumption, and waste generation, subject to the finishing target, or trade them against time and cost, and the resulting Pareto fronts expose the trade-offs among sustainability, productivity, quality, and cost, empowering an informed choice that balances the environmental against the economic and technical objectives. This explicit incorporation of sustainability into the optimization—as objectives to be minimized and constraints to be respected alongside the traditional objectives—converts sustainability from an afterthought into an integral consideration of the intelligent process design, and it exemplifies how the multi-objective optimization framework of the chapter accommodates the expanding set of objectives that modern manufacturing must balance. The sustainability of intelligent MAF is thus not a separate concern bolted onto the framework but an integral part of it, pursued through the same multi-objective optimization that pursues the economic and technical objectives, and delivering, alongside the economic value of Section 33, the environmental value that sustainable manufacturing increasingly demands.</w:t>
      </w:r>
    </w:p>
    <w:p>
      <w:pPr>
        <w:pStyle w:val="Heading2"/>
      </w:pPr>
      <w:r>
        <w:t xml:space="preserve">42.6 The Aligned Case for Intelligent MAF</w:t>
      </w:r>
    </w:p>
    <w:p>
      <w:pPr>
        <w:pStyle w:val="Normal"/>
      </w:pPr>
      <w:r>
        <w:t xml:space="preserve">The sustainability dimension, added to the economic dimension of Section 33, completes an aligned case for intelligent MAF in which the environmental and economic values reinforce rather than oppose one another. The efficiency that the optimization and control deliver—the reduced time, the automatic termination, the improved consistency, the reduced scrap—simultaneously reduces cost and environmental impact, so that the pursuit of one serves the other, and the multi-objective framework balances them transparently with the technical objectives. This alignment is a fortunate and consequential feature: it means that the adoption of intelligent MAF, justified economically per Section 33, delivers environmental benefits as a concomitant rather than a trade-off, and that the environmental imperative of sustainable manufacturing reinforces rather than complicates the economic case. Intelligent MAF, optimized and controlled by the framework of this chapter, is thus both a more economical and a more sustainable finishing process than its unoptimized predecessor, and the aligned economic and environmental case—the efficient process being cheaper, greener, and better—is among the strongest arguments for the adoption of the intelligent, data-driven approach that the chapter has developed, situating its technical excellence within the economic and environmental values that ultimately justify manufacturing technology in a world that demands both prosperity and sustainability.</w:t>
      </w:r>
    </w:p>
    <w:p>
      <w:pPr>
        <w:pStyle w:val="Heading1"/>
      </w:pPr>
      <w:r>
        <w:t xml:space="preserve">43. Synthesis and Discussion</w:t>
      </w:r>
    </w:p>
    <w:p>
      <w:pPr>
        <w:pStyle w:val="Heading2"/>
      </w:pPr>
      <w:r>
        <w:t xml:space="preserve">43.1 The Integrative Argument Reviewed</w:t>
      </w:r>
    </w:p>
    <w:p>
      <w:pPr>
        <w:pStyle w:val="Normal"/>
      </w:pPr>
      <w:r>
        <w:t xml:space="preserve">Having developed the framework in its many facets—the physics, the metrology, the parameters, the data, the algorithms, the validation, the uncertainty, the optimization, the control, the applications, the economics, and the sustainability—it is worth drawing the threads together into a synthetic discussion that reviews the integrative argument the chapter has advanced. That argument is that the reliable and useful data-driven modelling of magnetic abrasive finishing arises at the intersection of three domains—the manufacturing physics of the process, the statistics of experimentation and metrology, and the computational methods of machine learning—and that the neglect of any one impoverishes the result. A model built without physical grounding may fit the data yet violate the physics and fail under extrapolation; a model built without statistical rigour may flatter in the laboratory yet fail in the plant; a model built without computational sophistication may be too crude to capture the process's complexity. The framework's insistence on all three—physically grounded features and constraints, statistically rigorous design and validation, and computationally sophisticated flexible learning—is the integrative argument's practical expression, and the many facets of the framework are the elaboration of this argument across the stages of the modelling pipeline.</w:t>
      </w:r>
    </w:p>
    <w:p>
      <w:pPr>
        <w:pStyle w:val="Heading2"/>
      </w:pPr>
      <w:r>
        <w:t xml:space="preserve">43.2 Why the Framework Coheres</w:t>
      </w:r>
    </w:p>
    <w:p>
      <w:pPr>
        <w:pStyle w:val="Normal"/>
      </w:pPr>
      <w:r>
        <w:t xml:space="preserve">The framework's many elements are not a loose collection of techniques but a coherent whole, and their coherence merits articulation. The physics grounds the features, constraints, and responses (Sections 16, 17, 25, 28), informing what the model learns from. The experimental design and metrology supply the data and establish its quality and noise floor (Sections 6, 7, 26), determining what the model can learn. The preprocessing renders the data model-ready without leakage (Sections 8, 21), enabling honest learning. The flexible algorithms capture the nonlinear, interaction-laden response (Sections 9, 18, 37, 38, 39), performing the learning. The validation, uncertainty, and explainability establish the model's trustworthiness and limits (Sections 10, 11, 21, 27), qualifying the learning. And the optimization and control convert the model into intelligent action (Sections 12, 30, 31, 32), exploiting the learning. Each element depends on and enables the others: the optimization is only as good as the model, the model only as good as the data, the data only as good as the design and metrology, and the whole only as trustworthy as the validation and only as useful as the physics that grounds it and the optimization that exploits it. This mutual dependence and enablement is the framework's coherence, and it is why the chapter has developed the elements together as a whole rather than in isolation—because their value is realized only in their integration, and the neglect of any weakens all.</w:t>
      </w:r>
    </w:p>
    <w:p>
      <w:pPr>
        <w:pStyle w:val="Heading2"/>
      </w:pPr>
      <w:r>
        <w:t xml:space="preserve">43.3 The Central Tensions and Their Resolution</w:t>
      </w:r>
    </w:p>
    <w:p>
      <w:pPr>
        <w:pStyle w:val="Normal"/>
      </w:pPr>
      <w:r>
        <w:t xml:space="preserve">The framework navigates several central tensions, and reviewing their resolution consolidates the discussion. The tension between flexibility and overfitting—flexible models capturing the complex response but risking the memorization of noise on scarce data—is resolved by regularization, validation, and capacity restraint, matching the model's capacity to the data (Sections 10, 37). The tension between accuracy and interpretability—the most accurate models often the least interpretable—is resolved by explainability techniques that render even complex models interpretable and by the inclusion of interpretable models in the comparison (Sections 11, 24). The tension between the empirical and the physical—data-driven flexibility versus physical fidelity and extrapolation—is resolved by physics-informed and hybrid modelling that combines both (Section 28). The tension between the cost of experimentation and the need for data—scarce data limiting the model, more data costing more—is resolved by the data-efficient methods, active learning, transfer learning, and augmentation that extract or supplement information (Sections 29, 39, 40). And the tension between sophistication and value—elaborate methods costing more—is resolved by matching the approach to the application's value (Section 33). These resolutions—matching capacity to data, explaining complex models, combining physics and data, extracting and supplementing information, and matching sophistication to value—are the framework's answers to its central tensions, and they collectively enable the flexible, physically grounded, data-efficient, trustworthy, and value-matched modelling that the framework achieves.</w:t>
      </w:r>
    </w:p>
    <w:p>
      <w:pPr>
        <w:pStyle w:val="Heading2"/>
      </w:pPr>
      <w:r>
        <w:t xml:space="preserve">43.4 What Distinguishes Reliable from Naive Practice</w:t>
      </w:r>
    </w:p>
    <w:p>
      <w:pPr>
        <w:pStyle w:val="Normal"/>
      </w:pPr>
      <w:r>
        <w:t xml:space="preserve">The chapter has repeatedly distinguished reliable from naive practice, and synthesizing the distinction clarifies what the framework demands. Naive practice applies an algorithm to data and reports its apparent accuracy; reliable practice grounds the modelling in physics, designs the experiments, controls the confounders, prevents the leakage, validates honestly with uncertainty and explanation, confirms the results, and sustains the model against drift. Naive practice champions a favoured algorithm; reliable practice compares several and selects on honest held-out performance. Naive practice reports a single accuracy figure; reliable practice reports multiple metrics with their variability, referred to the noise floor, with uncertainty and explanation. Naive practice trusts the model everywhere; reliable practice restricts it to its validated domain and flags its extrapolation. Naive practice treats the model as a finished artefact; reliable practice treats it as a maintained asset subjected to continuous criticism. The distinction, drawn throughout the chapter and synthesized here, is between the careless application of algorithms that produces plausible but unreliable results and the disciplined practice that produces trustworthy ones, and the framework is, in large part, the specification of the disciplined practice—the design, the rigour, the uncertainty, the explanation, the confirmation, and the sustenance—that distinguishes reliable from naive data-driven modelling and that is the difference between a model that delivers value and one that delivers disappointment.</w:t>
      </w:r>
    </w:p>
    <w:p>
      <w:pPr>
        <w:pStyle w:val="Heading2"/>
      </w:pPr>
      <w:r>
        <w:t xml:space="preserve">43.5 The State and the Trajectory of the Field</w:t>
      </w:r>
    </w:p>
    <w:p>
      <w:pPr>
        <w:pStyle w:val="Normal"/>
      </w:pPr>
      <w:r>
        <w:t xml:space="preserve">The chapter's synthesis of the literature (Section 13) and its examination of the challenges and directions (Section 14) together characterize the state and the trajectory of the field, which this discussion draws together. The state is one of demonstrated promise tempered by uneven methodological maturity: machine learning has been shown, across many studies, to model MAF roughness more accurately than classical regression, but much of the literature falls short of the rigorous practice the framework specifies—the honest validation, the uncertainty, the explanation, the leakage prevention, the noise floor—so that its reported successes are of uncertain reliability. The trajectory is toward maturation: the alleviation of data scarcity through physics-informed, transfer, active, and augmented learning; the extension to richer responses and modalities; the maturation of sensing and closed-loop control; the integration into digital twins and Industry 4.0; and, underlying all, the community adoption of the standardization, reproducibility, and rigorous practice that would convert the field from a collection of promising demonstrations into a cumulative, reliable discipline. The chapter's contribution to this trajectory is the specification of the rigorous, integrative framework whose wider adoption would accelerate the maturation, and its argument is that the field's advance depends less on new algorithms—the algorithms are largely adequate—than on the more consistent application of the rigorous, physically grounded, statistically honest practice that the framework specifies, so that the promise so widely demonstrated becomes the reliability that industrial trust requires.</w:t>
      </w:r>
    </w:p>
    <w:p>
      <w:pPr>
        <w:pStyle w:val="Heading2"/>
      </w:pPr>
      <w:r>
        <w:t xml:space="preserve">43.6 The Broader Significance</w:t>
      </w:r>
    </w:p>
    <w:p>
      <w:pPr>
        <w:pStyle w:val="Normal"/>
      </w:pPr>
      <w:r>
        <w:t xml:space="preserve">The broader significance of the framework, beyond MAF and even beyond the family of advanced finishing processes to which it transfers (Section 41), is as an exemplar of the integrative, rigorous, physically grounded practice that the data-driven transformation of manufacturing requires. Manufacturing is being transformed by data and machine learning, and the transformation's success depends on whether the data-driven methods are applied with the physical grounding, statistical rigour, and computational sophistication that reliability requires, or naively in a way that produces plausible but unreliable results. The framework, developed for MAF but general in its methodology (Section 41), is an argument and a specification for the reliable practice—an argument that the physics, the statistics, and the computation must be integrated, and a specification of how. Its significance is thus not merely the modelling of one finishing process but the demonstration, on that process, of the integrative, rigorous methodology that the reliable data-driven transformation of manufacturing demands, and its wider adoption—across finishing processes, across manufacturing processes, and as a model of rigorous data-driven practice—would contribute to a manufacturing transformation that realizes the promise of data and machine learning reliably rather than naively. The chapter, in developing the framework for MAF, offers it also as an instance and an argument for this broader reliable practice, and therein lies its significance beyond the specific and valuable contribution of modelling magnetic abrasive finishing.</w:t>
      </w:r>
    </w:p>
    <w:p>
      <w:pPr>
        <w:pStyle w:val="Heading1"/>
      </w:pPr>
      <w:r>
        <w:t xml:space="preserve">44. Nomenclature, Symbols, and Glossary</w:t>
      </w:r>
    </w:p>
    <w:p>
      <w:pPr>
        <w:pStyle w:val="Heading2"/>
      </w:pPr>
      <w:r>
        <w:t xml:space="preserve">44.1 Principal Symbols</w:t>
      </w:r>
    </w:p>
    <w:p>
      <w:pPr>
        <w:pStyle w:val="Normal"/>
      </w:pPr>
      <w:r>
        <w:t xml:space="preserve">The following symbols recur throughout the chapter. Where a symbol has a specific meaning in a particular section, that meaning is defined locally; the list here collects the principal, chapter-wide symbols for reference.</w:t>
      </w:r>
    </w:p>
    <w:p>
      <w:pPr>
        <w:pStyle w:val="Normal"/>
      </w:pPr>
      <w:r>
        <w:t xml:space="preserve">- B — magnetic flux density (tesla), the principal magnetic process parameter.</w:t>
      </w:r>
    </w:p>
    <w:p>
      <w:pPr>
        <w:pStyle w:val="Normal"/>
      </w:pPr>
      <w:r>
        <w:t xml:space="preserve">- N — rotational (spindle) speed (revolutions per minute), the principal kinematic parameter.</w:t>
      </w:r>
    </w:p>
    <w:p>
      <w:pPr>
        <w:pStyle w:val="Normal"/>
      </w:pPr>
      <w:r>
        <w:t xml:space="preserve">- G — working gap (millimetre), the distance between pole and workpiece within which the brush forms.</w:t>
      </w:r>
    </w:p>
    <w:p>
      <w:pPr>
        <w:pStyle w:val="Normal"/>
      </w:pPr>
      <w:r>
        <w:t xml:space="preserve">- Ca or C — abrasive concentration (weight per cent), the proportion of abrasive in the medium.</w:t>
      </w:r>
    </w:p>
    <w:p>
      <w:pPr>
        <w:pStyle w:val="Normal"/>
      </w:pPr>
      <w:r>
        <w:t xml:space="preserve">- Da or D — abrasive particle (grain) size (micrometre), the characteristic size of the abrasive grains.</w:t>
      </w:r>
    </w:p>
    <w:p>
      <w:pPr>
        <w:pStyle w:val="Normal"/>
      </w:pPr>
      <w:r>
        <w:t xml:space="preserve">- T — finishing time (minute), the duration of the finishing operation.</w:t>
      </w:r>
    </w:p>
    <w:p>
      <w:pPr>
        <w:pStyle w:val="Normal"/>
      </w:pPr>
      <w:r>
        <w:t xml:space="preserve">- F — feed rate (millimetre per minute), where a feed is imposed.</w:t>
      </w:r>
    </w:p>
    <w:p>
      <w:pPr>
        <w:pStyle w:val="Normal"/>
      </w:pPr>
      <w:r>
        <w:t xml:space="preserve">- M — workpiece material, treated categorically or, preferably, by its physical properties.</w:t>
      </w:r>
    </w:p>
    <w:p>
      <w:pPr>
        <w:pStyle w:val="Normal"/>
      </w:pPr>
      <w:r>
        <w:t xml:space="preserve">- Ra — arithmetic average roughness (micrometre), the principal response variable.</w:t>
      </w:r>
    </w:p>
    <w:p>
      <w:pPr>
        <w:pStyle w:val="Normal"/>
      </w:pPr>
      <w:r>
        <w:t xml:space="preserve">- Rq — root mean square roughness (micrometre).</w:t>
      </w:r>
    </w:p>
    <w:p>
      <w:pPr>
        <w:pStyle w:val="Normal"/>
      </w:pPr>
      <w:r>
        <w:t xml:space="preserve">- Rz — average maximum height of the profile (micrometre).</w:t>
      </w:r>
    </w:p>
    <w:p>
      <w:pPr>
        <w:pStyle w:val="Normal"/>
      </w:pPr>
      <w:r>
        <w:t xml:space="preserve">- Rt — total profile height (micrometre).</w:t>
      </w:r>
    </w:p>
    <w:p>
      <w:pPr>
        <w:pStyle w:val="Normal"/>
      </w:pPr>
      <w:r>
        <w:t xml:space="preserve">- Rsk — skewness of the roughness height distribution (dimensionless).</w:t>
      </w:r>
    </w:p>
    <w:p>
      <w:pPr>
        <w:pStyle w:val="Normal"/>
      </w:pPr>
      <w:r>
        <w:t xml:space="preserve">- Rku — kurtosis of the roughness height distribution (dimensionless).</w:t>
      </w:r>
    </w:p>
    <w:p>
      <w:pPr>
        <w:pStyle w:val="Normal"/>
      </w:pPr>
      <w:r>
        <w:t xml:space="preserve">- X — the input feature matrix, whose rows are runs and columns are parameters.</w:t>
      </w:r>
    </w:p>
    <w:p>
      <w:pPr>
        <w:pStyle w:val="Normal"/>
      </w:pPr>
      <w:r>
        <w:t xml:space="preserve">- Y — the response vector (or matrix), the measured roughness (or roughnesses).</w:t>
      </w:r>
    </w:p>
    <w:p>
      <w:pPr>
        <w:pStyle w:val="Normal"/>
      </w:pPr>
      <w:r>
        <w:t xml:space="preserve">- x' — a scaled or normalized feature value.</w:t>
      </w:r>
    </w:p>
    <w:p>
      <w:pPr>
        <w:pStyle w:val="Normal"/>
      </w:pPr>
      <w:r>
        <w:t xml:space="preserve">- w, b — the weights and bias of a neural network neuron or a linear model.</w:t>
      </w:r>
    </w:p>
    <w:p>
      <w:pPr>
        <w:pStyle w:val="Normal"/>
      </w:pPr>
      <w:r>
        <w:t xml:space="preserve">- f — a function; the process transfer function Ra = f(...) or an activation function.</w:t>
      </w:r>
    </w:p>
    <w:p>
      <w:pPr>
        <w:pStyle w:val="Heading2"/>
      </w:pPr>
      <w:r>
        <w:t xml:space="preserve">44.2 Glossary of Machine-Learning Terms</w:t>
      </w:r>
    </w:p>
    <w:p>
      <w:pPr>
        <w:pStyle w:val="Normal"/>
      </w:pPr>
      <w:r>
        <w:t xml:space="preserve">The following terms, used throughout the chapter, are defined here for the manufacturing reader who may be less familiar with the machine-learning vocabulary.</w:t>
      </w:r>
    </w:p>
    <w:p>
      <w:pPr>
        <w:pStyle w:val="Normal"/>
      </w:pPr>
      <w:r>
        <w:t xml:space="preserve">- </w:t>
      </w:r>
      <w:r>
        <w:rPr>
          <w:b/>
        </w:rPr>
        <w:t xml:space="preserve">Supervised learning</w:t>
      </w:r>
      <w:r>
        <w:t xml:space="preserve"> — learning a mapping from inputs to outputs from labelled input-output examples; the setting of roughness prediction.</w:t>
      </w:r>
    </w:p>
    <w:p>
      <w:pPr>
        <w:pStyle w:val="Normal"/>
      </w:pPr>
      <w:r>
        <w:t xml:space="preserve">- </w:t>
      </w:r>
      <w:r>
        <w:rPr>
          <w:b/>
        </w:rPr>
        <w:t xml:space="preserve">Regression</w:t>
      </w:r>
      <w:r>
        <w:t xml:space="preserve"> — supervised learning of a continuous output; the prediction of roughness.</w:t>
      </w:r>
    </w:p>
    <w:p>
      <w:pPr>
        <w:pStyle w:val="Normal"/>
      </w:pPr>
      <w:r>
        <w:t xml:space="preserve">- </w:t>
      </w:r>
      <w:r>
        <w:rPr>
          <w:b/>
        </w:rPr>
        <w:t xml:space="preserve">Feature</w:t>
      </w:r>
      <w:r>
        <w:t xml:space="preserve"> — an input variable presented to the model; a process parameter or a derived quantity.</w:t>
      </w:r>
    </w:p>
    <w:p>
      <w:pPr>
        <w:pStyle w:val="Normal"/>
      </w:pPr>
      <w:r>
        <w:t xml:space="preserve">- </w:t>
      </w:r>
      <w:r>
        <w:rPr>
          <w:b/>
        </w:rPr>
        <w:t xml:space="preserve">Training</w:t>
      </w:r>
      <w:r>
        <w:t xml:space="preserve"> — the fitting of a model's parameters to data.</w:t>
      </w:r>
    </w:p>
    <w:p>
      <w:pPr>
        <w:pStyle w:val="Normal"/>
      </w:pPr>
      <w:r>
        <w:t xml:space="preserve">- </w:t>
      </w:r>
      <w:r>
        <w:rPr>
          <w:b/>
        </w:rPr>
        <w:t xml:space="preserve">Validation</w:t>
      </w:r>
      <w:r>
        <w:t xml:space="preserve"> — the assessment of a model on held-out data to guide modelling decisions.</w:t>
      </w:r>
    </w:p>
    <w:p>
      <w:pPr>
        <w:pStyle w:val="Normal"/>
      </w:pPr>
      <w:r>
        <w:t xml:space="preserve">- </w:t>
      </w:r>
      <w:r>
        <w:rPr>
          <w:b/>
        </w:rPr>
        <w:t xml:space="preserve">Test set</w:t>
      </w:r>
      <w:r>
        <w:t xml:space="preserve"> — data reserved for a single final unbiased assessment, never used in modelling decisions.</w:t>
      </w:r>
    </w:p>
    <w:p>
      <w:pPr>
        <w:pStyle w:val="Normal"/>
      </w:pPr>
      <w:r>
        <w:t xml:space="preserve">- </w:t>
      </w:r>
      <w:r>
        <w:rPr>
          <w:b/>
        </w:rPr>
        <w:t xml:space="preserve">Cross-validation</w:t>
      </w:r>
      <w:r>
        <w:t xml:space="preserve"> — a resampling procedure that uses data efficiently for validation by rotating the held-out fold.</w:t>
      </w:r>
    </w:p>
    <w:p>
      <w:pPr>
        <w:pStyle w:val="Normal"/>
      </w:pPr>
      <w:r>
        <w:t xml:space="preserve">- </w:t>
      </w:r>
      <w:r>
        <w:rPr>
          <w:b/>
        </w:rPr>
        <w:t xml:space="preserve">Hyperparameter</w:t>
      </w:r>
      <w:r>
        <w:t xml:space="preserve"> — a model setting not learned during training but chosen by the analyst, such as a regularization strength.</w:t>
      </w:r>
    </w:p>
    <w:p>
      <w:pPr>
        <w:pStyle w:val="Normal"/>
      </w:pPr>
      <w:r>
        <w:t xml:space="preserve">- </w:t>
      </w:r>
      <w:r>
        <w:rPr>
          <w:b/>
        </w:rPr>
        <w:t xml:space="preserve">Bias–variance trade-off</w:t>
      </w:r>
      <w:r>
        <w:t xml:space="preserve"> — the tension between a model's inability to fit (bias) and its sensitivity to the training sample (variance).</w:t>
      </w:r>
    </w:p>
    <w:p>
      <w:pPr>
        <w:pStyle w:val="Normal"/>
      </w:pPr>
      <w:r>
        <w:t xml:space="preserve">- </w:t>
      </w:r>
      <w:r>
        <w:rPr>
          <w:b/>
        </w:rPr>
        <w:t xml:space="preserve">Overfitting</w:t>
      </w:r>
      <w:r>
        <w:t xml:space="preserve"> — fitting the training data's noise, yielding good training but poor test performance.</w:t>
      </w:r>
    </w:p>
    <w:p>
      <w:pPr>
        <w:pStyle w:val="Normal"/>
      </w:pPr>
      <w:r>
        <w:t xml:space="preserve">- </w:t>
      </w:r>
      <w:r>
        <w:rPr>
          <w:b/>
        </w:rPr>
        <w:t xml:space="preserve">Underfitting</w:t>
      </w:r>
      <w:r>
        <w:t xml:space="preserve"> — failing to fit the systematic structure, yielding poor training and test performance.</w:t>
      </w:r>
    </w:p>
    <w:p>
      <w:pPr>
        <w:pStyle w:val="Normal"/>
      </w:pPr>
      <w:r>
        <w:t xml:space="preserve">- </w:t>
      </w:r>
      <w:r>
        <w:rPr>
          <w:b/>
        </w:rPr>
        <w:t xml:space="preserve">Regularization</w:t>
      </w:r>
      <w:r>
        <w:t xml:space="preserve"> — the penalization of complexity to reduce overfitting.</w:t>
      </w:r>
    </w:p>
    <w:p>
      <w:pPr>
        <w:pStyle w:val="Normal"/>
      </w:pPr>
      <w:r>
        <w:t xml:space="preserve">- </w:t>
      </w:r>
      <w:r>
        <w:rPr>
          <w:b/>
        </w:rPr>
        <w:t xml:space="preserve">Generalization</w:t>
      </w:r>
      <w:r>
        <w:t xml:space="preserve"> — a model's performance on unseen data.</w:t>
      </w:r>
    </w:p>
    <w:p>
      <w:pPr>
        <w:pStyle w:val="Normal"/>
      </w:pPr>
      <w:r>
        <w:t xml:space="preserve">- </w:t>
      </w:r>
      <w:r>
        <w:rPr>
          <w:b/>
        </w:rPr>
        <w:t xml:space="preserve">Data leakage</w:t>
      </w:r>
      <w:r>
        <w:t xml:space="preserve"> — the contamination of a performance estimate by information from held-out data.</w:t>
      </w:r>
    </w:p>
    <w:p>
      <w:pPr>
        <w:pStyle w:val="Normal"/>
      </w:pPr>
      <w:r>
        <w:t xml:space="preserve">- </w:t>
      </w:r>
      <w:r>
        <w:rPr>
          <w:b/>
        </w:rPr>
        <w:t xml:space="preserve">Ensemble</w:t>
      </w:r>
      <w:r>
        <w:t xml:space="preserve"> — a combination of multiple models into a more accurate, robust predictor.</w:t>
      </w:r>
    </w:p>
    <w:p>
      <w:pPr>
        <w:pStyle w:val="Normal"/>
      </w:pPr>
      <w:r>
        <w:t xml:space="preserve">- </w:t>
      </w:r>
      <w:r>
        <w:rPr>
          <w:b/>
        </w:rPr>
        <w:t xml:space="preserve">Surrogate model</w:t>
      </w:r>
      <w:r>
        <w:t xml:space="preserve"> — a fast approximating model used in place of an expensive process for optimization.</w:t>
      </w:r>
    </w:p>
    <w:p>
      <w:pPr>
        <w:pStyle w:val="Normal"/>
      </w:pPr>
      <w:r>
        <w:t xml:space="preserve">- </w:t>
      </w:r>
      <w:r>
        <w:rPr>
          <w:b/>
        </w:rPr>
        <w:t xml:space="preserve">Aleatoric uncertainty</w:t>
      </w:r>
      <w:r>
        <w:t xml:space="preserve"> — irreducible uncertainty from process and measurement noise.</w:t>
      </w:r>
    </w:p>
    <w:p>
      <w:pPr>
        <w:pStyle w:val="Normal"/>
      </w:pPr>
      <w:r>
        <w:t xml:space="preserve">- </w:t>
      </w:r>
      <w:r>
        <w:rPr>
          <w:b/>
        </w:rPr>
        <w:t xml:space="preserve">Epistemic uncertainty</w:t>
      </w:r>
      <w:r>
        <w:t xml:space="preserve"> — reducible uncertainty from the model's limited data.</w:t>
      </w:r>
    </w:p>
    <w:p>
      <w:pPr>
        <w:pStyle w:val="Normal"/>
      </w:pPr>
      <w:r>
        <w:t xml:space="preserve">- </w:t>
      </w:r>
      <w:r>
        <w:rPr>
          <w:b/>
        </w:rPr>
        <w:t xml:space="preserve">Active learning</w:t>
      </w:r>
      <w:r>
        <w:t xml:space="preserve"> — the selection of the most informative next experiment to build a model efficiently.</w:t>
      </w:r>
    </w:p>
    <w:p>
      <w:pPr>
        <w:pStyle w:val="Normal"/>
      </w:pPr>
      <w:r>
        <w:t xml:space="preserve">- </w:t>
      </w:r>
      <w:r>
        <w:rPr>
          <w:b/>
        </w:rPr>
        <w:t xml:space="preserve">Bayesian optimization</w:t>
      </w:r>
      <w:r>
        <w:t xml:space="preserve"> — the uncertainty-guided sequential search for an optimum with minimal experiments.</w:t>
      </w:r>
    </w:p>
    <w:p>
      <w:pPr>
        <w:pStyle w:val="Normal"/>
      </w:pPr>
      <w:r>
        <w:t xml:space="preserve">- </w:t>
      </w:r>
      <w:r>
        <w:rPr>
          <w:b/>
        </w:rPr>
        <w:t xml:space="preserve">Transfer learning</w:t>
      </w:r>
      <w:r>
        <w:t xml:space="preserve"> — the reuse of knowledge from one problem to accelerate learning on a related one.</w:t>
      </w:r>
    </w:p>
    <w:p>
      <w:pPr>
        <w:pStyle w:val="Normal"/>
      </w:pPr>
      <w:r>
        <w:t xml:space="preserve">- </w:t>
      </w:r>
      <w:r>
        <w:rPr>
          <w:b/>
        </w:rPr>
        <w:t xml:space="preserve">Explainability</w:t>
      </w:r>
      <w:r>
        <w:t xml:space="preserve"> — the characterization of how and why a model makes its predictions.</w:t>
      </w:r>
    </w:p>
    <w:p>
      <w:pPr>
        <w:pStyle w:val="Normal"/>
      </w:pPr>
      <w:r>
        <w:t xml:space="preserve">- </w:t>
      </w:r>
      <w:r>
        <w:rPr>
          <w:b/>
        </w:rPr>
        <w:t xml:space="preserve">Feature importance</w:t>
      </w:r>
      <w:r>
        <w:t xml:space="preserve"> — a ranking of the features by their contribution to prediction.</w:t>
      </w:r>
    </w:p>
    <w:p>
      <w:pPr>
        <w:pStyle w:val="Normal"/>
      </w:pPr>
      <w:r>
        <w:t xml:space="preserve">- </w:t>
      </w:r>
      <w:r>
        <w:rPr>
          <w:b/>
        </w:rPr>
        <w:t xml:space="preserve">Partial dependence</w:t>
      </w:r>
      <w:r>
        <w:t xml:space="preserve"> — the average marginal effect of a feature on the prediction.</w:t>
      </w:r>
    </w:p>
    <w:p>
      <w:pPr>
        <w:pStyle w:val="Heading2"/>
      </w:pPr>
      <w:r>
        <w:t xml:space="preserve">44.3 Glossary of MAF and Finishing Terms</w:t>
      </w:r>
    </w:p>
    <w:p>
      <w:pPr>
        <w:pStyle w:val="Normal"/>
      </w:pPr>
      <w:r>
        <w:t xml:space="preserve">The following process terms are defined for the machine-learning reader who may be less familiar with the finishing vocabulary.</w:t>
      </w:r>
    </w:p>
    <w:p>
      <w:pPr>
        <w:pStyle w:val="Normal"/>
      </w:pPr>
      <w:r>
        <w:t xml:space="preserve">- </w:t>
      </w:r>
      <w:r>
        <w:rPr>
          <w:b/>
        </w:rPr>
        <w:t xml:space="preserve">Magnetic abrasive finishing (MAF)</w:t>
      </w:r>
      <w:r>
        <w:t xml:space="preserve"> — a precision finishing process using a magnetically formed abrasive brush.</w:t>
      </w:r>
    </w:p>
    <w:p>
      <w:pPr>
        <w:pStyle w:val="Normal"/>
      </w:pPr>
      <w:r>
        <w:t xml:space="preserve">- </w:t>
      </w:r>
      <w:r>
        <w:rPr>
          <w:b/>
        </w:rPr>
        <w:t xml:space="preserve">Magnetic abrasive brush (MAB)</w:t>
      </w:r>
      <w:r>
        <w:t xml:space="preserve"> — the self-organized, flexible aggregate of magnetic abrasive particles that finishes the surface.</w:t>
      </w:r>
    </w:p>
    <w:p>
      <w:pPr>
        <w:pStyle w:val="Normal"/>
      </w:pPr>
      <w:r>
        <w:t xml:space="preserve">- </w:t>
      </w:r>
      <w:r>
        <w:rPr>
          <w:b/>
        </w:rPr>
        <w:t xml:space="preserve">Magnetic abrasive particles</w:t>
      </w:r>
      <w:r>
        <w:t xml:space="preserve"> — the ferromagnetic-and-abrasive medium, sintered or mechanically mixed.</w:t>
      </w:r>
    </w:p>
    <w:p>
      <w:pPr>
        <w:pStyle w:val="Normal"/>
      </w:pPr>
      <w:r>
        <w:t xml:space="preserve">- </w:t>
      </w:r>
      <w:r>
        <w:rPr>
          <w:b/>
        </w:rPr>
        <w:t xml:space="preserve">Working gap</w:t>
      </w:r>
      <w:r>
        <w:t xml:space="preserve"> — the space between pole and workpiece where the brush forms.</w:t>
      </w:r>
    </w:p>
    <w:p>
      <w:pPr>
        <w:pStyle w:val="Normal"/>
      </w:pPr>
      <w:r>
        <w:t xml:space="preserve">- </w:t>
      </w:r>
      <w:r>
        <w:rPr>
          <w:b/>
        </w:rPr>
        <w:t xml:space="preserve">Micro-cutting</w:t>
      </w:r>
      <w:r>
        <w:t xml:space="preserve"> — the shearing of a chip from an asperity by a sharp, deeply engaged grain.</w:t>
      </w:r>
    </w:p>
    <w:p>
      <w:pPr>
        <w:pStyle w:val="Normal"/>
      </w:pPr>
      <w:r>
        <w:t xml:space="preserve">- </w:t>
      </w:r>
      <w:r>
        <w:rPr>
          <w:b/>
        </w:rPr>
        <w:t xml:space="preserve">Ploughing</w:t>
      </w:r>
      <w:r>
        <w:t xml:space="preserve"> — the lateral displacement of material by a grain without full detachment.</w:t>
      </w:r>
    </w:p>
    <w:p>
      <w:pPr>
        <w:pStyle w:val="Normal"/>
      </w:pPr>
      <w:r>
        <w:t xml:space="preserve">- </w:t>
      </w:r>
      <w:r>
        <w:rPr>
          <w:b/>
        </w:rPr>
        <w:t xml:space="preserve">Sliding</w:t>
      </w:r>
      <w:r>
        <w:t xml:space="preserve"> — the rubbing of a grain across the surface without significant material removal.</w:t>
      </w:r>
    </w:p>
    <w:p>
      <w:pPr>
        <w:pStyle w:val="Normal"/>
      </w:pPr>
      <w:r>
        <w:t xml:space="preserve">- </w:t>
      </w:r>
      <w:r>
        <w:rPr>
          <w:b/>
        </w:rPr>
        <w:t xml:space="preserve">Saturation roughness</w:t>
      </w:r>
      <w:r>
        <w:t xml:space="preserve"> — the limiting finish beyond which further processing yields negligible improvement.</w:t>
      </w:r>
    </w:p>
    <w:p>
      <w:pPr>
        <w:pStyle w:val="Normal"/>
      </w:pPr>
      <w:r>
        <w:t xml:space="preserve">- </w:t>
      </w:r>
      <w:r>
        <w:rPr>
          <w:b/>
        </w:rPr>
        <w:t xml:space="preserve">Surface integrity</w:t>
      </w:r>
      <w:r>
        <w:t xml:space="preserve"> — the roughness together with the subsurface metallurgical and mechanical state.</w:t>
      </w:r>
    </w:p>
    <w:p>
      <w:pPr>
        <w:pStyle w:val="Normal"/>
      </w:pPr>
      <w:r>
        <w:t xml:space="preserve">- </w:t>
      </w:r>
      <w:r>
        <w:rPr>
          <w:b/>
        </w:rPr>
        <w:t xml:space="preserve">Asperity</w:t>
      </w:r>
      <w:r>
        <w:t xml:space="preserve"> — a peak in the surface roughness profile.</w:t>
      </w:r>
    </w:p>
    <w:p>
      <w:pPr>
        <w:pStyle w:val="Normal"/>
      </w:pPr>
      <w:r>
        <w:t xml:space="preserve">- </w:t>
      </w:r>
      <w:r>
        <w:rPr>
          <w:b/>
        </w:rPr>
        <w:t xml:space="preserve">Lay</w:t>
      </w:r>
      <w:r>
        <w:t xml:space="preserve"> — the directional character of a surface texture.</w:t>
      </w:r>
    </w:p>
    <w:p>
      <w:pPr>
        <w:pStyle w:val="Normal"/>
      </w:pPr>
      <w:r>
        <w:t xml:space="preserve">- </w:t>
      </w:r>
      <w:r>
        <w:rPr>
          <w:b/>
        </w:rPr>
        <w:t xml:space="preserve">Profilometer</w:t>
      </w:r>
      <w:r>
        <w:t xml:space="preserve"> — an instrument for measuring surface roughness.</w:t>
      </w:r>
    </w:p>
    <w:p>
      <w:pPr>
        <w:pStyle w:val="Normal"/>
      </w:pPr>
      <w:r>
        <w:t xml:space="preserve">- </w:t>
      </w:r>
      <w:r>
        <w:rPr>
          <w:b/>
        </w:rPr>
        <w:t xml:space="preserve">Design of experiments (DOE)</w:t>
      </w:r>
      <w:r>
        <w:t xml:space="preserve"> — the systematic planning of experiments to extract maximal information.</w:t>
      </w:r>
    </w:p>
    <w:p>
      <w:pPr>
        <w:pStyle w:val="Normal"/>
      </w:pPr>
      <w:r>
        <w:t xml:space="preserve">- </w:t>
      </w:r>
      <w:r>
        <w:rPr>
          <w:b/>
        </w:rPr>
        <w:t xml:space="preserve">Response surface methodology (RSM)</w:t>
      </w:r>
      <w:r>
        <w:t xml:space="preserve"> — the fitting of a low-order polynomial to designed-experiment data.</w:t>
      </w:r>
    </w:p>
    <w:p>
      <w:pPr>
        <w:pStyle w:val="Normal"/>
      </w:pPr>
      <w:r>
        <w:t xml:space="preserve">- </w:t>
      </w:r>
      <w:r>
        <w:rPr>
          <w:b/>
        </w:rPr>
        <w:t xml:space="preserve">Space-filling design</w:t>
      </w:r>
      <w:r>
        <w:t xml:space="preserve"> — an experimental design distributing runs uniformly through the parameter space.</w:t>
      </w:r>
    </w:p>
    <w:p>
      <w:pPr>
        <w:pStyle w:val="Heading1"/>
      </w:pPr>
      <w:r>
        <w:t xml:space="preserve">45. Extended Treatment: Interpreting Metrics and a Numerical Reasoning Guide</w:t>
      </w:r>
    </w:p>
    <w:p>
      <w:pPr>
        <w:pStyle w:val="Heading2"/>
      </w:pPr>
      <w:r>
        <w:t xml:space="preserve">45.1 The Need for Numerical Literacy</w:t>
      </w:r>
    </w:p>
    <w:p>
      <w:pPr>
        <w:pStyle w:val="Normal"/>
      </w:pPr>
      <w:r>
        <w:t xml:space="preserve">The performance metrics of Section 10—the coefficient of determination, the root mean squared error, the mean absolute error, and the mean absolute percentage error—are reported in every modelling study, yet their interpretation is often superficial, and a deeper numerical literacy in reading them guards against both undue optimism and undue pessimism. This section develops the interpretation of the metrics through numerical reasoning, examining what values indicate good performance in the MAF context, how the metrics relate to one another and to the physical tolerances, and how to read them in light of the noise floor and the response range. The treatment is a guide to the numerical reasoning that turns a reported metric from an opaque number into an interpreted assessment of a model's fitness for its purpose.</w:t>
      </w:r>
    </w:p>
    <w:p>
      <w:pPr>
        <w:pStyle w:val="Heading2"/>
      </w:pPr>
      <w:r>
        <w:t xml:space="preserve">45.2 Reading the Coefficient of Determination</w:t>
      </w:r>
    </w:p>
    <w:p>
      <w:pPr>
        <w:pStyle w:val="Normal"/>
      </w:pPr>
      <w:r>
        <w:t xml:space="preserve">The coefficient of determination reports the fraction of the response variance explained, so a value of 0.95 indicates that the model explains ninety-five per cent of the variation in the roughness, leaving five per cent unexplained. This sounds impressive, and often is, but its interpretation requires context. If the roughness varies widely across the dataset—because the parameters range widely—then even a crude model explains much of the variance simply by capturing the gross trend, and a high coefficient of determination is easy to achieve and unimpressive; conversely, if the roughness varies little, a high coefficient is hard to achieve and impressive. The coefficient must therefore be read against the response range: a coefficient of 0.95 over a narrow range of roughness is a stronger result than the same coefficient over a wide range. Moreover, the coefficient can be high while the model errs substantially in absolute terms if the response range is wide, so it must be complemented by the absolute-error metrics. The numerical reasoning is to read the coefficient as the fraction explained, to contextualize it by the response range, and to complement it with the absolute errors, resisting the temptation to accept a high coefficient as sufficient evidence of a good model.</w:t>
      </w:r>
    </w:p>
    <w:p>
      <w:pPr>
        <w:pStyle w:val="Heading2"/>
      </w:pPr>
      <w:r>
        <w:t xml:space="preserve">45.3 Reading the Absolute-Error Metrics Against the Tolerance</w:t>
      </w:r>
    </w:p>
    <w:p>
      <w:pPr>
        <w:pStyle w:val="Normal"/>
      </w:pPr>
      <w:r>
        <w:t xml:space="preserve">The root mean squared error and the mean absolute error report the prediction error in the physical units of the response—micrometres of roughness—and their interpretation is most direct when read against the physical tolerance and the noise floor. A root mean squared error of 0.02 micrometre is excellent if the target roughness and its tolerance are of order 0.1 micrometre, because the error is small relative to the tolerance and the model can reliably distinguish acceptable from unacceptable finishes; the same error is poor if the target and tolerance are of order 0.02 micrometre, because the error is comparable to the tolerance and the model cannot reliably resolve the distinction. The absolute errors must therefore be read against the tolerance the model must resolve: a model useful for a coarse tolerance may be useless for a fine one, and the same error carries opposite verdicts in the two cases. The numerical reasoning is to compare the absolute error to the tolerance the application requires, judging the model adequate if its error is small relative to the tolerance and inadequate if it is comparable, a comparison that connects the abstract metric directly to the model's fitness for its concrete purpose.</w:t>
      </w:r>
    </w:p>
    <w:p>
      <w:pPr>
        <w:pStyle w:val="Heading2"/>
      </w:pPr>
      <w:r>
        <w:t xml:space="preserve">45.4 Reading the Error Against the Noise Floor</w:t>
      </w:r>
    </w:p>
    <w:p>
      <w:pPr>
        <w:pStyle w:val="Normal"/>
      </w:pPr>
      <w:r>
        <w:t xml:space="preserve">The absolute errors must also be read against the noise floor—the irreducible measurement and process variability established from replicates (Sections 6, 11, 19). A root mean squared error of 0.015 micrometre against a noise floor of 0.012 micrometre indicates a model that has nearly reached the limit the data permit, with little unextracted signal, so that further modelling effort is futile and the appropriate response is to accept the model or reduce the noise floor; the same error against a noise floor of 0.005 micrometre indicates substantial unextracted signal and room for improvement. The error relative to the noise floor thus distinguishes a model limited by the data from one limited by the model, directing effort appropriately—to acceptance or noise reduction in the former case, to model improvement in the latter. The numerical reasoning is to compare the error to the noise floor, recognizing that the noise floor is the best any model can achieve and that a model near it has succeeded while a model far above it has room to improve, a comparison that prevents both the futile pursuit of accuracy below the data's resolution and the premature acceptance of a model with unextracted signal.</w:t>
      </w:r>
    </w:p>
    <w:p>
      <w:pPr>
        <w:pStyle w:val="Heading2"/>
      </w:pPr>
      <w:r>
        <w:t xml:space="preserve">45.5 Reading the Relative Error and Its Pitfalls</w:t>
      </w:r>
    </w:p>
    <w:p>
      <w:pPr>
        <w:pStyle w:val="Normal"/>
      </w:pPr>
      <w:r>
        <w:t xml:space="preserve">The mean absolute percentage error reports the error relative to the measured value, permitting comparison across responses of different magnitude and conveying the typical relative error—a value of five per cent indicating that predictions are typically within five per cent of the measured roughness. Its interpretation is intuitive, but it carries a pitfall: it becomes unstable and misleading when measured values approach zero, because the relative error of a near-zero measurement is enormous even for a small absolute error, so that a few low-roughness runs can dominate and inflate the percentage error unrepresentatively. In MAF, where the finished roughness can be very low, this pitfall is real, and the percentage error should be read with awareness of it, complemented by the absolute errors that do not suffer it. The numerical reasoning is to read the percentage error as the typical relative error while watching for the distortion that near-zero measurements introduce, and to rely on the absolute errors where the roughness is low, so that the percentage error's intuitive appeal is enjoyed without being misled by its instability.</w:t>
      </w:r>
    </w:p>
    <w:p>
      <w:pPr>
        <w:pStyle w:val="Heading2"/>
      </w:pPr>
      <w:r>
        <w:t xml:space="preserve">45.6 Reading the Metrics Together</w:t>
      </w:r>
    </w:p>
    <w:p>
      <w:pPr>
        <w:pStyle w:val="Normal"/>
      </w:pPr>
      <w:r>
        <w:t xml:space="preserve">The several metrics are complementary, each illuminating a different aspect, and their combined reading yields the rounded assessment that no single metric provides. The coefficient of determination conveys the explanatory power, contextualized by the response range. The absolute errors convey the error magnitude in physical units, judged against the tolerance and the noise floor. The percentage error conveys the relative error, watched for near-zero distortion. And the maximum error conveys the worst case, relevant to safety-critical tolerances. Read together, they characterize the model's performance comprehensively: a model with a high coefficient of determination, absolute errors small relative to the tolerance and near the noise floor, a modest and undistorted percentage error, and an acceptable worst case is a good model for its purpose, while a deficiency in any—a low coefficient, an error large relative to the tolerance or far above the noise floor, a distorted or large percentage error, or an unacceptable worst case—flags a specific inadequacy. The numerical reasoning is to read all the metrics together, each in its proper context, resisting the reduction of the assessment to any single figure, and thereby to reach the rounded, contextualized, honest assessment of the model's fitness for its purpose that the framework's rigour demands and that the superficial reading of a single metric cannot provide.</w:t>
      </w:r>
    </w:p>
    <w:p>
      <w:pPr>
        <w:pStyle w:val="Heading2"/>
      </w:pPr>
      <w:r>
        <w:t xml:space="preserve">45.7 From Metrics to Decisions</w:t>
      </w:r>
    </w:p>
    <w:p>
      <w:pPr>
        <w:pStyle w:val="Normal"/>
      </w:pPr>
      <w:r>
        <w:t xml:space="preserve">The ultimate purpose of reading the metrics is to decide—whether to accept the model, to improve it, to acquire more data, or to reduce the noise floor—and the numerical reasoning connects the metrics to these decisions. A model whose errors are small relative to the tolerance and near the noise floor is accepted, its performance adequate and its improvement futile. A model whose errors are large relative to the tolerance but near the noise floor calls for noise reduction—better measurement or process control—since the model has extracted the available signal and the limitation is the data's resolution. A model whose errors are far above the noise floor calls for improvement—more capacity, better features, more data, per the error analysis of Section 27—since there is unextracted signal. And a model whose errors are large in a specific region calls for targeted experimentation there, per the active learning of Section 12. The metrics, read with the numerical reasoning developed here and connected to these decisions, thus guide the modelling to its appropriate next step, converting the assessment of performance into the direction of effort, and completing the loop from the honest reading of the metrics to the informed decision that the reading is meant to support—the practical culmination of the numerical literacy that this section has sought to develop.</w:t>
      </w:r>
    </w:p>
    <w:p>
      <w:pPr>
        <w:pStyle w:val="Heading1"/>
      </w:pPr>
      <w:r>
        <w:t xml:space="preserve">46. List of Figures and Tables</w:t>
      </w:r>
    </w:p>
    <w:p>
      <w:pPr>
        <w:pStyle w:val="Heading2"/>
      </w:pPr>
      <w:r>
        <w:t xml:space="preserve">46.1 List of Figures</w:t>
      </w:r>
    </w:p>
    <w:p>
      <w:pPr>
        <w:pStyle w:val="Normal"/>
      </w:pPr>
      <w:r>
        <w:t xml:space="preserve">The chapter includes twenty figures, listed here with their subjects for reference.</w:t>
      </w:r>
    </w:p>
    <w:p>
      <w:pPr>
        <w:pStyle w:val="Normal"/>
      </w:pPr>
      <w:r>
        <w:t xml:space="preserve">- Figure 1. Schematic of a typical magnetic abrasive finishing system.</w:t>
      </w:r>
    </w:p>
    <w:p>
      <w:pPr>
        <w:pStyle w:val="Normal"/>
      </w:pPr>
      <w:r>
        <w:t xml:space="preserve">- Figure 2. The three stages of surface topography evolution during MAF.</w:t>
      </w:r>
    </w:p>
    <w:p>
      <w:pPr>
        <w:pStyle w:val="Normal"/>
      </w:pPr>
      <w:r>
        <w:t xml:space="preserve">- Figure 3. Micro-scale interaction of a single abrasive grain with the workpiece surface.</w:t>
      </w:r>
    </w:p>
    <w:p>
      <w:pPr>
        <w:pStyle w:val="Normal"/>
      </w:pPr>
      <w:r>
        <w:t xml:space="preserve">- Figure 4. Evolution of surface roughness with finishing time and the effect of flux density.</w:t>
      </w:r>
    </w:p>
    <w:p>
      <w:pPr>
        <w:pStyle w:val="Normal"/>
      </w:pPr>
      <w:r>
        <w:t xml:space="preserve">- Figure 5. Response surfaces over pairs of parameters illustrating interaction effects.</w:t>
      </w:r>
    </w:p>
    <w:p>
      <w:pPr>
        <w:pStyle w:val="Normal"/>
      </w:pPr>
      <w:r>
        <w:t xml:space="preserve">- Figure 6. Comparison of experimental design strategies in a two-parameter space.</w:t>
      </w:r>
    </w:p>
    <w:p>
      <w:pPr>
        <w:pStyle w:val="Normal"/>
      </w:pPr>
      <w:r>
        <w:t xml:space="preserve">- Figure 7. The data preprocessing pipeline for MAF surface-roughness modelling.</w:t>
      </w:r>
    </w:p>
    <w:p>
      <w:pPr>
        <w:pStyle w:val="Normal"/>
      </w:pPr>
      <w:r>
        <w:t xml:space="preserve">- Figure 8. Schematic of k-fold cross-validation.</w:t>
      </w:r>
    </w:p>
    <w:p>
      <w:pPr>
        <w:pStyle w:val="Normal"/>
      </w:pPr>
      <w:r>
        <w:t xml:space="preserve">- Figure 9. A map of machine-learning algorithm families by flexibility and interpretability.</w:t>
      </w:r>
    </w:p>
    <w:p>
      <w:pPr>
        <w:pStyle w:val="Normal"/>
      </w:pPr>
      <w:r>
        <w:t xml:space="preserve">- Figure 10. A feedforward artificial neural network for MAF roughness prediction.</w:t>
      </w:r>
    </w:p>
    <w:p>
      <w:pPr>
        <w:pStyle w:val="Normal"/>
      </w:pPr>
      <w:r>
        <w:t xml:space="preserve">- Figure 11. Support vector regression, the epsilon-insensitive tube, and the kernel mapping.</w:t>
      </w:r>
    </w:p>
    <w:p>
      <w:pPr>
        <w:pStyle w:val="Normal"/>
      </w:pPr>
      <w:r>
        <w:t xml:space="preserve">- Figure 12. The random forest ensemble for MAF roughness prediction.</w:t>
      </w:r>
    </w:p>
    <w:p>
      <w:pPr>
        <w:pStyle w:val="Normal"/>
      </w:pPr>
      <w:r>
        <w:t xml:space="preserve">- Figure 13. Comparison of the response surfaces produced by different algorithm families.</w:t>
      </w:r>
    </w:p>
    <w:p>
      <w:pPr>
        <w:pStyle w:val="Normal"/>
      </w:pPr>
      <w:r>
        <w:t xml:space="preserve">- Figure 14. Predicted-versus-measured surface roughness for a suite of algorithms.</w:t>
      </w:r>
    </w:p>
    <w:p>
      <w:pPr>
        <w:pStyle w:val="Normal"/>
      </w:pPr>
      <w:r>
        <w:t xml:space="preserve">- Figure 15. Learning curves for MAF roughness models.</w:t>
      </w:r>
    </w:p>
    <w:p>
      <w:pPr>
        <w:pStyle w:val="Normal"/>
      </w:pPr>
      <w:r>
        <w:t xml:space="preserve">- Figure 16. Predictive uncertainty widening in sparsely sampled regions.</w:t>
      </w:r>
    </w:p>
    <w:p>
      <w:pPr>
        <w:pStyle w:val="Normal"/>
      </w:pPr>
      <w:r>
        <w:t xml:space="preserve">- Figure 17. Explainability: feature importance and partial-dependence relationships.</w:t>
      </w:r>
    </w:p>
    <w:p>
      <w:pPr>
        <w:pStyle w:val="Normal"/>
      </w:pPr>
      <w:r>
        <w:t xml:space="preserve">- Figure 18. A Pareto front trading surface roughness against finishing time.</w:t>
      </w:r>
    </w:p>
    <w:p>
      <w:pPr>
        <w:pStyle w:val="Normal"/>
      </w:pPr>
      <w:r>
        <w:t xml:space="preserve">- Figure 19. The closed-loop, uncertainty-guided experimentation cycle.</w:t>
      </w:r>
    </w:p>
    <w:p>
      <w:pPr>
        <w:pStyle w:val="Normal"/>
      </w:pPr>
      <w:r>
        <w:t xml:space="preserve">- Figure 20. Comparative synthesis of reported model performance across algorithm families.</w:t>
      </w:r>
    </w:p>
    <w:p>
      <w:pPr>
        <w:pStyle w:val="Heading2"/>
      </w:pPr>
      <w:r>
        <w:t xml:space="preserve">46.2 List of Tables</w:t>
      </w:r>
    </w:p>
    <w:p>
      <w:pPr>
        <w:pStyle w:val="Normal"/>
      </w:pPr>
      <w:r>
        <w:t xml:space="preserve">The chapter includes sixteen tables, listed here with their subjects for reference.</w:t>
      </w:r>
    </w:p>
    <w:p>
      <w:pPr>
        <w:pStyle w:val="Normal"/>
      </w:pPr>
      <w:r>
        <w:t xml:space="preserve">- Table 1. Principal components of a typical MAF system, functions, and design considerations.</w:t>
      </w:r>
    </w:p>
    <w:p>
      <w:pPr>
        <w:pStyle w:val="Normal"/>
      </w:pPr>
      <w:r>
        <w:t xml:space="preserve">- Table 2. Principal variants of magnetic abrasive finishing and their applications.</w:t>
      </w:r>
    </w:p>
    <w:p>
      <w:pPr>
        <w:pStyle w:val="Normal"/>
      </w:pPr>
      <w:r>
        <w:t xml:space="preserve">- Table 3. Principal surface roughness parameters, definitions, and functional significance.</w:t>
      </w:r>
    </w:p>
    <w:p>
      <w:pPr>
        <w:pStyle w:val="Normal"/>
      </w:pPr>
      <w:r>
        <w:t xml:space="preserve">- Table 4. MAF process parameters and their general influence on surface roughness.</w:t>
      </w:r>
    </w:p>
    <w:p>
      <w:pPr>
        <w:pStyle w:val="Normal"/>
      </w:pPr>
      <w:r>
        <w:t xml:space="preserve">- Table 5. Representative input variables and example ranges for a MAF study.</w:t>
      </w:r>
    </w:p>
    <w:p>
      <w:pPr>
        <w:pStyle w:val="Normal"/>
      </w:pPr>
      <w:r>
        <w:t xml:space="preserve">- Table 6. Classical principles of experimentation and their role in ML data acquisition.</w:t>
      </w:r>
    </w:p>
    <w:p>
      <w:pPr>
        <w:pStyle w:val="Normal"/>
      </w:pPr>
      <w:r>
        <w:t xml:space="preserve">- Table 7. Comparison of experimental design classes for MAF data generation.</w:t>
      </w:r>
    </w:p>
    <w:p>
      <w:pPr>
        <w:pStyle w:val="Normal"/>
      </w:pPr>
      <w:r>
        <w:t xml:space="preserve">- Table 8. Data preprocessing steps for ML modelling of MAF surface roughness.</w:t>
      </w:r>
    </w:p>
    <w:p>
      <w:pPr>
        <w:pStyle w:val="Normal"/>
      </w:pPr>
      <w:r>
        <w:t xml:space="preserve">- Table 9. Common activation functions and kernel functions used in MAF modelling.</w:t>
      </w:r>
    </w:p>
    <w:p>
      <w:pPr>
        <w:pStyle w:val="Normal"/>
      </w:pPr>
      <w:r>
        <w:t xml:space="preserve">- Table 10. Representative hyperparameters and their effect on the bias–variance trade-off.</w:t>
      </w:r>
    </w:p>
    <w:p>
      <w:pPr>
        <w:pStyle w:val="Normal"/>
      </w:pPr>
      <w:r>
        <w:t xml:space="preserve">- Table 11. Comparative synthesis of ML algorithms for MAF roughness prediction.</w:t>
      </w:r>
    </w:p>
    <w:p>
      <w:pPr>
        <w:pStyle w:val="Normal"/>
      </w:pPr>
      <w:r>
        <w:t xml:space="preserve">- Table 12. Regression performance metrics for evaluating MAF roughness models.</w:t>
      </w:r>
    </w:p>
    <w:p>
      <w:pPr>
        <w:pStyle w:val="Normal"/>
      </w:pPr>
      <w:r>
        <w:t xml:space="preserve">- Table 13. Sources of predictive uncertainty and their treatment.</w:t>
      </w:r>
    </w:p>
    <w:p>
      <w:pPr>
        <w:pStyle w:val="Normal"/>
      </w:pPr>
      <w:r>
        <w:t xml:space="preserve">- Table 14. Optimization approaches for MAF process design using an ML surrogate.</w:t>
      </w:r>
    </w:p>
    <w:p>
      <w:pPr>
        <w:pStyle w:val="Normal"/>
      </w:pPr>
      <w:r>
        <w:t xml:space="preserve">- Table 15. Representative studies of ML for MAF and related problems.</w:t>
      </w:r>
    </w:p>
    <w:p>
      <w:pPr>
        <w:pStyle w:val="Normal"/>
      </w:pPr>
      <w:r>
        <w:t xml:space="preserve">- Table 16. A maturity checklist for ML studies of MAF surface roughness.</w:t>
      </w:r>
    </w:p>
    <w:p>
      <w:pPr>
        <w:pStyle w:val="Heading2"/>
      </w:pPr>
      <w:r>
        <w:t xml:space="preserve">46.3 A Concluding Perspective</w:t>
      </w:r>
    </w:p>
    <w:p>
      <w:pPr>
        <w:pStyle w:val="Normal"/>
      </w:pPr>
      <w:r>
        <w:t xml:space="preserve">The twenty figures and sixteen tables, distributed through the chapter, consolidate its concepts, illustrate its architectures, and summarize its comparative data, and their listing here completes the chapter's apparatus. Together with the comprehensive text and the bibliography that follows, they constitute a thorough treatment of the machine-learning-based prediction of surface roughness in magnetic abrasive finishing and of the intelligent process optimization it enables—a treatment that has proceeded from the physical fundamentals of the process, through the metrology, the parameters, the data, the algorithms, the validation, the uncertainty, the explainability, and the optimization, to the applications, the economics, the sustainability, and the future directions, and that has developed throughout the integrative argument that reliable and useful data-driven modelling arises at the intersection of manufacturing physics, experimental and statistical rigour, and computational sophistication. The chapter has aimed to be at once a comprehensive reference, a rigorous methodology, and an argument for the disciplined, physically grounded, statistically honest practice that the reliable data-driven transformation of finishing—and, more broadly, of manufacturing—requires. If it equips the reader to build models that are accurate, data-efficient, interpretable, uncertainty-aware, physically faithful, and genuinely useful for the intelligent optimization and control of magnetic abrasive finishing, and to do so with the rigour that distinguishes trustworthy from merely plausible results, it will have achieved its purpose.</w:t>
      </w:r>
    </w:p>
    <w:p>
      <w:pPr>
        <w:pStyle w:val="Heading1"/>
      </w:pPr>
      <w:r>
        <w:t xml:space="preserve">47. Open Research Questions and Frontiers</w:t>
      </w:r>
    </w:p>
    <w:p>
      <w:pPr>
        <w:pStyle w:val="Heading2"/>
      </w:pPr>
      <w:r>
        <w:t xml:space="preserve">47.1 Framing the Open Questions</w:t>
      </w:r>
    </w:p>
    <w:p>
      <w:pPr>
        <w:pStyle w:val="Normal"/>
      </w:pPr>
      <w:r>
        <w:t xml:space="preserve">Beyond the challenges and directions surveyed in Section 14, it is valuable to frame the open research questions of the field as specific, answerable questions that future work might address, because well-posed questions guide research more effectively than broad aspirations. This section poses the principal open questions across the framework's stages—the data, the models, the uncertainty, the optimization and control, and the integration—and discusses for each what an answer would require and why it matters. The questions are offered not as a closed list but as a framing of the frontier that future researchers might extend, refine, and address, and they consolidate the chapter's forward-looking discussion into a research agenda.</w:t>
      </w:r>
    </w:p>
    <w:p>
      <w:pPr>
        <w:pStyle w:val="Heading2"/>
      </w:pPr>
      <w:r>
        <w:t xml:space="preserve">47.2 Questions About Data and Experimentation</w:t>
      </w:r>
    </w:p>
    <w:p>
      <w:pPr>
        <w:pStyle w:val="Normal"/>
      </w:pPr>
      <w:r>
        <w:t xml:space="preserve">Several open questions concern the data on which everything depends. How can the community construct and share standardized benchmark datasets for MAF roughness modelling, of sufficient size, quality, and documentation, to enable the objective comparison of methods and the cumulative progress that the fragmented current datasets preclude? What experimental designs are optimal for training the flexible learners the field uses, and how should the classical and space-filling and sequential designs be combined for the best data efficiency? How much data, of what coverage and quality, are actually required for reliable modelling of the MAF response, and how does this requirement scale with the dimensionality and the response complexity? How can the confounders—initial condition, medium condition, ambient variation—be most effectively controlled and recorded, and how much do they contribute to the variability that limits models? And how can in-process sensing generate the abundant data that would relax the scarcity constraint? Answering these questions would address the data scarcity that Section 14 identified as the field's central limitation, and it would require both methodological research and the community coordination to build and share the benchmark datasets whose absence most impedes progress.</w:t>
      </w:r>
    </w:p>
    <w:p>
      <w:pPr>
        <w:pStyle w:val="Heading2"/>
      </w:pPr>
      <w:r>
        <w:t xml:space="preserve">47.3 Questions About Models and Physics</w:t>
      </w:r>
    </w:p>
    <w:p>
      <w:pPr>
        <w:pStyle w:val="Normal"/>
      </w:pPr>
      <w:r>
        <w:t xml:space="preserve">Open questions concern the models and their relationship to the physics. How can physics-informed and hybrid modelling be most effectively realized for MAF—which physical constraints, which residual structures, which simulation augmentations—and how much do they improve accuracy, data efficiency, and extrapolation over purely data-driven models? How can models be built to generalize across materials, configurations, machines, and scales through property-based encoding, dimensionless analysis, and transfer learning, and how far does each mode of generalization actually extend before negative transfer intervenes? How can the response be extended from scalar roughness to full areal topography, temporal dynamics, and subsurface integrity through richer data and deeper architectures, and what value does the richer prediction deliver? And which algorithms, or combinations, are genuinely best for the MAF response, established through the rigorous, honest comparison on shared benchmarks that the field currently lacks? Answering these questions would advance the models from the accurate-but-empirical predictors that dominate the field toward the physically faithful, broadly generalizing, richly predictive models that the framework envisions, and it would require the marriage of manufacturing physics and machine-learning methodology that the chapter has advocated throughout.</w:t>
      </w:r>
    </w:p>
    <w:p>
      <w:pPr>
        <w:pStyle w:val="Heading2"/>
      </w:pPr>
      <w:r>
        <w:t xml:space="preserve">47.4 Questions About Uncertainty and Trust</w:t>
      </w:r>
    </w:p>
    <w:p>
      <w:pPr>
        <w:pStyle w:val="Normal"/>
      </w:pPr>
      <w:r>
        <w:t xml:space="preserve">Open questions concern uncertainty and trust. How can predictive uncertainty be most reliably quantified and calibrated for the small, noisy MAF datasets, across the several methods, and how can its calibration be verified with scarce data? How can the aleatoric noise floor be most accurately established, and how can the process and measurement variability that constitute it be reduced? How can models be made interpretable and their physical plausibility verified, and how can the spurious correlations that scarce, biased data may induce be detected and prevented? And how can the trust that industrial deployment requires be established and maintained—through validation, uncertainty, explanation, monitoring, and the standardization and reproducibility that the field currently underprovides? Answering these questions would address the trustworthiness that, as Section 43 argued, is the field's principal maturation need, and it would require the more consistent adoption of the rigorous uncertainty quantification, explainability, and honest reporting that the framework specifies but that much of the current literature omits.</w:t>
      </w:r>
    </w:p>
    <w:p>
      <w:pPr>
        <w:pStyle w:val="Heading2"/>
      </w:pPr>
      <w:r>
        <w:t xml:space="preserve">47.5 Questions About Optimization and Control</w:t>
      </w:r>
    </w:p>
    <w:p>
      <w:pPr>
        <w:pStyle w:val="Normal"/>
      </w:pPr>
      <w:r>
        <w:t xml:space="preserve">Open questions concern the optimization and control that convert prediction into action. How can the multi-objective optimization of roughness, time, cost, integrity, energy, and sustainability be most effectively formulated and solved, and how can the resulting Pareto fronts best inform decisions? How can Bayesian optimization and active learning most efficiently optimize and model a MAF process from scratch, minimizing the experimental cost? How can in-process sensing—direct or indirect—reliably estimate the surface state during finishing, overcoming the obstacle that Section 31 identified as the principal barrier to closed-loop control? How can dynamic and estimation models predict the surface-state trajectory for model-predictive control? And how can the closed-loop, adaptive, self-terminating MAF process be realized robustly in industrial practice? Answering these questions would advance the field from the offline optimization that is currently attainable toward the closed-loop adaptive control that represents the intelligent future, and it would require the convergence of sensing, dynamic modelling, and control that Section 31 identified as the active frontier.</w:t>
      </w:r>
    </w:p>
    <w:p>
      <w:pPr>
        <w:pStyle w:val="Heading2"/>
      </w:pPr>
      <w:r>
        <w:t xml:space="preserve">47.6 Questions About Integration and Scale</w:t>
      </w:r>
    </w:p>
    <w:p>
      <w:pPr>
        <w:pStyle w:val="Normal"/>
      </w:pPr>
      <w:r>
        <w:t xml:space="preserve">Open questions concern the integration and scaling of intelligent MAF. How can the digital twin of MAF be realized as an integrated predictor, optimizer, monitor, and archive, connected to the physical process and continuously learning? How can MAF be integrated into the Industry 4.0 ecosystem—interoperable, standardized, secure, and scalable—so that it participates in plant-wide and enterprise-wide intelligence? How can the data engineering, model lifecycle, and organizational systems that sustain the capability be established and scaled? And how can the economic and sustainability value of intelligent MAF be most effectively realized and demonstrated, building the case for wider adoption? Answering these questions would advance the field from the individual intelligent MAF cell toward the integrated, connected, scaled intelligent finishing that Section 32 envisioned, and it would require the technical, organizational, and standardization advances that the integration into smart manufacturing demands. These questions of integration and scale, together with the questions of data, models, uncertainty, and control, frame a research agenda whose pursuit would carry the field toward the mature, reliable, integrated, intelligent finishing that the chapter has held out as its trajectory and its aspiration.</w:t>
      </w:r>
    </w:p>
    <w:p>
      <w:pPr>
        <w:pStyle w:val="Heading1"/>
      </w:pPr>
      <w:r>
        <w:t xml:space="preserve">48. A Guide for Learning and Teaching the Framework</w:t>
      </w:r>
    </w:p>
    <w:p>
      <w:pPr>
        <w:pStyle w:val="Heading2"/>
      </w:pPr>
      <w:r>
        <w:t xml:space="preserve">48.1 The Pedagogical Challenge</w:t>
      </w:r>
    </w:p>
    <w:p>
      <w:pPr>
        <w:pStyle w:val="Normal"/>
      </w:pPr>
      <w:r>
        <w:t xml:space="preserve">The framework developed in this chapter spans three domains—manufacturing physics, experimental statistics, and machine learning—that are traditionally taught separately, and the integration that the framework requires poses a pedagogical challenge: how to equip a learner, whether a graduate student or a practising engineer, with the integrated understanding that reliable data-driven MAF modelling demands. This section offers a guide for learning and teaching the framework, suggesting a sequence of study, the prerequisites and their integration, the role of the worked example and case studies, and the practical experience that consolidates the understanding. The guide is offered to support the chapter's use in graduate education and professional development and to address the interdisciplinary integration that is the framework's distinctive demand.</w:t>
      </w:r>
    </w:p>
    <w:p>
      <w:pPr>
        <w:pStyle w:val="Heading2"/>
      </w:pPr>
      <w:r>
        <w:t xml:space="preserve">48.2 Prerequisites and Their Integration</w:t>
      </w:r>
    </w:p>
    <w:p>
      <w:pPr>
        <w:pStyle w:val="Normal"/>
      </w:pPr>
      <w:r>
        <w:t xml:space="preserve">The framework's three domains impose prerequisites—the physics of machining and finishing, the statistics of experimental design and metrology, and the methods of machine learning—that a learner should possess or acquire, and the pedagogical key is their integration rather than their separate mastery. A learner strong in machine learning but ignorant of the finishing physics will build models that fit the data but violate the physics; a learner strong in the physics but ignorant of the statistics will build models that flatter but fail; a learner strong in both but ignorant of the machine learning will be confined to the classical methods the framework transcends. The integration is achieved not by mastering each domain in isolation and hoping they combine but by studying them in the context of the problem, so that the physics informs the features and constraints, the statistics informs the design and validation, and the machine learning performs the flexible modelling, each understood in relation to the others through the concrete problem of MAF roughness modelling. The chapter's structure—developing the physics, then the data and statistics, then the algorithms, then their integration in validation, optimization, and control—supports this integrated study, and a learner following the chapter's sequence acquires the domains in the integrated relationship that the framework requires.</w:t>
      </w:r>
    </w:p>
    <w:p>
      <w:pPr>
        <w:pStyle w:val="Heading2"/>
      </w:pPr>
      <w:r>
        <w:t xml:space="preserve">48.3 The Sequence of Study</w:t>
      </w:r>
    </w:p>
    <w:p>
      <w:pPr>
        <w:pStyle w:val="Normal"/>
      </w:pPr>
      <w:r>
        <w:t xml:space="preserve">A productive sequence of study follows the chapter's structure. Begin with the physical fundamentals (Sections 2, 3, 16, 17), acquiring the understanding of the process, its mechanics, and its parameters that grounds everything. Proceed to the metrology and the parameters (Sections 4, 5, 26, 36), acquiring the understanding of the response and its determinants. Then study the data and its acquisition, design, and preprocessing (Sections 6, 7, 8, 21, 25), acquiring the understanding of the data on which the models depend and the rigour that governs it. Next study the algorithms (Sections 9, 18, 37, 38, 39), acquiring the understanding of the flexible learners and their foundations. Then study their validation, uncertainty, and explanation (Sections 10, 11, 27, 45), acquiring the understanding of the model's trustworthiness and limits. Finally study the optimization, control, and integration (Sections 12, 30, 31, 32), acquiring the understanding of how the model is exploited for intelligent action. Throughout, the worked example (Section 19) and the case studies (Sections 13, 35) illustrate the abstract in the concrete, and the roadmap (Section 34) consolidates the practice. This sequence builds the integrated understanding progressively, each stage grounded in the preceding, and it converts the chapter's exposition into a course of study.</w:t>
      </w:r>
    </w:p>
    <w:p>
      <w:pPr>
        <w:pStyle w:val="Heading2"/>
      </w:pPr>
      <w:r>
        <w:t xml:space="preserve">48.4 The Role of the Worked Example and Case Studies</w:t>
      </w:r>
    </w:p>
    <w:p>
      <w:pPr>
        <w:pStyle w:val="Normal"/>
      </w:pPr>
      <w:r>
        <w:t xml:space="preserve">The worked example (Section 19) and the case studies (Sections 13, 35) play a distinctive pedagogical role, illustrating the abstract framework in concrete application and thereby consolidating the understanding that the exposition establishes. The worked example, following the whole pipeline from requirement to confirmed recipe, shows the learner how the abstract stages become concrete decisions and actions, and it is best studied after the corresponding sections to see their integration in a single narrative. The case studies, illustrating specific strategies—cross-material generalization, physics-informed modelling, closed-loop termination, Bayesian optimization—show the framework's elements in focused application and its versatility across problems, and they are best studied to see how the framework is instantiated for particular problems. Together, the worked example and case studies bridge the abstract and the concrete, and a learner who studies them alongside the exposition acquires not only the understanding of the framework's principles but the sense of their application that distinguishes the practitioner from the theorist. The pedagogical counsel is to study the concrete illustrations in close relation to the abstract exposition, so that each illuminates the other and the learner acquires the integrated, applicable understanding that the framework's use requires.</w:t>
      </w:r>
    </w:p>
    <w:p>
      <w:pPr>
        <w:pStyle w:val="Heading2"/>
      </w:pPr>
      <w:r>
        <w:t xml:space="preserve">48.5 The Role of Practical Experience</w:t>
      </w:r>
    </w:p>
    <w:p>
      <w:pPr>
        <w:pStyle w:val="Normal"/>
      </w:pPr>
      <w:r>
        <w:t xml:space="preserve">Understanding the framework intellectually is necessary but not sufficient; its reliable application requires practical experience, and the pedagogical guide concludes by emphasizing the experience that consolidates the understanding. A learner should, ideally, apply the framework to a real or realistic MAF modelling problem—designing the experiments, acquiring or simulating the data, preprocessing it, building and validating the models, quantifying the uncertainty, interrogating the model, and optimizing the process—because the tacit knowledge that reliable application requires, the judgment of what works and what fails, is acquired through practice rather than exposition. The pitfalls that the chapter warns against—the leakage, the overfitting, the extrapolation, the spurious correlation—are most vividly learned by encountering and remedying them, and the disciplines that the chapter urges are most firmly established by practising them. Where a real problem is unavailable, a realistic simulated problem, or the reworking of a published dataset with the framework's rigour, provides valuable practice. The pedagogical counsel is that the framework is learned fully only through the combination of intellectual understanding and practical application, and that a course or a self-study should culminate in the application of the framework to a problem, so that the learner acquires not only the knowledge of the framework but the practised judgment of its reliable use—the ultimate objective of learning the framework and the foundation of the reliable, rigorous, physically grounded practice that this chapter has developed and advocated as the route to the intelligent modelling, optimization, and control of magnetic abrasive finishing.</w:t>
      </w:r>
    </w:p>
    <w:p>
      <w:pPr>
        <w:pStyle w:val="Heading1"/>
      </w:pPr>
      <w:r>
        <w:t xml:space="preserve">49. Extended Treatment: Comparative Behaviour of Algorithms on Characteristic MAF Responses</w:t>
      </w:r>
    </w:p>
    <w:p>
      <w:pPr>
        <w:pStyle w:val="Heading2"/>
      </w:pPr>
      <w:r>
        <w:t xml:space="preserve">49.1 Purpose of the Comparative Behaviour Study</w:t>
      </w:r>
    </w:p>
    <w:p>
      <w:pPr>
        <w:pStyle w:val="Normal"/>
      </w:pPr>
      <w:r>
        <w:t xml:space="preserve">Section 9 compared the algorithms by their properties and Table 11 synthesized the comparison; this section deepens the comparison by examining how the algorithms behave on the characteristic features of the MAF response—the non-monotonicity, the saturation, the interactions, the thresholds, and the noise—so that the practitioner understands not merely which algorithm is generally strong but how each handles the specific response features that MAF presents. The understanding of algorithm behaviour on these characteristic features guides both the selection of algorithms and the interpretation of their predictions and errors, and it consolidates the comparative discussion into a feature-by-feature analysis that connects the algorithms' general properties to their concrete behaviour on the MAF response.</w:t>
      </w:r>
    </w:p>
    <w:p>
      <w:pPr>
        <w:pStyle w:val="Heading2"/>
      </w:pPr>
      <w:r>
        <w:t xml:space="preserve">49.2 Behaviour on Non-Monotonic Responses</w:t>
      </w:r>
    </w:p>
    <w:p>
      <w:pPr>
        <w:pStyle w:val="Normal"/>
      </w:pPr>
      <w:r>
        <w:t xml:space="preserve">The non-monotonic responses of MAF—the flux-density effect with its interior optimum, the concentration effect, the speed effect—test the algorithms' capacity to represent a response that rises and falls, and the algorithms differ in their handling. The flexible learners—neural networks, support vector regression with a suitable kernel, Gaussian processes, and tree ensembles—all represent non-monotonic responses naturally, because their function classes are not restricted to monotonic or low-order forms, and they capture the interior optimum given adequate sampling around it. The smooth learners—neural networks, kernel support vector regression, and Gaussian processes—represent the non-monotonic response as a smooth curve, faithful to the smooth physical response, while the tree ensembles represent it as a stepped approximation that captures the trend but not the smoothness, per the surface comparison of Figure 13. The linear and low-order models—the linear regression and, to a degree, the quadratic response surface—handle non-monotonicity poorly, the linear model not at all and the quadratic only as a single smooth bowl, confirming their inadequacy for the MAF response. The behavioural analysis thus recommends the smooth flexible learners for the faithful representation of the non-monotonic responses, with the tree ensembles a capable but stepped alternative, and it confirms the inadequacy of the low-order models that the framework transcends.</w:t>
      </w:r>
    </w:p>
    <w:p>
      <w:pPr>
        <w:pStyle w:val="Heading2"/>
      </w:pPr>
      <w:r>
        <w:t xml:space="preserve">49.3 Behaviour on Saturating Responses</w:t>
      </w:r>
    </w:p>
    <w:p>
      <w:pPr>
        <w:pStyle w:val="Normal"/>
      </w:pPr>
      <w:r>
        <w:t xml:space="preserve">The saturating time response—the steep initial fall, the moderating middle, the asymptotic saturation—tests the algorithms' capacity to represent a response that changes rate and approaches an asymptote, and the algorithms again differ. The smooth flexible learners represent the saturating response as a smooth curve approaching the asymptote, faithful to the physics, provided the time is sampled across the approach to saturation so that the curve's shape is determined; the Gaussian process, with a suitable kernel, is particularly apt, representing the smooth approach and quantifying the uncertainty in the saturation level. The tree ensembles represent the saturation as a stepped approach, capturing the asymptote but not the smooth approach, and, importantly, they cannot extrapolate the saturation beyond the sampled time range, pinning their prediction to the training range, so that a query at a time beyond the data returns the last sampled value rather than the extrapolated asymptote. The behavioural analysis recommends the smooth learners, especially the Gaussian process, for the faithful representation and reliable interpolation of the saturating response, and it warns that the tree ensembles cannot extrapolate the saturation beyond the data, a limitation the practitioner must respect by sampling the time range adequately and restricting queries to it.</w:t>
      </w:r>
    </w:p>
    <w:p>
      <w:pPr>
        <w:pStyle w:val="Heading2"/>
      </w:pPr>
      <w:r>
        <w:t xml:space="preserve">49.4 Behaviour on Interacting Responses</w:t>
      </w:r>
    </w:p>
    <w:p>
      <w:pPr>
        <w:pStyle w:val="Normal"/>
      </w:pPr>
      <w:r>
        <w:t xml:space="preserve">The pervasive interactions of MAF—the flux-density-by-gap, the grain-by-time, the concentration-by-field—test the algorithms' capacity to represent effects that depend on the levels of other variables, and this is where the flexible learners most decisively outperform the low-order models. The flexible learners—neural networks, kernel support vector regression, Gaussian processes, and tree ensembles—represent interactions of arbitrary order automatically, because their function classes admit them without specification, so that they capture the shifting optima and the level-dependent effects that the interactions produce, given adequate joint sampling of the interacting variables. The tree ensembles are particularly natural for interactions, because their recursive splitting represents an interaction directly as a split on one variable within a region defined by another. The low-order models handle interactions poorly—the linear model not at all, the quadratic only to second order—confirming their inadequacy for the high-order interactions of MAF. The behavioural analysis thus identifies the representation of interactions as the flexible learners' decisive advantage, recommends any of them for the interacting MAF response, notes the tree ensembles' particular naturalness for interactions, and confirms, from the interaction behaviour specifically, the fundamental rationale for the flexible over the low-order models that the framework rests upon.</w:t>
      </w:r>
    </w:p>
    <w:p>
      <w:pPr>
        <w:pStyle w:val="Heading2"/>
      </w:pPr>
      <w:r>
        <w:t xml:space="preserve">49.5 Behaviour on Thresholds and Constraints</w:t>
      </w:r>
    </w:p>
    <w:p>
      <w:pPr>
        <w:pStyle w:val="Normal"/>
      </w:pPr>
      <w:r>
        <w:t xml:space="preserve">The thresholds and constraints of MAF—the damaging-force threshold beyond which roughness worsens, the grain-set saturation floor below which a target is unachievable—test the algorithms' capacity to represent sharp changes and hard limits, and the algorithms differ in their handling. The tree ensembles represent sharp thresholds naturally through their splits, capturing an abrupt change in behaviour at a threshold value directly, an advantage for the threshold-bearing MAF response. The smooth learners represent a threshold as a steep but smooth change, which may over-smooth a genuinely abrupt threshold but is faithful to a gradual one, and the practitioner should judge whether the physical threshold is abrupt (favouring the trees) or gradual (favouring the smooth learners). The hard constraints—the unachievable target below the saturation floor—are not represented by any learner automatically but must be imposed on the optimization as constraints (Sections 12, 30), the model predicting the response and the optimization respecting the limit. The behavioural analysis thus recommends the tree ensembles for abrupt thresholds and the smooth learners for gradual ones, and it clarifies that hard constraints are handled not by the model but by the constrained optimization, a division of labour that the framework's separation of prediction and optimization supports.</w:t>
      </w:r>
    </w:p>
    <w:p>
      <w:pPr>
        <w:pStyle w:val="Heading2"/>
      </w:pPr>
      <w:r>
        <w:t xml:space="preserve">49.6 Behaviour Under Noise and Scarcity</w:t>
      </w:r>
    </w:p>
    <w:p>
      <w:pPr>
        <w:pStyle w:val="Normal"/>
      </w:pPr>
      <w:r>
        <w:t xml:space="preserve">The noise and scarcity of MAF data—the measurement and process variability, the small datasets—test the algorithms' robustness and data efficiency, and this is where the well-regularized, data-efficient methods most outperform the flexible-but-fragile. The Gaussian process and the support vector regression, well-regularized and data-efficient, handle noise and scarcity gracefully, the Gaussian process modelling the noise explicitly and quantifying the resulting uncertainty, the support vector regression tolerating noise through its epsilon-insensitivity and regularizing through its flatness objective. The tree ensembles, robust through their averaging, handle noise and scarcity capably, the random forest particularly robust and the boosting requiring care against overfitting the noise. The neural networks, most flexible and most fragile, handle noise and scarcity worst, prone to overfitting the noise on scarce data unless heavily regularized, per Section 37. The linear and low-order models, least flexible, are robust to noise and scarcity but too biased to capture the response. The behavioural analysis thus recommends the Gaussian process and support vector regression for the noisy, scarce MAF data, the tree ensembles as capable robust alternatives, and the neural networks only with heavy regularization or when data are relatively plentiful, confirming from the noise-and-scarcity behaviour the data-efficiency-based selection that the comparative synthesis of Section 9 concluded.</w:t>
      </w:r>
    </w:p>
    <w:p>
      <w:pPr>
        <w:pStyle w:val="Heading2"/>
      </w:pPr>
      <w:r>
        <w:t xml:space="preserve">49.7 The Consolidated Behavioural Guidance</w:t>
      </w:r>
    </w:p>
    <w:p>
      <w:pPr>
        <w:pStyle w:val="Normal"/>
      </w:pPr>
      <w:r>
        <w:t xml:space="preserve">Consolidating the feature-by-feature behavioural analysis yields guidance that refines the general comparison of Section 9 with specific attention to the MAF response features. For the faithful, smooth representation of the non-monotonic and saturating responses with reliable interpolation and calibrated uncertainty on scarce, noisy data, the Gaussian process is often the single most apt method, handling every characteristic feature well except abrupt thresholds. For peak accuracy on the interacting, threshold-bearing response with robustness to noise, the tree ensembles—the random forest for robustness and low effort, the boosting for accuracy with care—are strong, handling interactions and thresholds naturally though with stepped surfaces and no extrapolation. For a well-regularized, data-efficient, smooth baseline robust to noise, the support vector regression is dependable. And for maximal flexibility when data are relatively plentiful, the neural network excels, though it demands the most care on scarce, noisy data. The consolidated guidance is to select among these according to the response features that dominate the problem and the data characteristics—the Gaussian process for smoothness, uncertainty, and scarcity; the trees for interactions, thresholds, and robustness; the support vector regression for a regularized baseline; the neural network for flexibility with ample data—and, following the framework's comparative philosophy, to compare the candidates on honest held-out performance and to combine them by stacking where their diverse strengths warrant, so that the selection is grounded in both the understood behaviour on the characteristic features and the measured performance on the specific problem, uniting the behavioural understanding of this section with the empirical comparison that the framework prescribes.</w:t>
      </w:r>
    </w:p>
    <w:p>
      <w:pPr>
        <w:pStyle w:val="Heading1"/>
      </w:pPr>
      <w:r>
        <w:t xml:space="preserve">50. A Manifesto for Rigorous, Reproducible, and Cumulative Practice</w:t>
      </w:r>
    </w:p>
    <w:p>
      <w:pPr>
        <w:pStyle w:val="Heading2"/>
      </w:pPr>
      <w:r>
        <w:t xml:space="preserve">50.1 The Case for a Manifesto</w:t>
      </w:r>
    </w:p>
    <w:p>
      <w:pPr>
        <w:pStyle w:val="Normal"/>
      </w:pPr>
      <w:r>
        <w:t xml:space="preserve">The chapter has, throughout, urged rigorous practice—honest validation, uncertainty quantification, explainability, leakage prevention, physical grounding, and reproducible reporting—and it has argued (Sections 14, 43) that the field's advance depends less on new algorithms than on the more consistent adoption of this rigour. It is fitting to consolidate these urgings into a manifesto: a concise, forceful statement of the principles that would, if widely adopted, convert the field from a collection of promising but unreliable demonstrations into a cumulative, reliable, industrially trusted discipline. The manifesto is offered not as a novel prescription but as a consolidation of the practices the chapter has developed and justified, stated as principles for the community to adopt, and its purpose is to crystallize the chapter's methodological argument into a memorable and actionable form that might influence the practice of the field.</w:t>
      </w:r>
    </w:p>
    <w:p>
      <w:pPr>
        <w:pStyle w:val="Heading2"/>
      </w:pPr>
      <w:r>
        <w:t xml:space="preserve">50.2 Principle One: Ground the Modelling in Physics</w:t>
      </w:r>
    </w:p>
    <w:p>
      <w:pPr>
        <w:pStyle w:val="Normal"/>
      </w:pPr>
      <w:r>
        <w:t xml:space="preserve">The first principle is that data-driven models of MAF should be grounded in the physics of the process—their features engineered from physical understanding, their constraints imposed from physical law, their responses chosen for physical relevance, and their predictions checked against physical expectation. A model ungrounded in physics may fit the data yet violate the physics and fail under extrapolation, and its predictions cannot be trusted beyond the data or interpreted for insight. The grounding in physics, developed in Sections 16, 17, 25, and 28, is what makes a data-driven model physically faithful, interpretable, and reliable under extrapolation, and its adoption—the engineering of physical features, the imposition of physical constraints, the checking against physical expectation—is the first principle of rigorous MAF modelling, converting the model from an abstract regression into a physically grounded representation of the process.</w:t>
      </w:r>
    </w:p>
    <w:p>
      <w:pPr>
        <w:pStyle w:val="Heading2"/>
      </w:pPr>
      <w:r>
        <w:t xml:space="preserve">50.3 Principle Two: Design the Experiments and Control the Data</w:t>
      </w:r>
    </w:p>
    <w:p>
      <w:pPr>
        <w:pStyle w:val="Normal"/>
      </w:pPr>
      <w:r>
        <w:t xml:space="preserve">The second principle is that the data on which models depend should be generated by designed experiments and controlled for quality—the experiments designed to fill the space efficiently, the confounders controlled and recorded, the measurements calibrated and replicated, and the noise floor established. The most sophisticated model trained on poorly designed, uncontrolled, unreplicated data is unreliable, because the data limit what any model can learn, and the discipline of designed experimentation and data control, developed in Sections 6, 7, and 26, is what makes the data adequate to reliable modelling. Its adoption—the space-filling or sequential design, the confounder control and recording, the calibrated replicated measurement, the noise-floor establishment—is the second principle, ensuring that the data on which everything depends are worthy of the modelling built upon them.</w:t>
      </w:r>
    </w:p>
    <w:p>
      <w:pPr>
        <w:pStyle w:val="Heading2"/>
      </w:pPr>
      <w:r>
        <w:t xml:space="preserve">50.4 Principle Three: Validate Honestly and Prevent Leakage</w:t>
      </w:r>
    </w:p>
    <w:p>
      <w:pPr>
        <w:pStyle w:val="Normal"/>
      </w:pPr>
      <w:r>
        <w:t xml:space="preserve">The third principle is that models should be validated honestly, on genuinely held-out data, with nested cross-validation where tuning is involved, with multiple metrics referred to the noise floor, and with vigilant prevention of leakage at every data-dependent step. A model validated dishonestly—on data used in its construction, without nested cross-validation, with leakage—reports an optimistic performance that fails in deployment, and the honest validation and leakage prevention, developed in Sections 10 and 21, are what make the reported performance trustworthy. Their adoption—the held-out validation, the nested cross-validation, the multiple metrics against the noise floor, the leakage prevention—is the third principle, ensuring that the reported performance reflects the deployed performance and that the model's assessment is honest rather than flattering.</w:t>
      </w:r>
    </w:p>
    <w:p>
      <w:pPr>
        <w:pStyle w:val="Heading2"/>
      </w:pPr>
      <w:r>
        <w:t xml:space="preserve">50.5 Principle Four: Quantify Uncertainty and Explain Predictions</w:t>
      </w:r>
    </w:p>
    <w:p>
      <w:pPr>
        <w:pStyle w:val="Normal"/>
      </w:pPr>
      <w:r>
        <w:t xml:space="preserve">The fourth principle is that models should quantify their predictive uncertainty and explain their predictions—the uncertainty distinguishing confident interpolation from uncertain extrapolation and guiding experimentation and control, the explanation rendering the model interpretable, checkable against physics, and trustworthy. A model that predicts without uncertainty offers no guidance on when to trust it, and a model that predicts without explanation is an unauditable black box, and the uncertainty quantification and explainability, developed in Section 11, are what make the model's predictions trustworthy and instructive. Their adoption—the quantification and calibration of uncertainty, the feature importance and partial dependence, the local explanation—is the fourth principle, converting the model from an opaque, overconfident oracle into a transparent, uncertainty-aware, auditable instrument of engineering judgment.</w:t>
      </w:r>
    </w:p>
    <w:p>
      <w:pPr>
        <w:pStyle w:val="Heading2"/>
      </w:pPr>
      <w:r>
        <w:t xml:space="preserve">50.6 Principle Five: Report Reproducibly and Share Cumulatively</w:t>
      </w:r>
    </w:p>
    <w:p>
      <w:pPr>
        <w:pStyle w:val="Normal"/>
      </w:pPr>
      <w:r>
        <w:t xml:space="preserve">The fifth principle is that studies should report reproducibly and share cumulatively—the methodology reported in full, the data and code shared where possible, the models and their lineage versioned, and the datasets contributed to shared benchmarks. A study reported irreproducibly cannot be verified or built upon, and a field that does not share its data and methods cannot progress cumulatively, and the reproducible reporting and cumulative sharing, urged in Sections 14, 21, and 22, are what convert individual studies into a cumulative discipline. Their adoption—the full methodological reporting, the sharing of data and code, the versioning of models and lineage, the contribution to shared benchmarks—is the fifth principle, and it is the one most requiring community rather than individual action, because the benchmarks and the sharing that enable cumulative progress are collective goods that the community must jointly provide. Its adoption would address the fragmentation and irreproducibility that, as Section 43 argued, most impede the field's maturation, and it would convert the scattered demonstrations into the connected, cumulative, reliable discipline that industrial trust requires.</w:t>
      </w:r>
    </w:p>
    <w:p>
      <w:pPr>
        <w:pStyle w:val="Heading2"/>
      </w:pPr>
      <w:r>
        <w:t xml:space="preserve">50.7 The Manifesto Consolidated</w:t>
      </w:r>
    </w:p>
    <w:p>
      <w:pPr>
        <w:pStyle w:val="Normal"/>
      </w:pPr>
      <w:r>
        <w:t xml:space="preserve">The five principles—ground the modelling in physics, design the experiments and control the data, validate honestly and prevent leakage, quantify uncertainty and explain predictions, and report reproducibly and share cumulatively—consolidate the chapter's methodological argument into a manifesto for rigorous, reproducible, and cumulative practice. Their adoption would convert the field from its current state of promising but uneven demonstration into the mature, reliable, industrially trusted discipline that the chapter has held out as its aspiration, and it would do so less through new algorithms—which are largely adequate—than through the more consistent application of the rigour that the principles specify. The manifesto is the chapter's final methodological word: that the reliable data-driven modelling, optimization, and control of magnetic abrasive finishing, and of manufacturing more broadly, depends above all on the disciplined, physically grounded, statistically honest, uncertainty-aware, and reproducible practice that the five principles specify, and that the field's advance toward its intelligent, integrated future is, in large measure, the advance toward the more consistent adoption of this rigorous practice. The chapter offers the framework, the methods, and the manifesto in the conviction that their integration—the physics, the statistics, the computation, and the rigour—is the route to finishing processes that are not only accurately predicted and intelligently optimized but reliably understood and trusted, and that this integration, exemplified for magnetic abrasive finishing, is the model for the reliable data-driven transformation of manufacturing that the age of data and machine learning makes possible and that engineering rigour makes trustworthy.</w:t>
      </w:r>
    </w:p>
    <w:p>
      <w:pPr>
        <w:pStyle w:val="Heading1"/>
      </w:pPr>
      <w:r>
        <w:t xml:space="preserve">51. Extended Treatment: Measurement Systems Analysis and Data Quality Assurance</w:t>
      </w:r>
    </w:p>
    <w:p>
      <w:pPr>
        <w:pStyle w:val="Heading2"/>
      </w:pPr>
      <w:r>
        <w:t xml:space="preserve">51.1 The Foundation Beneath the Noise Floor</w:t>
      </w:r>
    </w:p>
    <w:p>
      <w:pPr>
        <w:pStyle w:val="Normal"/>
      </w:pPr>
      <w:r>
        <w:t xml:space="preserve">The noise floor, invoked repeatedly as the limit on model accuracy (Sections 4, 6, 11, 19, 27, 45), is itself the output of a measurement system, and the quality of that measurement system determines whether the noise floor is a faithful estimate of the process variability or an artefact inflated by measurement deficiency. Measurement systems analysis, the discipline of characterizing and improving the measurement system itself, therefore underlies the whole modelling enterprise, and this section develops it because the reliability of every roughness value—and hence of every model built upon them—depends on the measurement system that produced it. A measurement system that is imprecise, biased, or unstable corrupts the data at its source, and no downstream modelling can repair the corruption; the discipline of measurement systems analysis is what establishes and maintains the measurement quality on which everything rests.</w:t>
      </w:r>
    </w:p>
    <w:p>
      <w:pPr>
        <w:pStyle w:val="Heading2"/>
      </w:pPr>
      <w:r>
        <w:t xml:space="preserve">51.2 Precision, Bias, and Their Components</w:t>
      </w:r>
    </w:p>
    <w:p>
      <w:pPr>
        <w:pStyle w:val="Normal"/>
      </w:pPr>
      <w:r>
        <w:t xml:space="preserve">A measurement system's quality has two principal aspects: its precision, the closeness of repeated measurements of the same quantity, and its bias, the systematic difference between the measured and the true value. Precision decomposes into repeatability—the variation when the same operator measures the same specimen with the same instrument under the same conditions—and reproducibility—the additional variation introduced by different operators, instruments, or conditions. For roughness measurement, repeatability reflects the instrument's inherent variation and the specimen's spatial non-uniformity within the measured region, while reproducibility reflects the variation across operators, across instruments, and across the choices in the measurement chain (Section 26). Bias reflects systematic errors—a miscalibrated instrument, a consistent difference between the stylus and optical methods, a systematic effect of the traverse direction on an anisotropic surface. The characterization of these components—by repeated measurements of reference and production specimens under varied conditions—quantifies the measurement system's precision and bias and identifies their sources, and it is the prerequisite to establishing a faithful noise floor and to improving the measurement where it limits the modelling.</w:t>
      </w:r>
    </w:p>
    <w:p>
      <w:pPr>
        <w:pStyle w:val="Heading2"/>
      </w:pPr>
      <w:r>
        <w:t xml:space="preserve">51.3 The Gauge Study for Roughness Measurement</w:t>
      </w:r>
    </w:p>
    <w:p>
      <w:pPr>
        <w:pStyle w:val="Normal"/>
      </w:pPr>
      <w:r>
        <w:t xml:space="preserve">The characterization of a measurement system is performed by a gauge study, in which multiple operators measure multiple specimens multiple times, and the resulting data are analysed to partition the total variation into the contributions of the specimen-to-specimen variation (the genuine signal), the repeatability (the instrument-and-position variation), and the reproducibility (the operator-and-condition variation). A good measurement system for roughness modelling is one in which the measurement variation—repeatability plus reproducibility—is small relative to the specimen-to-specimen variation that the modelling seeks to explain, so that the measurement resolves the differences that matter; a system in which the measurement variation is comparable to the specimen variation cannot resolve the signal and must be improved before reliable modelling is possible. The gauge study for roughness measurement, adapting the general methodology to the specifics of roughness—the spatial non-uniformity that contributes to repeatability, the measurement-chain choices that contribute to reproducibility—establishes whether the measurement system is adequate to the modelling and identifies where it must be improved, and its performance is a prerequisite to the acquisition of trustworthy data that Section 6 assumed.</w:t>
      </w:r>
    </w:p>
    <w:p>
      <w:pPr>
        <w:pStyle w:val="Heading2"/>
      </w:pPr>
      <w:r>
        <w:t xml:space="preserve">51.4 Improving the Measurement System</w:t>
      </w:r>
    </w:p>
    <w:p>
      <w:pPr>
        <w:pStyle w:val="Normal"/>
      </w:pPr>
      <w:r>
        <w:t xml:space="preserve">Where the gauge study reveals inadequate measurement quality, the system must be improved before reliable modelling proceeds, and the improvement targets the identified sources of variation. Excessive repeatability variation from spatial non-uniformity is addressed by measuring more locations and averaging, per Section 6, and by measuring larger or more representative regions. Excessive repeatability from the instrument is addressed by maintenance, calibration, and, if necessary, a better instrument. Excessive reproducibility from operators is addressed by standardizing and documenting the measurement procedure and training the operators to follow it consistently, per Section 26. Excessive reproducibility from measurement-chain choices is addressed by fixing the chain—the instrument, the cut-off, the evaluation length, the sampling—for the whole study. Bias is addressed by calibration against traceable standards, per Section 26, and by choosing a single measurement method rather than mixing methods with systematic differences. These improvements, targeting the sources of variation the gauge study identifies, reduce the measurement variation and hence the noise floor, extending the accuracy that models can achieve and ensuring that the data faithfully reflect the process rather than the measurement's deficiencies.</w:t>
      </w:r>
    </w:p>
    <w:p>
      <w:pPr>
        <w:pStyle w:val="Heading2"/>
      </w:pPr>
      <w:r>
        <w:t xml:space="preserve">51.5 Ongoing Measurement Quality Control</w:t>
      </w:r>
    </w:p>
    <w:p>
      <w:pPr>
        <w:pStyle w:val="Normal"/>
      </w:pPr>
      <w:r>
        <w:t xml:space="preserve">Measurement quality, once established, must be maintained over the life of a data-acquisition campaign or a production capability, because measurement systems drift—instruments age and decalibrate, procedures erode, operators change—and undetected drift corrupts the data insidiously. Ongoing measurement quality control maintains the quality by periodic re-calibration against traceable standards, by periodic re-measurement of reference specimens to detect drift in the measurement system, and by monitoring the measurement variation over time to detect its degradation. These controls, analogous to the model monitoring of Section 22 but applied to the measurement system, detect the drift and degradation that would otherwise silently corrupt the data, and they trigger the re-calibration or re-standardization that restores the quality. The ongoing measurement quality control extends the measurement-systems-analysis discipline from a one-time characterization to a sustained maintenance, ensuring that the measurement quality established at the outset persists over the life of the data acquisition and that the data continue to reflect the process faithfully rather than a drifting measurement, a maintenance without which the data quality established initially decays and the modelling built upon it decays with it.</w:t>
      </w:r>
    </w:p>
    <w:p>
      <w:pPr>
        <w:pStyle w:val="Heading2"/>
      </w:pPr>
      <w:r>
        <w:t xml:space="preserve">51.6 Measurement Quality as the Bedrock</w:t>
      </w:r>
    </w:p>
    <w:p>
      <w:pPr>
        <w:pStyle w:val="Normal"/>
      </w:pPr>
      <w:r>
        <w:t xml:space="preserve">Measurement systems analysis and ongoing quality control constitute the bedrock beneath the whole modelling framework, because the data on which everything depends are the output of the measurement system, and their quality is bounded by its quality. The framework's insistence on data quality (Sections 6, 8, 22) resolves, at its foundation, into the insistence on measurement quality, and the noise floor that limits every model is the measurement system's precision made manifest. A framework built upon a poor measurement system is built upon sand, its data corrupted at the source and its models unreliable however sophisticated; a framework built upon a characterized, adequate, maintained measurement system is built upon rock, its data faithful and its models limited only by the genuine process variability. The measurement-systems-analysis discipline developed here is thus not a peripheral technicality but the foundation of the framework's data quality, and its practice—the gauge study, the improvement, the ongoing control—is the bedrock practice upon which the reliability of all the modelling, optimization, and control built above it ultimately rests, completing the framework's foundation in the traceable, characterized, maintained measurement of the surface that is, in the end, the physical reality that all the models seek to predict.</w:t>
      </w:r>
    </w:p>
    <w:p>
      <w:pPr>
        <w:pStyle w:val="Heading1"/>
      </w:pPr>
      <w:r>
        <w:t xml:space="preserve">52. Extended Treatment: Configuration-Specific Modelling Considerations</w:t>
      </w:r>
    </w:p>
    <w:p>
      <w:pPr>
        <w:pStyle w:val="Heading2"/>
      </w:pPr>
      <w:r>
        <w:t xml:space="preserve">52.1 One Framework, Many Configurations</w:t>
      </w:r>
    </w:p>
    <w:p>
      <w:pPr>
        <w:pStyle w:val="Normal"/>
      </w:pPr>
      <w:r>
        <w:t xml:space="preserve">The variants of magnetic abrasive finishing surveyed in Section 2—plane, cylindrical, internal, and the assisted variants—share the framework but differ in the physics, kinematics, and dominant parameters that the framework must be instantiated to reflect, and this section develops the configuration-specific considerations because a model built for one configuration does not transfer directly to another and because the instantiation of the framework to each configuration requires attention to its specifics. The section examines, for each principal configuration, the distinctive physics and parameters, the modelling considerations they impose, and the responses of interest, so that the practitioner instantiating the framework for a particular configuration attends to its specifics rather than applying a generic model that ignores them. The configuration-specific development complements the process-transferability discussion of Section 41 by treating the variation within MAF that parallels the variation across the wider family of finishing processes.</w:t>
      </w:r>
    </w:p>
    <w:p>
      <w:pPr>
        <w:pStyle w:val="Heading2"/>
      </w:pPr>
      <w:r>
        <w:t xml:space="preserve">52.2 Plane MAF Modelling</w:t>
      </w:r>
    </w:p>
    <w:p>
      <w:pPr>
        <w:pStyle w:val="Normal"/>
      </w:pPr>
      <w:r>
        <w:t xml:space="preserve">Plane MAF, finishing flat surfaces between poles with the workpiece translating or the poles orbiting, has a physics dominated by the field distribution across the flat gap and the kinematics of the translation or orbit, and its modelling attends to these specifics. The field distribution across the flat pole face, with its stronger gradients at the edges (Section 16), produces a finishing pressure that varies across the surface, so that the uniformity of the finish is a response of interest alongside the average roughness, and the modelling may need to predict the spatial variation, not only the point roughness. The kinematics of the translation or orbit govern the trajectory density and isotropy across the flat surface (Section 17), so that the feed and orbit parameters enter the model and the isotropy is a response of interest. The plane configuration's specifics—the edge-concentrated field, the translation or orbit kinematics, the spatial uniformity and isotropy responses—instantiate the framework for plane MAF, and a model attentive to them predicts the flat-surface finish and its uniformity faithfully, while a generic model ignoring them misses the spatial and isotropy aspects that the flat configuration makes salient.</w:t>
      </w:r>
    </w:p>
    <w:p>
      <w:pPr>
        <w:pStyle w:val="Heading2"/>
      </w:pPr>
      <w:r>
        <w:t xml:space="preserve">52.3 Cylindrical MAF Modelling</w:t>
      </w:r>
    </w:p>
    <w:p>
      <w:pPr>
        <w:pStyle w:val="Normal"/>
      </w:pPr>
      <w:r>
        <w:t xml:space="preserve">Cylindrical MAF, finishing external cylindrical surfaces by rotating the workpiece between poles with axial oscillation, has a physics dominated by the field across the cylindrical gap and the kinematics of the rotation and oscillation, and its modelling attends to these. The rotation sets the relative velocity and the circumferential trajectories, and the axial oscillation superimposes the axial motion that produces the cross-hatched, isotropic finish (Section 17), so that the rotation speed and the oscillation amplitude and frequency enter the model and the isotropy is a response of interest. The cylindrical geometry, with the field wrapping the cylinder, produces a finishing pressure that may vary axially, so that the axial uniformity is a response of interest, especially for long shafts. The cylindrical configuration's specifics—the rotation-and-oscillation kinematics, the cross-hatched isotropic finish, the axial uniformity—instantiate the framework for cylindrical MAF, the configuration of the worked example (Section 19) and a common industrial application, and a model attentive to them predicts the cylindrical finish, its isotropy, and its axial uniformity faithfully.</w:t>
      </w:r>
    </w:p>
    <w:p>
      <w:pPr>
        <w:pStyle w:val="Heading2"/>
      </w:pPr>
      <w:r>
        <w:t xml:space="preserve">52.4 Internal MAF Modelling</w:t>
      </w:r>
    </w:p>
    <w:p>
      <w:pPr>
        <w:pStyle w:val="Normal"/>
      </w:pPr>
      <w:r>
        <w:t xml:space="preserve">Internal MAF, finishing the bores of tubes and capillaries by driving an internal magnetic abrasive medium under an external rotating field, has a physics dominated by the coupling of the external field to the internal medium through the tube wall and the kinematics of the medium's motion within the bore, and its modelling attends to these distinctive specifics. The coupling through the tube wall, whose material and thickness attenuate and shape the field reaching the internal medium, introduces the tube wall as a determinant of the internal finishing force, so that the wall material and thickness enter the model as parameters distinct from those of the external configurations. The confinement of the medium within the bore governs its motion and its engagement with the internal surface, so that the bore geometry enters the model and the uniformity along the bore is a critical response, especially for long, slender tubes. The internal configuration's specifics—the field coupling through the wall, the wall material and thickness parameters, the bore geometry, the along-bore uniformity—instantiate the framework for internal MAF, the configuration of great value for otherwise-inaccessible internal surfaces (Section 2), and a model attentive to them predicts the internal finish and its uniformity faithfully, while a model built for an external configuration, ignoring the wall coupling and the bore confinement, does not transfer to the internal configuration at all.</w:t>
      </w:r>
    </w:p>
    <w:p>
      <w:pPr>
        <w:pStyle w:val="Heading2"/>
      </w:pPr>
      <w:r>
        <w:t xml:space="preserve">52.5 Assisted-Variant Modelling</w:t>
      </w:r>
    </w:p>
    <w:p>
      <w:pPr>
        <w:pStyle w:val="Normal"/>
      </w:pPr>
      <w:r>
        <w:t xml:space="preserve">The assisted variants—vibration-assisted, electrolytic, and ultrasonic-assisted MAF—superimpose an additional energy or mechanism on the base MAF, and their modelling attends to the additional parameters and physics the assistance introduces. Vibration-assisted MAF superimposes an oscillation that enhances the abrasive circulation and engagement (Section 2), introducing the vibration amplitude and frequency as parameters whose interaction with the base parameters the model must capture. Electrolytic MAF couples electrochemical dissolution with the mechanical abrasion, introducing the electrochemical parameters—the voltage, the electrolyte—and the coupling between the electrochemical and mechanical removal, which the model must represent, and extending the physics beyond the purely mechanical. Ultrasonic-assisted MAF superimposes high-frequency energy that augments the abrasion, introducing the ultrasonic parameters. The assisted variants' specifics—the additional parameters, the additional physics, and the coupling between the assistance and the base MAF—instantiate the framework for each variant, and a model attentive to them captures the assisted finishing that the base-MAF model, lacking the assistance parameters and physics, cannot. The assisted variants illustrate, within MAF, the general principle that the framework must be instantiated to the configuration's physics and parameters, and their modelling extends the framework to the enhanced processes that the assistance enables.</w:t>
      </w:r>
    </w:p>
    <w:p>
      <w:pPr>
        <w:pStyle w:val="Heading2"/>
      </w:pPr>
      <w:r>
        <w:t xml:space="preserve">52.6 Cross-Configuration Transfer Within MAF</w:t>
      </w:r>
    </w:p>
    <w:p>
      <w:pPr>
        <w:pStyle w:val="Normal"/>
      </w:pPr>
      <w:r>
        <w:t xml:space="preserve">The configuration-specific considerations bear on the cross-configuration transfer discussed in Sections 14 and 29, clarifying its promise and its limits within MAF. The configurations share the base physics of the magnetic abrasive brush and its abrasion of the surface, so that knowledge of this base physics—the brush formation, the abrasion mechanics, the material's finishing response—may transfer across configurations that share it. But the configurations differ in the field distribution, the kinematics, the additional parameters, and the responses, so that the configuration-specific aspects do not transfer and must be learned afresh for each configuration, and a naive transfer that ignores the configuration-specific differences risks the negative transfer of Section 29. The cross-configuration transfer within MAF is thus promising for the shared base physics and material response but limited by the configuration-specific differences, and its realization requires the careful separation of the transferable base knowledge from the configuration-specific knowledge, transferring the former and learning the latter, and verifying empirically that the transfer helps rather than harms. The configuration-specific development of this section thus both instantiates the framework for each configuration and clarifies the cross-configuration transfer, showing that the transfer within MAF, like the transfer across the wider family of Section 41, is a matter of separating the shared from the specific and transferring only the shared, a judgment that the configuration-specific understanding developed here informs and that the framework's rigour governs.</w:t>
      </w:r>
    </w:p>
    <w:p>
      <w:pPr>
        <w:pStyle w:val="Heading1"/>
      </w:pPr>
      <w:r>
        <w:t xml:space="preserve">53. Extended Treatment: End-to-End Reasoning Through a Second Worked Scenario</w:t>
      </w:r>
    </w:p>
    <w:p>
      <w:pPr>
        <w:pStyle w:val="Heading2"/>
      </w:pPr>
      <w:r>
        <w:t xml:space="preserve">53.1 A Contrasting Scenario</w:t>
      </w:r>
    </w:p>
    <w:p>
      <w:pPr>
        <w:pStyle w:val="Normal"/>
      </w:pPr>
      <w:r>
        <w:t xml:space="preserve">The worked example of Section 19 optimized a single-material cylindrical process for minimum time to a roughness target; this section develops a contrasting scenario—the internal finishing of a batch of thin-walled non-ferromagnetic medical tubing to a roughness window, with the objectives of hitting the window consistently and preserving the delicate tube—to exercise the framework's reasoning on a different configuration, a different objective, and different constraints, and thereby to demonstrate the framework's adaptability and to reinforce, through a second concrete instance, the reasoning that the framework prescribes. The scenario is illustrative, but its reasoning follows the framework faithfully, and it complements the first worked example by exercising the internal configuration (Section 52), the target-window objective (Section 12), and the integrity-preservation constraint (Sections 3, 20) that the first example did not emphasize.</w:t>
      </w:r>
    </w:p>
    <w:p>
      <w:pPr>
        <w:pStyle w:val="Heading2"/>
      </w:pPr>
      <w:r>
        <w:t xml:space="preserve">53.2 Requirement Capture for the Tubing Scenario</w:t>
      </w:r>
    </w:p>
    <w:p>
      <w:pPr>
        <w:pStyle w:val="Normal"/>
      </w:pPr>
      <w:r>
        <w:t xml:space="preserve">The scenario begins, per the framework's first phase (Section 34), with requirement capture. The functional requirement is a roughness within a window—neither too rough, which would impair the tube's fluid-handling and cleanability, nor too smooth, since some texture may be functionally required—so that the objective is to hit the window consistently, a target-window rather than a minimize-roughness objective (Section 12). The workpiece is thin-walled non-ferromagnetic medical tubing, whose delicacy imposes a stringent integrity constraint—the finishing must not damage, distort, or over-thin the wall—and whose non-ferromagnetic character and internal geometry dictate the internal MAF configuration with its field coupling through the wall (Section 52). The batch context, with many tubes to finish, makes consistency across the batch a critical response and the per-tube efficiency economically important (Section 33). The requirement capture thus establishes a target-window objective, an integrity-preservation constraint, an internal configuration, and a consistency-and-efficiency context that together frame a modelling problem markedly different from the first example's, and the framework's adaptation to this different framing is what the scenario demonstrates.</w:t>
      </w:r>
    </w:p>
    <w:p>
      <w:pPr>
        <w:pStyle w:val="Heading2"/>
      </w:pPr>
      <w:r>
        <w:t xml:space="preserve">53.3 Design, Data, and the Configuration-Specific Parameters</w:t>
      </w:r>
    </w:p>
    <w:p>
      <w:pPr>
        <w:pStyle w:val="Normal"/>
      </w:pPr>
      <w:r>
        <w:t xml:space="preserve">The experimental design and data acquisition, per the framework's second phase (Section 34), attend to the internal configuration's specific parameters (Section 52). The parameters include the base MAF parameters—the external field, the rotation, the medium properties, the time—and the internal-configuration-specific parameters—the tube wall material and thickness, which attenuate the field reaching the internal medium, and the bore geometry, which confines the medium's motion. A space-filling design spans these parameters, with the tube wall thickness varied across the batch's range so that the model can account for it, and with replicates to establish the noise floor. The responses measured include the roughness, measured within the bore by a method suited to the internal geometry (Section 26), and the integrity responses—the wall thinning and any distortion—that the integrity constraint requires, measured by appropriate means. The design and data thus instantiate the framework for the internal configuration, capturing the configuration-specific parameters and the integrity responses that the scenario's constraints demand, and establishing the data on which the model for this different configuration and objective is built.</w:t>
      </w:r>
    </w:p>
    <w:p>
      <w:pPr>
        <w:pStyle w:val="Heading2"/>
      </w:pPr>
      <w:r>
        <w:t xml:space="preserve">53.4 Modelling the Window and the Integrity</w:t>
      </w:r>
    </w:p>
    <w:p>
      <w:pPr>
        <w:pStyle w:val="Normal"/>
      </w:pPr>
      <w:r>
        <w:t xml:space="preserve">The modelling, per the framework's fourth phase (Section 34), builds models for the target-window objective and the integrity constraint. The roughness model predicts the finished roughness from the parameters, as before, but its use is different: rather than being minimized, it is used to find the parameters that place the roughness within the window, so that the optimization seeks the window rather than the minimum (Section 12). An integrity model predicts the wall thinning and distortion from the parameters, so that the optimization can constrain them within the integrity limits (Sections 12, 20). Both models are built and validated by the framework's methods—compared across algorithms, validated by nested cross-validation, uncertainty-quantified, and interrogated for physical plausibility (Sections 9, 10, 11)—with the uncertainty especially important for the integrity model, since a confident prediction that the integrity is preserved is required before finishing the delicate tubes. The modelling thus produces validated roughness and integrity models suited to the window objective and the integrity constraint, demonstrating the framework's accommodation of a multi-response, constrained problem different from the first example's single-response minimization.</w:t>
      </w:r>
    </w:p>
    <w:p>
      <w:pPr>
        <w:pStyle w:val="Heading2"/>
      </w:pPr>
      <w:r>
        <w:t xml:space="preserve">53.5 Optimization to the Window Under the Integrity Constraint</w:t>
      </w:r>
    </w:p>
    <w:p>
      <w:pPr>
        <w:pStyle w:val="Normal"/>
      </w:pPr>
      <w:r>
        <w:t xml:space="preserve">The optimization, per the framework's fifth phase (Section 34), finds the parameters that place the roughness within the window while satisfying the integrity constraint and maximizing the consistency and efficiency. The objective is formulated to hit the window centre robustly—minimizing the predicted deviation from the window centre and its sensitivity to the parameter and tube-wall variation, per the robustness consideration of Sections 23 and 30—subject to the integrity constraint that the predicted wall thinning and distortion, with their uncertainty, remain within the limits. A constrained optimization over the surrogates finds the parameters achieving this, and the robustness formulation ensures that the roughness stays within the window despite the batch's tube-wall variation, delivering the consistency the scenario requires. The optimization is confirmed by finishing confirmation tubes and verifying that their roughness falls within the window, their integrity is preserved, and their consistency across the confirmation batch is adequate. The optimization thus delivers a validated, confirmed recipe that hits the window consistently while preserving the delicate tubes, demonstrating the framework's delivery of a robust, constrained, multi-response optimization different from the first example's minimum-time optimization.</w:t>
      </w:r>
    </w:p>
    <w:p>
      <w:pPr>
        <w:pStyle w:val="Heading2"/>
      </w:pPr>
      <w:r>
        <w:t xml:space="preserve">53.6 Lessons from the Second Scenario</w:t>
      </w:r>
    </w:p>
    <w:p>
      <w:pPr>
        <w:pStyle w:val="Normal"/>
      </w:pPr>
      <w:r>
        <w:t xml:space="preserve">The second scenario reinforces several lessons that the first example established and adds others specific to its different framing. It reinforces that the framework's phases—define, design, preprocess, model, optimize, confirm—structure the reasoning regardless of the specific problem, and that the physical grounding, the honest validation, the uncertainty quantification, and the experimental confirmation govern every instance. It adds that the framework accommodates diverse objectives—the target window as readily as the minimization—by formulating the optimization objective to match, and diverse constraints—the integrity preservation—by modelling the constrained quantities and imposing the constraints on the optimization. It adds that the framework accommodates diverse configurations—the internal MAF with its wall coupling and bore confinement—by instantiating the configuration-specific parameters and responses (Section 52). And it adds that the framework accommodates the robustness and consistency that a batch context demands by formulating the objective for robustness (Sections 23, 30). The second scenario thus demonstrates the framework's adaptability across objectives, constraints, configurations, and contexts, and it reinforces, through a second concrete instance contrasting with the first, that the framework is not a rigid recipe but an adaptable methodology whose phases and disciplines structure the reasoning while its content is instantiated to the specific problem—the general character that Section 41 identified and that the two contrasting worked instances, the first and this second, together demonstrate in the concrete detail that consolidates the understanding of the framework's application across the diversity of problems that magnetic abrasive finishing, in its several configurations, objectives, and contexts, presents to the practitioner who would model, optimize, and control it intelligently.</w:t>
      </w:r>
    </w:p>
    <w:p>
      <w:pPr>
        <w:pStyle w:val="Heading1"/>
      </w:pPr>
      <w:r>
        <w:t xml:space="preserve">54. Extended Treatment: Frequently Encountered Difficulties and Their Remedies</w:t>
      </w:r>
    </w:p>
    <w:p>
      <w:pPr>
        <w:pStyle w:val="Heading2"/>
      </w:pPr>
      <w:r>
        <w:t xml:space="preserve">54.1 The Value of a Troubleshooting Perspective</w:t>
      </w:r>
    </w:p>
    <w:p>
      <w:pPr>
        <w:pStyle w:val="Normal"/>
      </w:pPr>
      <w:r>
        <w:t xml:space="preserve">Much of the chapter has developed the framework prescriptively, specifying what should be done; this final extended treatment adopts a troubleshooting perspective, cataloguing the difficulties that practitioners frequently encounter when applying the framework and prescribing their remedies, because the recognition and remedy of difficulties is as much a part of competent practice as the correct execution of the prescribed steps. The difficulties catalogued here recur across data-driven MAF modelling projects, and their symptoms, causes, and remedies, drawn from the framework's principles and consolidated in a troubleshooting form, equip the practitioner to diagnose and resolve the problems that will inevitably arise, converting the framework from a prescription for the ideal case into a resource for the real case in which difficulties occur and must be overcome.</w:t>
      </w:r>
    </w:p>
    <w:p>
      <w:pPr>
        <w:pStyle w:val="Heading2"/>
      </w:pPr>
      <w:r>
        <w:t xml:space="preserve">54.2 The Model That Performs Well in Development but Fails in Deployment</w:t>
      </w:r>
    </w:p>
    <w:p>
      <w:pPr>
        <w:pStyle w:val="Normal"/>
      </w:pPr>
      <w:r>
        <w:t xml:space="preserve">A frequently encountered and dispiriting difficulty is the model that performs excellently in development yet fails when deployed. Its most common cause is data leakage (Section 21)—the contamination of the development performance estimate by information from the held-out data, through scaling or imputation fitted on the full dataset, through feature selection using the held-out data, or through tuning on the test set—so that the development performance is optimistic and the deployment performance reveals the truth. The remedy is the disciplined, leakage-free pipeline (Sections 8, 21), fitting every data-dependent transformation within the training partition and applying it to the held-out data using only training-derived quantities, and validating with nested cross-validation. A second cause is a distribution shift between the development data and the deployment conditions—the deployed process operating outside the development data's range or under drifted conditions—so that the deployment is an extrapolation the development performance did not test; the remedy is to ensure the development data span the deployment conditions and to monitor for drift (Section 22). The difficulty, dispiriting when encountered, is preventable by the leakage-free pipeline and the coverage-and-monitoring discipline, and its occurrence is a signal to audit the pipeline for leakage and the data for coverage.</w:t>
      </w:r>
    </w:p>
    <w:p>
      <w:pPr>
        <w:pStyle w:val="Heading2"/>
      </w:pPr>
      <w:r>
        <w:t xml:space="preserve">54.3 The Model That Cannot Beat a Simple Baseline</w:t>
      </w:r>
    </w:p>
    <w:p>
      <w:pPr>
        <w:pStyle w:val="Normal"/>
      </w:pPr>
      <w:r>
        <w:t xml:space="preserve">A second difficulty is the elaborate model that cannot outperform a simple baseline—a linear model or a k-nearest-neighbours predictor. This difficulty, far from a failure, is informative: it indicates either that the response is simpler than assumed, so that the elaborate model's complexity is unwarranted and the baseline suffices, or that the data are too scarce or noisy to support the elaborate model, so that its complexity is overfitting the noise the baseline ignores, or that the elaborate model is poorly configured or tuned. The remedy is diagnosis: examine whether the response is genuinely simple (in which case the baseline is the right model), whether the data are inadequate for the elaborate model (in which case more data or a simpler model is needed), or whether the elaborate model is misconfigured (in which case it should be corrected and retuned). The inclusion of simple baselines in the comparison (Section 9), far from a formality, provides exactly this diagnostic reference, and the difficulty of failing to beat them is a valuable signal that guides the modelling toward the appropriate complexity, embodying the framework's insistence on comparison and on matching complexity to the data and the response.</w:t>
      </w:r>
    </w:p>
    <w:p>
      <w:pPr>
        <w:pStyle w:val="Heading2"/>
      </w:pPr>
      <w:r>
        <w:t xml:space="preserve">54.4 The Model Whose Predictions Contradict the Physics</w:t>
      </w:r>
    </w:p>
    <w:p>
      <w:pPr>
        <w:pStyle w:val="Normal"/>
      </w:pPr>
      <w:r>
        <w:t xml:space="preserve">A third difficulty is the model whose predictions, though accurate on the data, contradict the physics—predicting, say, that roughness decreases as finishing time decreases, or violating a known monotonicity or bound. This difficulty, revealed by the explainability and physical-plausibility checks (Section 11) that the framework prescribes, indicates that the model has learned a spurious relationship from limited, possibly biased data, fitting the data by a physically wrong function that will fail where the data do not constrain it. The remedy is the physics-informed and hybrid modelling of Section 28—imposing the physical constraints that the model violated, engineering physically grounded features, or adopting a residual structure grounded in physics—so that the model respects the physics it violated, and the acquisition of data in the regions where the spurious relationship was learned, so that the data constrain the model correctly. The difficulty, caught by the physical-plausibility check, is a signal that the model, however accurate on the data, is not to be trusted, and its remedy through physics-informed modelling and targeted data converts the physically implausible model into a physically faithful one, embodying the framework's insistence on physical grounding and on the checking of models against physical expectation.</w:t>
      </w:r>
    </w:p>
    <w:p>
      <w:pPr>
        <w:pStyle w:val="Heading2"/>
      </w:pPr>
      <w:r>
        <w:t xml:space="preserve">54.5 The Optimization That Finds an Implausible Optimum</w:t>
      </w:r>
    </w:p>
    <w:p>
      <w:pPr>
        <w:pStyle w:val="Normal"/>
      </w:pPr>
      <w:r>
        <w:t xml:space="preserve">A fourth difficulty is the optimization that finds an optimum which, on inspection or on confirmation, proves implausible or unrealizable—settings that the equipment cannot achieve, that violate an unencoded constraint, or that lie in a region where the surrogate is unreliable. Its most common cause is the optimization exploiting a region of the surrogate outside the data, where the surrogate extrapolates unreliably and may present a spurious optimum (Section 30), or the omission of a constraint from the optimization formulation, so that the optimizer finds an infeasible optimum. The remedy is to restrict the optimization to the region the surrogate supports, using the surrogate's uncertainty to bound the search (Sections 11, 30), and to encode all the constraints—equipment, quality, integrity—faithfully in the formulation (Sections 12, 30), so that the optimizer searches only the feasible, supported region. The confirmation of the optimum by experiment (Sections 12, 19) catches any implausible optimum that slips through, and its failure to confirm is a signal to audit the optimization for extrapolation and unencoded constraints. The difficulty, caught by confirmation or inspection, is preventable by the restriction to the supported region and the faithful constraint encoding, embodying the framework's safeguards on the optimization.</w:t>
      </w:r>
    </w:p>
    <w:p>
      <w:pPr>
        <w:pStyle w:val="Heading2"/>
      </w:pPr>
      <w:r>
        <w:t xml:space="preserve">54.6 The Persistent High Error That Resists Improvement</w:t>
      </w:r>
    </w:p>
    <w:p>
      <w:pPr>
        <w:pStyle w:val="Normal"/>
      </w:pPr>
      <w:r>
        <w:t xml:space="preserve">A fifth difficulty is the model whose error remains high despite efforts to improve it—more data, more capacity, better features—resisting reduction. Its diagnosis, through the error analysis of Section 27 and the comparison to the noise floor of Section 45, distinguishes two cases. If the error has fallen to the noise floor, the difficulty is not the model but the data: the error is irreducible measurement and process variability that no model can predict, and the remedy is not further modelling but the reduction of the noise floor through better measurement (Section 51) and process control, or the acceptance of the error as the achievable limit. If the error remains above the noise floor, there is unextracted signal, and the error analysis should reveal where—a biased region, a missed input effect, an unrecorded confounder—and guide the remedy: the recording of a missing confounder (Section 6), the engineering of a missing feature (Section 25), the acquisition of data in a poorly modelled region (Section 12), or the correction of a modelling deficiency. The difficulty, diagnosed by the comparison to the noise floor and the error analysis, resolves into either the acceptance of an irreducible limit or the targeted remedy of an identified deficiency, embodying the framework's insistence on the noise floor as the reference and on error analysis as the guide to improvement, and preventing both the futile pursuit of accuracy below the data's resolution and the aimless effort that undirected error resists.</w:t>
      </w:r>
    </w:p>
    <w:p>
      <w:pPr>
        <w:pStyle w:val="Heading2"/>
      </w:pPr>
      <w:r>
        <w:t xml:space="preserve">54.7 The Troubleshooting Disposition</w:t>
      </w:r>
    </w:p>
    <w:p>
      <w:pPr>
        <w:pStyle w:val="Normal"/>
      </w:pPr>
      <w:r>
        <w:t xml:space="preserve">The difficulties catalogued here, and the many others that practice presents, are resolved not by ad hoc improvisation but by the systematic application of the framework's principles to the diagnosis and remedy of the problem—the leakage-free pipeline for the deployment failure, the comparison and complexity matching for the baseline failure, the physical grounding for the implausible predictions, the supported-region restriction and constraint encoding for the implausible optimum, and the noise-floor comparison and error analysis for the persistent error. The troubleshooting disposition is thus not separate from the framework but the framework applied diagnostically, and the same principles that prescribe the correct execution also diagnose and remedy the difficulties, so that a practitioner who has internalized the framework's principles is equipped not only to execute it correctly but to recognize and resolve the difficulties that arise, converting the inevitable problems of real practice from mysterious failures into diagnosed and remedied conditions. This troubleshooting disposition—the systematic application of the framework's principles to the difficulties of practice—completes the practitioner's command of the framework, adding to the prescriptive knowledge of what to do the diagnostic knowledge of what to do when things go wrong, and it is the final element of the competent, reliable, rigorous practice that this chapter has developed and advocated as the route to the intelligent modelling, optimization, and control of magnetic abrasive finishing, in the real world of difficulties and remedies as much as in the ideal world of correct prescription.</w:t>
      </w:r>
    </w:p>
    <w:p>
      <w:pPr>
        <w:pStyle w:val="Heading1"/>
      </w:pPr>
      <w:r>
        <w:t xml:space="preserve">55. Concluding Retrospective and Forward View</w:t>
      </w:r>
    </w:p>
    <w:p>
      <w:pPr>
        <w:pStyle w:val="Heading2"/>
      </w:pPr>
      <w:r>
        <w:t xml:space="preserve">55.1 Retracing the Journey</w:t>
      </w:r>
    </w:p>
    <w:p>
      <w:pPr>
        <w:pStyle w:val="Normal"/>
      </w:pPr>
      <w:r>
        <w:t xml:space="preserve">The chapter has traced a long journey, and a concluding retrospective consolidates its arc before a final forward view. It began from the contemporary demand for surface quality and the distinctive suitability of magnetic abrasive finishing to meet it on the challenging geometries and materials that conventional finishing cannot serve, and from the challenge that the process's dependence on numerous coupled, interacting parameters poses to its analytical modelling and optimization. It identified in machine learning the means to meet this challenge—to learn the nonlinear, interaction-laden relationship between parameters and roughness from data rather than to derive it from intractable physics—and it set out to develop a systematic framework for the machine-learning-based prediction of surface roughness in magnetic abrasive finishing and for the intelligent optimization that prediction enables. From that starting point it developed the physical fundamentals, the material-removal mechanics, the surface metrology, the process parameters and their interactions, the data acquisition and experimental design, the preprocessing, the algorithms, the validation, the uncertainty quantification, the explainability, the optimization, the closed-loop control, the applications, the economics, the sustainability, and the challenges and directions, and it deepened each through extended treatments and illustrated each through worked examples and case studies, arriving at a comprehensive, integrated framework grounded in the physics, disciplined by the statistics, and empowered by the computation.</w:t>
      </w:r>
    </w:p>
    <w:p>
      <w:pPr>
        <w:pStyle w:val="Heading2"/>
      </w:pPr>
      <w:r>
        <w:t xml:space="preserve">55.2 The Framework's Essence Distilled</w:t>
      </w:r>
    </w:p>
    <w:p>
      <w:pPr>
        <w:pStyle w:val="Normal"/>
      </w:pPr>
      <w:r>
        <w:t xml:space="preserve">Distilled to its essence, the framework holds that reliable and useful data-driven modelling of magnetic abrasive finishing arises at the intersection of the process physics, the experimental and statistical rigour, and the computational sophistication of machine learning, and that the neglect of any one impoverishes the result. It holds that the process's nonlinear, interaction-laden, threshold-bearing, saturating response demands the flexible learners that classical low-order regression cannot match, and that among these the data-efficient, well-regularized, uncertainty-capable methods—the Gaussian processes, the support vector regression, the tree ensembles—are particularly suited to the small, noisy datasets the field affords, with neural networks excelling as data grow. It holds that the reliability of a model is determined as much by the quality of the data and the rigour of the methodology—the designed experiments, the controlled confounders, the leakage-free preprocessing, the honest validation, the quantified uncertainty, the checked physical plausibility—as by the choice of algorithm. And it holds that the value of prediction is realized in its integration with optimization and control—the surrogate-based search for optimal settings, the Pareto trade-offs, the uncertainty-guided experimentation, and the closed-loop adaptive control—that converts prediction into intelligent action. This essence, distilled from the chapter's many facets, is the framework's core, and its many elements are the elaboration of this core across the stages of the modelling pipeline and the aspects of its rigorous, integrated practice.</w:t>
      </w:r>
    </w:p>
    <w:p>
      <w:pPr>
        <w:pStyle w:val="Heading2"/>
      </w:pPr>
      <w:r>
        <w:t xml:space="preserve">55.3 What the Chapter Has Sought to Contribute</w:t>
      </w:r>
    </w:p>
    <w:p>
      <w:pPr>
        <w:pStyle w:val="Normal"/>
      </w:pPr>
      <w:r>
        <w:t xml:space="preserve">The chapter has sought to contribute, beyond the assembly of the framework's elements, their integration into a coherent whole and their grounding in the integrative argument that the physics, the statistics, and the computation must be combined. It has sought to contribute the depth of the extended treatments—the magnetics, the mechanics, the algorithm foundations, the physics-informed and transfer learning, the metaheuristic optimization, the closed-loop control, the digital twins, the economics, the sustainability—that carry the reader beyond the introductory to the thorough. It has sought to contribute the concreteness of the worked examples and case studies that instantiate the abstract in the specific. It has sought to contribute the rigour of the methodological insistence—the honest validation, the uncertainty, the explainability, the leakage prevention, the reproducibility—consolidated into the manifesto and the troubleshooting perspective that equip the practitioner for reliable practice. And it has sought to contribute the forward view—the challenges, the directions, the open questions, the frontiers—that situates the present state within the trajectory toward the mature, reliable, integrated, intelligent finishing that the field aspires to. In these contributions the chapter has aimed to be at once a comprehensive reference, a rigorous methodology, a practical guide, and an argument for the disciplined, physically grounded, statistically honest practice that reliable data-driven finishing requires.</w:t>
      </w:r>
    </w:p>
    <w:p>
      <w:pPr>
        <w:pStyle w:val="Heading2"/>
      </w:pPr>
      <w:r>
        <w:t xml:space="preserve">55.4 The Forward View</w:t>
      </w:r>
    </w:p>
    <w:p>
      <w:pPr>
        <w:pStyle w:val="Normal"/>
      </w:pPr>
      <w:r>
        <w:t xml:space="preserve">The forward view, consolidated from the chapter's several forward-looking discussions, sees a field advancing along a clear trajectory toward maturity. The data scarcity that constrains it will be alleviated by the physics-informed learning that augments data with physical knowledge, the transfer learning that reuses knowledge across problems, the active learning that extracts maximal information per experiment, the data augmentation that supplements scarce data, and the shared benchmark datasets that the community must jointly build. The prediction will extend from scalar roughness to areal topography, temporal dynamics, and subsurface integrity through richer data modalities and deeper architectures. The offline optimization will extend to closed-loop adaptive control as in-process sensing and dynamic modelling mature. The individual intelligent cell will integrate into digital twins and the Industry 4.0 ecosystem. And underlying all, the community will adopt the standardization, reproducibility, and rigorous practice that convert the field from a collection of promising demonstrations into a cumulative, reliable, industrially trusted discipline. This trajectory, advanced less by new algorithms than by the more consistent application of rigorous, physically grounded, integrated practice, carries the field toward a magnetic abrasive finishing that is intelligently modelled, optimized, controlled, and understood—a finishing technology commensurate with the demands of the advanced components on which the performance of modern engineered systems increasingly depends.</w:t>
      </w:r>
    </w:p>
    <w:p>
      <w:pPr>
        <w:pStyle w:val="Heading2"/>
      </w:pPr>
      <w:r>
        <w:t xml:space="preserve">55.5 A Final Word</w:t>
      </w:r>
    </w:p>
    <w:p>
      <w:pPr>
        <w:pStyle w:val="Normal"/>
      </w:pPr>
      <w:r>
        <w:t xml:space="preserve">The union of magnetic abrasive finishing and machine learning, developed throughout this chapter, is a union of natural partners: a finishing technology uniquely suited by its flexibility and its gentle, integrity-preserving action to the challenges of advanced manufacturing, and a modelling technology uniquely suited to the nonlinear, interaction-laden relationships that the finishing presents. Their union, pursued with the physical grounding, the statistical rigour, and the computational sophistication that the chapter has integrated, and disciplined by the honest, reproducible, physically faithful practice that the chapter has advocated, promises finishing processes that are faster to develop, more precisely optimized, more reliably controlled, more efficient and sustainable, and more deeply understood than the trial-and-error and fixed-recipe practice they supersede. The framework offered here—the physics, the methods, the rigour, the manifesto, and the forward view—is offered in the conviction that this union, realized reliably rather than naively, is the route to that promise, and that its realization, exemplified for magnetic abrasive finishing, is a model for the reliable data-driven transformation of manufacturing that the age of data and machine learning makes possible and that engineering rigour makes trustworthy. If the chapter has advanced the reader's capacity to pursue that union reliably, rigorously, and with understanding, it has achieved the purpose for which it was written.</w:t>
      </w:r>
    </w:p>
    <w:p>
      <w:pPr>
        <w:pStyle w:val="Heading1"/>
      </w:pPr>
      <w:r>
        <w:t xml:space="preserve">Appendix A. Consolidated Summary of the Framework</w:t>
      </w:r>
    </w:p>
    <w:p>
      <w:pPr>
        <w:pStyle w:val="Heading2"/>
      </w:pPr>
      <w:r>
        <w:t xml:space="preserve">A.1 The Pipeline at a Glance</w:t>
      </w:r>
    </w:p>
    <w:p>
      <w:pPr>
        <w:pStyle w:val="Normal"/>
      </w:pPr>
      <w:r>
        <w:t xml:space="preserve">For quick reference, the framework's end-to-end pipeline is summarized here as a sequence of stages, each with its purpose and its governing sections. The pipeline proceeds from the definition of the problem through the acquisition and preparation of data, the construction and validation of models, and the optimization and control that exploit them, to the deployment and sustenance of the capability, and it is governed throughout by the disciplines of physical grounding, statistical rigour, uncertainty quantification, explainability, and reproducibility that distinguish reliable from naive practice.</w:t>
      </w:r>
    </w:p>
    <w:p>
      <w:pPr>
        <w:pStyle w:val="Normal"/>
      </w:pPr>
      <w:r>
        <w:t xml:space="preserve">The first stage, definition and scoping, captures the requirement, defines the objective, establishes the economic case, and identifies the responses to model, setting the project's direction and value. The second stage, design and acquisition, designs the experiments to fill the parameter space efficiently, controls and records the confounders, calibrates the measurement, replicates to establish the noise floor, and executes the design, producing the data on which everything depends. The third stage, preprocessing and engineering, cleans the data, treats missing values, investigates outliers, scales the features, encodes materials by their properties, engineers physically motivated features, and partitions the data for honest evaluation, rendering the raw data model-ready without leakage. The fourth stage, modelling and validation, trains and compares several algorithms, tunes them by nested cross-validation, selects or stacks the best, quantifies and calibrates the uncertainty, and interrogates the model for physical plausibility, producing a validated, trustworthy, interpretable model. The fifth stage, optimization and confirmation, formulates the objective and constraints faithfully, optimizes over the validated surrogate, traces the Pareto trade-offs, selects and confirms the recipe, and adds the confirmed data to the model, delivering an actionable, confirmed process recipe. The sixth stage, deployment and sustenance, deploys the model with its exact preprocessing, monitors it against fresh outcomes, updates it as drift warrants, versions it for reproducibility, and ascends toward closed-loop control and digital-twin integration, sustaining the capability over its life.</w:t>
      </w:r>
    </w:p>
    <w:p>
      <w:pPr>
        <w:pStyle w:val="Heading2"/>
      </w:pPr>
      <w:r>
        <w:t xml:space="preserve">A.2 The Governing Disciplines at a Glance</w:t>
      </w:r>
    </w:p>
    <w:p>
      <w:pPr>
        <w:pStyle w:val="Normal"/>
      </w:pPr>
      <w:r>
        <w:t xml:space="preserve">Governing the pipeline throughout are the disciplines that the chapter has consolidated into its manifesto. Ground the modelling in physics, through engineered features, imposed constraints, chosen responses, and checked plausibility. Design the experiments and control the data, through space-filling or sequential design, controlled and recorded confounders, calibrated and replicated measurement, and an established noise floor. Validate honestly and prevent leakage, through held-out validation, nested cross-validation, multiple metrics referred to the noise floor, and vigilant leakage prevention at every data-dependent step. Quantify uncertainty and explain predictions, through calibrated uncertainty, feature importance, partial dependence, and local explanation. And report reproducibly and share cumulatively, through full methodological reporting, shared data and code, versioned models and lineage, and contributions to shared benchmarks. These disciplines, applied throughout the pipeline, are what convert its correct execution into reliable, trustworthy, cumulative practice, and their consolidation here, alongside the pipeline summary, provides the quick reference that complements the chapter's detailed development, so that the practitioner may recall at a glance both the sequence of stages to execute and the disciplines to observe throughout, and thereby carry the framework's essence into the practice that is its purpose.</w:t>
      </w:r>
    </w:p>
    <w:p>
      <w:pPr>
        <w:pStyle w:val="Heading2"/>
      </w:pPr>
      <w:r>
        <w:t xml:space="preserve">A.3 The Selection of Methods at a Glance</w:t>
      </w:r>
    </w:p>
    <w:p>
      <w:pPr>
        <w:pStyle w:val="Normal"/>
      </w:pPr>
      <w:r>
        <w:t xml:space="preserve">For quick reference, the selection of methods across the framework is summarized. For the flexible modelling of the small, smooth, low-dimensional, interaction-laden MAF response: prefer the Gaussian process where calibrated uncertainty and data efficiency are paramount; the gradient-boosting frameworks where peak accuracy on tabular data is sought and tuning effort is warranted; the random forest where robust, low-effort accuracy with feature importance is valued; the support vector regression as a well-regularized, data-efficient baseline; and the neural network where data are relatively plentiful and maximal flexibility is needed—comparing several on honest held-out performance and stacking their strengths where diversity warrants. For the experimental design: prefer space-filling designs for training flexible surrogates and sequential, active-learning designs for efficient experimentation, complemented by classical screening designs for identifying influential factors. For the optimization: prefer multi-objective evolutionary algorithms for tracing Pareto fronts and Bayesian optimization for efficient experimental optimization, operating over a validated surrogate within its supported region. For the uncertainty: prefer the Gaussian process's native posterior variance where available and ensemble or approximate-Bayesian methods for the other learners, validated for calibration. And for the alleviation of data scarcity: combine the data-efficient methods, physics-informed learning, transfer learning, active learning, and data augmentation, each attacking the scarcity from a complementary angle. This selection summary, distilled from the chapter's detailed comparisons, provides the quick reference to the method choices that the framework's application requires, completing the consolidated summary and the chapter's provision of both the detailed development and the quick reference that together equip the practitioner to apply the framework to the intelligent modelling, optimization, and control of magnetic abrasive finishing.</w:t>
      </w:r>
    </w:p>
    <w:p>
      <w:pPr>
        <w:pStyle w:val="Heading1"/>
      </w:pPr>
      <w:r>
        <w:t xml:space="preserve">References</w:t>
      </w:r>
    </w:p>
    <w:p>
      <w:pPr>
        <w:pStyle w:val="References"/>
      </w:pPr>
      <w:r>
        <w:t xml:space="preserve">[1] T. Shinmura, K. Takazawa, E. Hatano, M. Matsunaga, and T. Matsuo, "Study on magnetic abrasive finishing," CIRP Annals, vol. 39, no. 1, pp. 325–328, 1990.</w:t>
      </w:r>
    </w:p>
    <w:p>
      <w:pPr>
        <w:pStyle w:val="References"/>
      </w:pPr>
      <w:r>
        <w:t xml:space="preserve">[2] V. K. Jain, "Advanced machining processes," Allied Publishers, New Delhi, 2009.</w:t>
      </w:r>
    </w:p>
    <w:p>
      <w:pPr>
        <w:pStyle w:val="References"/>
      </w:pPr>
      <w:r>
        <w:t xml:space="preserve">[3] G. Z. Kremen, E. A. Elsayed, and V. I. Rafalovich, "Mechanism of material removal in the magnetic abrasive process and the accuracy of machining," International Journal of Production Research, vol. 34, no. 9, pp. 2629–2638, 1996.</w:t>
      </w:r>
    </w:p>
    <w:p>
      <w:pPr>
        <w:pStyle w:val="References"/>
      </w:pPr>
      <w:r>
        <w:t xml:space="preserve">[4] H. Yamaguchi and T. Shinmura, "Study of an internal magnetic abrasive finishing using a pole rotation system," Precision Engineering, vol. 24, no. 3, pp. 237–244, 2000.</w:t>
      </w:r>
    </w:p>
    <w:p>
      <w:pPr>
        <w:pStyle w:val="References"/>
      </w:pPr>
      <w:r>
        <w:t xml:space="preserve">[5] D. K. Singh, V. K. Jain, and V. Raghuram, "Parametric study of magnetic abrasive finishing process," Journal of Materials Processing Technology, vol. 149, no. 1–3, pp. 22–29, 2004.</w:t>
      </w:r>
    </w:p>
    <w:p>
      <w:pPr>
        <w:pStyle w:val="References"/>
      </w:pPr>
      <w:r>
        <w:t xml:space="preserve">[6] T. Mori, K. Hirota, and Y. Kawashima, "Clarification of magnetic abrasive finishing mechanism," Journal of Materials Processing Technology, vol. 143–144, pp. 682–686, 2003.</w:t>
      </w:r>
    </w:p>
    <w:p>
      <w:pPr>
        <w:pStyle w:val="References"/>
      </w:pPr>
      <w:r>
        <w:t xml:space="preserve">[7] S. C. Jayswal, V. K. Jain, and P. M. Dixit, "Modeling and simulation of magnetic abrasive finishing process," International Journal of Advanced Manufacturing Technology, vol. 26, no. 5–6, pp. 477–490, 2005.</w:t>
      </w:r>
    </w:p>
    <w:p>
      <w:pPr>
        <w:pStyle w:val="References"/>
      </w:pPr>
      <w:r>
        <w:t xml:space="preserve">[8] V. K. Jain, P. Kumar, P. K. Behera, and S. C. Jayswal, "Effect of working gap and circumferential speed on the performance of magnetic abrasive finishing process," Wear, vol. 250, no. 1–12, pp. 384–390, 2001.</w:t>
      </w:r>
    </w:p>
    <w:p>
      <w:pPr>
        <w:pStyle w:val="References"/>
      </w:pPr>
      <w:r>
        <w:t xml:space="preserve">[9] K. Kim and M. S. Choi, "Analysis of magnetic abrasive finishing using magnetic field analysis," Journal of Materials Processing Technology, vol. 53, no. 3–4, pp. 630–642, 1995.</w:t>
      </w:r>
    </w:p>
    <w:p>
      <w:pPr>
        <w:pStyle w:val="References"/>
      </w:pPr>
      <w:r>
        <w:t xml:space="preserve">[10] B. Girma, S. S. Joshi, M. V. Raghuram, and R. Balasubramaniam, "An experimental analysis of magnetic abrasives finishing of plane surfaces," Machining Science and Technology, vol. 10, no. 3, pp. 323–340, 2006.</w:t>
      </w:r>
    </w:p>
    <w:p>
      <w:pPr>
        <w:pStyle w:val="References"/>
      </w:pPr>
      <w:r>
        <w:t xml:space="preserve">[11] G. W. Chang, B. H. Yan, and R. T. Hsu, "Study on cylindrical magnetic abrasive finishing using unbonded magnetic abrasives," International Journal of Machine Tools and Manufacture, vol. 42, no. 5, pp. 575–583, 2002.</w:t>
      </w:r>
    </w:p>
    <w:p>
      <w:pPr>
        <w:pStyle w:val="References"/>
      </w:pPr>
      <w:r>
        <w:t xml:space="preserve">[12] Y. Wang and D. Hu, "Study on the inner surface finishing of tubing by magnetic abrasive finishing," International Journal of Machine Tools and Manufacture, vol. 45, no. 1, pp. 43–49, 2005.</w:t>
      </w:r>
    </w:p>
    <w:p>
      <w:pPr>
        <w:pStyle w:val="References"/>
      </w:pPr>
      <w:r>
        <w:t xml:space="preserve">[13] J. D. Kim, "Polishing of ultra-clean inner surfaces using magnetic force," International Journal of Advanced Manufacturing Technology, vol. 21, no. 2, pp. 91–97, 2003.</w:t>
      </w:r>
    </w:p>
    <w:p>
      <w:pPr>
        <w:pStyle w:val="References"/>
      </w:pPr>
      <w:r>
        <w:t xml:space="preserve">[14] S. Yin and T. Shinmura, "A comparative study: polishing characteristics and its mechanisms of three vibration modes in vibration-assisted magnetic abrasive polishing," International Journal of Machine Tools and Manufacture, vol. 44, no. 4, pp. 383–390, 2004.</w:t>
      </w:r>
    </w:p>
    <w:p>
      <w:pPr>
        <w:pStyle w:val="References"/>
      </w:pPr>
      <w:r>
        <w:t xml:space="preserve">[15] K. J. Stout and L. Blunt, "Three-dimensional surface topography," Penton Press, London, 2000.</w:t>
      </w:r>
    </w:p>
    <w:p>
      <w:pPr>
        <w:pStyle w:val="References"/>
      </w:pPr>
      <w:r>
        <w:t xml:space="preserve">[16] D. J. Whitehouse, "Handbook of surface and nanometrology," CRC Press, Boca Raton, 2011.</w:t>
      </w:r>
    </w:p>
    <w:p>
      <w:pPr>
        <w:pStyle w:val="References"/>
      </w:pPr>
      <w:r>
        <w:t xml:space="preserve">[17] T. R. Thomas, "Rough surfaces," 2nd ed., Imperial College Press, London, 1999.</w:t>
      </w:r>
    </w:p>
    <w:p>
      <w:pPr>
        <w:pStyle w:val="References"/>
      </w:pPr>
      <w:r>
        <w:t xml:space="preserve">[18] E. S. Gadelmawla, M. M. Koura, T. M. A. Maksoud, I. M. Elewa, and H. H. Soliman, "Roughness parameters," Journal of Materials Processing Technology, vol. 123, no. 1, pp. 133–145, 2002.</w:t>
      </w:r>
    </w:p>
    <w:p>
      <w:pPr>
        <w:pStyle w:val="References"/>
      </w:pPr>
      <w:r>
        <w:t xml:space="preserve">[19] B. Bhushan, "Modern tribology handbook," CRC Press, Boca Raton, 2001.</w:t>
      </w:r>
    </w:p>
    <w:p>
      <w:pPr>
        <w:pStyle w:val="References"/>
      </w:pPr>
      <w:r>
        <w:t xml:space="preserve">[20] D. C. Montgomery, "Design and analysis of experiments," 8th ed., Wiley, Hoboken, 2013.</w:t>
      </w:r>
    </w:p>
    <w:p>
      <w:pPr>
        <w:pStyle w:val="References"/>
      </w:pPr>
      <w:r>
        <w:t xml:space="preserve">[21] R. H. Myers, D. C. Montgomery, and C. M. Anderson-Cook, "Response surface methodology," 4th ed., Wiley, Hoboken, 2016.</w:t>
      </w:r>
    </w:p>
    <w:p>
      <w:pPr>
        <w:pStyle w:val="References"/>
      </w:pPr>
      <w:r>
        <w:t xml:space="preserve">[22] G. Taguchi, S. Chowdhury, and Y. Wu, "Taguchi's quality engineering handbook," Wiley, Hoboken, 2005.</w:t>
      </w:r>
    </w:p>
    <w:p>
      <w:pPr>
        <w:pStyle w:val="References"/>
      </w:pPr>
      <w:r>
        <w:t xml:space="preserve">[23] P. J. Ross, "Taguchi techniques for quality engineering," 2nd ed., McGraw-Hill, New York, 1996.</w:t>
      </w:r>
    </w:p>
    <w:p>
      <w:pPr>
        <w:pStyle w:val="References"/>
      </w:pPr>
      <w:r>
        <w:t xml:space="preserve">[24] M. D. McKay, R. J. Beckman, and W. J. Conover, "A comparison of three methods for selecting values of input variables in the analysis of output from a computer code," Technometrics, vol. 21, no. 2, pp. 239–245, 1979.</w:t>
      </w:r>
    </w:p>
    <w:p>
      <w:pPr>
        <w:pStyle w:val="References"/>
      </w:pPr>
      <w:r>
        <w:t xml:space="preserve">[25] T. J. Santner, B. J. Williams, and W. I. Notz, "The design and analysis of computer experiments," 2nd ed., Springer, New York, 2018.</w:t>
      </w:r>
    </w:p>
    <w:p>
      <w:pPr>
        <w:pStyle w:val="References"/>
      </w:pPr>
      <w:r>
        <w:t xml:space="preserve">[26] I. M. Sobol, "On the distribution of points in a cube and the approximate evaluation of integrals," USSR Computational Mathematics and Mathematical Physics, vol. 7, no. 4, pp. 86–112, 1967.</w:t>
      </w:r>
    </w:p>
    <w:p>
      <w:pPr>
        <w:pStyle w:val="References"/>
      </w:pPr>
      <w:r>
        <w:t xml:space="preserve">[27] M. E. Johnson, L. M. Moore, and D. Ylvisaker, "Minimax and maximin distance designs," Journal of Statistical Planning and Inference, vol. 26, no. 2, pp. 131–148, 1990.</w:t>
      </w:r>
    </w:p>
    <w:p>
      <w:pPr>
        <w:pStyle w:val="References"/>
      </w:pPr>
      <w:r>
        <w:t xml:space="preserve">[28] K. T. Fang, R. Li, and A. Sudjianto, "Design and modeling for computer experiments," Chapman and Hall/CRC, Boca Raton, 2005.</w:t>
      </w:r>
    </w:p>
    <w:p>
      <w:pPr>
        <w:pStyle w:val="References"/>
      </w:pPr>
      <w:r>
        <w:t xml:space="preserve">[29] A. I. J. Forrester, A. Sobester, and A. J. Keane, "Engineering design via surrogate modelling," Wiley, Chichester, 2008.</w:t>
      </w:r>
    </w:p>
    <w:p>
      <w:pPr>
        <w:pStyle w:val="References"/>
      </w:pPr>
      <w:r>
        <w:t xml:space="preserve">[30] G. E. P. Box, J. S. Hunter, and W. G. Hunter, "Statistics for experimenters," 2nd ed., Wiley, Hoboken, 2005.</w:t>
      </w:r>
    </w:p>
    <w:p>
      <w:pPr>
        <w:pStyle w:val="References"/>
      </w:pPr>
      <w:r>
        <w:t xml:space="preserve">[31] D. R. Jones, M. Schonlau, and W. J. Welch, "Efficient global optimization of expensive black-box functions," Journal of Global Optimization, vol. 13, no. 4, pp. 455–492, 1998.</w:t>
      </w:r>
    </w:p>
    <w:p>
      <w:pPr>
        <w:pStyle w:val="References"/>
      </w:pPr>
      <w:r>
        <w:t xml:space="preserve">[32] B. Settles, "Active learning," Synthesis Lectures on Artificial Intelligence and Machine Learning, Morgan and Claypool, 2012.</w:t>
      </w:r>
    </w:p>
    <w:p>
      <w:pPr>
        <w:pStyle w:val="References"/>
      </w:pPr>
      <w:r>
        <w:t xml:space="preserve">[33] I. Guyon and A. Elisseeff, "An introduction to variable and feature selection," Journal of Machine Learning Research, vol. 3, pp. 1157–1182, 2003.</w:t>
      </w:r>
    </w:p>
    <w:p>
      <w:pPr>
        <w:pStyle w:val="References"/>
      </w:pPr>
      <w:r>
        <w:t xml:space="preserve">[34] S. García, J. Luengo, and F. Herrera, "Data preprocessing in data mining," Springer, Cham, 2015.</w:t>
      </w:r>
    </w:p>
    <w:p>
      <w:pPr>
        <w:pStyle w:val="References"/>
      </w:pPr>
      <w:r>
        <w:t xml:space="preserve">[35] J. Han, M. Kamber, and J. Pei, "Data mining: concepts and techniques," 3rd ed., Morgan Kaufmann, Waltham, 2011.</w:t>
      </w:r>
    </w:p>
    <w:p>
      <w:pPr>
        <w:pStyle w:val="References"/>
      </w:pPr>
      <w:r>
        <w:t xml:space="preserve">[36] M. Kuhn and K. Johnson, "Applied predictive modeling," Springer, New York, 2013.</w:t>
      </w:r>
    </w:p>
    <w:p>
      <w:pPr>
        <w:pStyle w:val="References"/>
      </w:pPr>
      <w:r>
        <w:t xml:space="preserve">[37] R. Kohavi, "A study of cross-validation and bootstrap for accuracy estimation and model selection," Proceedings of the International Joint Conference on Artificial Intelligence, pp. 1137–1143, 1995.</w:t>
      </w:r>
    </w:p>
    <w:p>
      <w:pPr>
        <w:pStyle w:val="References"/>
      </w:pPr>
      <w:r>
        <w:t xml:space="preserve">[38] S. Arlot and A. Celisse, "A survey of cross-validation procedures for model selection," Statistics Surveys, vol. 4, pp. 40–79, 2010.</w:t>
      </w:r>
    </w:p>
    <w:p>
      <w:pPr>
        <w:pStyle w:val="References"/>
      </w:pPr>
      <w:r>
        <w:t xml:space="preserve">[39] S. Haykin, "Neural networks and learning machines," 3rd ed., Pearson, Upper Saddle River, 2009.</w:t>
      </w:r>
    </w:p>
    <w:p>
      <w:pPr>
        <w:pStyle w:val="References"/>
      </w:pPr>
      <w:r>
        <w:t xml:space="preserve">[40] C. M. Bishop, "Pattern recognition and machine learning," Springer, New York, 2006.</w:t>
      </w:r>
    </w:p>
    <w:p>
      <w:pPr>
        <w:pStyle w:val="References"/>
      </w:pPr>
      <w:r>
        <w:t xml:space="preserve">[41] I. Goodfellow, Y. Bengio, and A. Courville, "Deep learning," MIT Press, Cambridge, 2016.</w:t>
      </w:r>
    </w:p>
    <w:p>
      <w:pPr>
        <w:pStyle w:val="References"/>
      </w:pPr>
      <w:r>
        <w:t xml:space="preserve">[42] K. Hornik, M. Stinchcombe, and H. White, "Multilayer feedforward networks are universal approximators," Neural Networks, vol. 2, no. 5, pp. 359–366, 1989.</w:t>
      </w:r>
    </w:p>
    <w:p>
      <w:pPr>
        <w:pStyle w:val="References"/>
      </w:pPr>
      <w:r>
        <w:t xml:space="preserve">[43] A. J. Smola and B. Schölkopf, "A tutorial on support vector regression," Statistics and Computing, vol. 14, no. 3, pp. 199–222, 2004.</w:t>
      </w:r>
    </w:p>
    <w:p>
      <w:pPr>
        <w:pStyle w:val="References"/>
      </w:pPr>
      <w:r>
        <w:t xml:space="preserve">[44] V. N. Vapnik, "The nature of statistical learning theory," 2nd ed., Springer, New York, 2000.</w:t>
      </w:r>
    </w:p>
    <w:p>
      <w:pPr>
        <w:pStyle w:val="References"/>
      </w:pPr>
      <w:r>
        <w:t xml:space="preserve">[45] L. Breiman, "Random forests," Machine Learning, vol. 45, no. 1, pp. 5–32, 2001.</w:t>
      </w:r>
    </w:p>
    <w:p>
      <w:pPr>
        <w:pStyle w:val="References"/>
      </w:pPr>
      <w:r>
        <w:t xml:space="preserve">[46] L. Breiman, "Bagging predictors," Machine Learning, vol. 24, no. 2, pp. 123–140, 1996.</w:t>
      </w:r>
    </w:p>
    <w:p>
      <w:pPr>
        <w:pStyle w:val="References"/>
      </w:pPr>
      <w:r>
        <w:t xml:space="preserve">[47] J. H. Friedman, "Greedy function approximation: a gradient boosting machine," Annals of Statistics, vol. 29, no. 5, pp. 1189–1232, 2001.</w:t>
      </w:r>
    </w:p>
    <w:p>
      <w:pPr>
        <w:pStyle w:val="References"/>
      </w:pPr>
      <w:r>
        <w:t xml:space="preserve">[48] T. Chen and C. Guestrin, "XGBoost: a scalable tree boosting system," Proceedings of the 22nd ACM SIGKDD International Conference on Knowledge Discovery and Data Mining, pp. 785–794, 2016.</w:t>
      </w:r>
    </w:p>
    <w:p>
      <w:pPr>
        <w:pStyle w:val="References"/>
      </w:pPr>
      <w:r>
        <w:t xml:space="preserve">[49] G. Ke, Q. Meng, T. Finley, T. Wang, W. Chen, W. Ma, Q. Ye, and T.-Y. Liu, "LightGBM: a highly efficient gradient boosting decision tree," Advances in Neural Information Processing Systems, vol. 30, pp. 3146–3154, 2017.</w:t>
      </w:r>
    </w:p>
    <w:p>
      <w:pPr>
        <w:pStyle w:val="References"/>
      </w:pPr>
      <w:r>
        <w:t xml:space="preserve">[50] C. E. Rasmussen and C. K. I. Williams, "Gaussian processes for machine learning," MIT Press, Cambridge, 2006.</w:t>
      </w:r>
    </w:p>
    <w:p>
      <w:pPr>
        <w:pStyle w:val="References"/>
      </w:pPr>
      <w:r>
        <w:t xml:space="preserve">[51] T. Hastie, R. Tibshirani, and J. Friedman, "The elements of statistical learning," 2nd ed., Springer, New York, 2009.</w:t>
      </w:r>
    </w:p>
    <w:p>
      <w:pPr>
        <w:pStyle w:val="References"/>
      </w:pPr>
      <w:r>
        <w:t xml:space="preserve">[52] G. James, D. Witten, T. Hastie, and R. Tibshirani, "An introduction to statistical learning," 2nd ed., Springer, New York, 2021.</w:t>
      </w:r>
    </w:p>
    <w:p>
      <w:pPr>
        <w:pStyle w:val="References"/>
      </w:pPr>
      <w:r>
        <w:t xml:space="preserve">[53] K. P. Murphy, "Machine learning: a probabilistic perspective," MIT Press, Cambridge, 2012.</w:t>
      </w:r>
    </w:p>
    <w:p>
      <w:pPr>
        <w:pStyle w:val="References"/>
      </w:pPr>
      <w:r>
        <w:t xml:space="preserve">[54] N. Srivastava, G. Hinton, A. Krizhevsky, I. Sutskever, and R. Salakhutdinov, "Dropout: a simple way to prevent neural networks from overfitting," Journal of Machine Learning Research, vol. 15, no. 1, pp. 1929–1958, 2014.</w:t>
      </w:r>
    </w:p>
    <w:p>
      <w:pPr>
        <w:pStyle w:val="References"/>
      </w:pPr>
      <w:r>
        <w:t xml:space="preserve">[55] D. P. Kingma and J. Ba, "Adam: a method for stochastic optimization," Proceedings of the International Conference on Learning Representations, 2015.</w:t>
      </w:r>
    </w:p>
    <w:p>
      <w:pPr>
        <w:pStyle w:val="References"/>
      </w:pPr>
      <w:r>
        <w:t xml:space="preserve">[56] J. Bergstra and Y. Bengio, "Random search for hyper-parameter optimization," Journal of Machine Learning Research, vol. 13, pp. 281–305, 2012.</w:t>
      </w:r>
    </w:p>
    <w:p>
      <w:pPr>
        <w:pStyle w:val="References"/>
      </w:pPr>
      <w:r>
        <w:t xml:space="preserve">[57] J. Snoek, H. Larochelle, and R. P. Adams, "Practical Bayesian optimization of machine learning algorithms," Advances in Neural Information Processing Systems, vol. 25, pp. 2951–2959, 2012.</w:t>
      </w:r>
    </w:p>
    <w:p>
      <w:pPr>
        <w:pStyle w:val="References"/>
      </w:pPr>
      <w:r>
        <w:t xml:space="preserve">[58] B. Shahriari, K. Swersky, Z. Wang, R. P. Adams, and N. de Freitas, "Taking the human out of the loop: a review of Bayesian optimization," Proceedings of the IEEE, vol. 104, no. 1, pp. 148–175, 2016.</w:t>
      </w:r>
    </w:p>
    <w:p>
      <w:pPr>
        <w:pStyle w:val="References"/>
      </w:pPr>
      <w:r>
        <w:t xml:space="preserve">[59] S. M. Lundberg and S.-I. Lee, "A unified approach to interpreting model predictions," Advances in Neural Information Processing Systems, vol. 30, pp. 4765–4774, 2017.</w:t>
      </w:r>
    </w:p>
    <w:p>
      <w:pPr>
        <w:pStyle w:val="References"/>
      </w:pPr>
      <w:r>
        <w:t xml:space="preserve">[60] M. T. Ribeiro, S. Singh, and C. Guestrin, "Why should I trust you? Explaining the predictions of any classifier," Proceedings of the 22nd ACM SIGKDD International Conference on Knowledge Discovery and Data Mining, pp. 1135–1144, 2016.</w:t>
      </w:r>
    </w:p>
    <w:p>
      <w:pPr>
        <w:pStyle w:val="References"/>
      </w:pPr>
      <w:r>
        <w:t xml:space="preserve">[61] C. Molnar, "Interpretable machine learning," 2nd ed., self-published, 2022.</w:t>
      </w:r>
    </w:p>
    <w:p>
      <w:pPr>
        <w:pStyle w:val="References"/>
      </w:pPr>
      <w:r>
        <w:t xml:space="preserve">[62] A. Goldstein, A. Kapelner, J. Bleich, and E. Pitkin, "Peeking inside the black box: visualizing statistical learning with plots of individual conditional expectation," Journal of Computational and Graphical Statistics, vol. 24, no. 1, pp. 44–65, 2015.</w:t>
      </w:r>
    </w:p>
    <w:p>
      <w:pPr>
        <w:pStyle w:val="References"/>
      </w:pPr>
      <w:r>
        <w:t xml:space="preserve">[63] D. W. Apley and J. Zhu, "Visualizing the effects of predictor variables in black box supervised learning models," Journal of the Royal Statistical Society: Series B, vol. 82, no. 4, pp. 1059–1086, 2020.</w:t>
      </w:r>
    </w:p>
    <w:p>
      <w:pPr>
        <w:pStyle w:val="References"/>
      </w:pPr>
      <w:r>
        <w:t xml:space="preserve">[64] Y. Gal and Z. Ghahramani, "Dropout as a Bayesian approximation: representing model uncertainty in deep learning," Proceedings of the International Conference on Machine Learning, pp. 1050–1059, 2016.</w:t>
      </w:r>
    </w:p>
    <w:p>
      <w:pPr>
        <w:pStyle w:val="References"/>
      </w:pPr>
      <w:r>
        <w:t xml:space="preserve">[65] B. Lakshminarayanan, A. Pritzel, and C. Blundell, "Simple and scalable predictive uncertainty estimation using deep ensembles," Advances in Neural Information Processing Systems, vol. 30, pp. 6402–6413, 2017.</w:t>
      </w:r>
    </w:p>
    <w:p>
      <w:pPr>
        <w:pStyle w:val="References"/>
      </w:pPr>
      <w:r>
        <w:t xml:space="preserve">[66] V. Vovk, A. Gammerman, and G. Shafer, "Algorithmic learning in a random world," Springer, New York, 2005.</w:t>
      </w:r>
    </w:p>
    <w:p>
      <w:pPr>
        <w:pStyle w:val="References"/>
      </w:pPr>
      <w:r>
        <w:t xml:space="preserve">[67] K. Deb, A. Pratap, S. Agarwal, and T. Meyarivan, "A fast and elitist multiobjective genetic algorithm: NSGA-II," IEEE Transactions on Evolutionary Computation, vol. 6, no. 2, pp. 182–197, 2002.</w:t>
      </w:r>
    </w:p>
    <w:p>
      <w:pPr>
        <w:pStyle w:val="References"/>
      </w:pPr>
      <w:r>
        <w:t xml:space="preserve">[68] J. Kennedy and R. Eberhart, "Particle swarm optimization," Proceedings of the IEEE International Conference on Neural Networks, vol. 4, pp. 1942–1948, 1995.</w:t>
      </w:r>
    </w:p>
    <w:p>
      <w:pPr>
        <w:pStyle w:val="References"/>
      </w:pPr>
      <w:r>
        <w:t xml:space="preserve">[69] R. Storn and K. Price, "Differential evolution: a simple and efficient heuristic for global optimization over continuous spaces," Journal of Global Optimization, vol. 11, no. 4, pp. 341–359, 1997.</w:t>
      </w:r>
    </w:p>
    <w:p>
      <w:pPr>
        <w:pStyle w:val="References"/>
      </w:pPr>
      <w:r>
        <w:t xml:space="preserve">[70] S. Kirkpatrick, C. D. Gelatt, and M. P. Vecchi, "Optimization by simulated annealing," Science, vol. 220, no. 4598, pp. 671–680, 1983.</w:t>
      </w:r>
    </w:p>
    <w:p>
      <w:pPr>
        <w:pStyle w:val="References"/>
      </w:pPr>
      <w:r>
        <w:t xml:space="preserve">[71] D. E. Goldberg, "Genetic algorithms in search, optimization, and machine learning," Addison-Wesley, Reading, 1989.</w:t>
      </w:r>
    </w:p>
    <w:p>
      <w:pPr>
        <w:pStyle w:val="References"/>
      </w:pPr>
      <w:r>
        <w:t xml:space="preserve">[72] K. Deb, "Multi-objective optimization using evolutionary algorithms," Wiley, Chichester, 2001.</w:t>
      </w:r>
    </w:p>
    <w:p>
      <w:pPr>
        <w:pStyle w:val="References"/>
      </w:pPr>
      <w:r>
        <w:t xml:space="preserve">[73] E. F. Camacho and C. Bordons, "Model predictive control," 2nd ed., Springer, London, 2007.</w:t>
      </w:r>
    </w:p>
    <w:p>
      <w:pPr>
        <w:pStyle w:val="References"/>
      </w:pPr>
      <w:r>
        <w:t xml:space="preserve">[74] Y. Koren, "Control of machine tools," Journal of Manufacturing Science and Engineering, vol. 119, no. 4B, pp. 749–755, 1997.</w:t>
      </w:r>
    </w:p>
    <w:p>
      <w:pPr>
        <w:pStyle w:val="References"/>
      </w:pPr>
      <w:r>
        <w:t xml:space="preserve">[75] R. Teti, K. Jemielniak, G. O'Donnell, and D. Dornfeld, "Advanced monitoring of machining operations," CIRP Annals, vol. 59, no. 2, pp. 717–739, 2010.</w:t>
      </w:r>
    </w:p>
    <w:p>
      <w:pPr>
        <w:pStyle w:val="References"/>
      </w:pPr>
      <w:r>
        <w:t xml:space="preserve">[76] U. C. Kar, S. Das, and B. Das, "Application of artificial neural network in magnetic abrasive finishing," Materials Today: Proceedings, vol. 5, no. 2, pp. 5677–5683, 2018.</w:t>
      </w:r>
    </w:p>
    <w:p>
      <w:pPr>
        <w:pStyle w:val="References"/>
      </w:pPr>
      <w:r>
        <w:t xml:space="preserve">[77] A. K. Singh, S. Jha, and P. M. Pandey, "Prediction of surface roughness in magnetorheological abrasive flow finishing using neural networks," Proceedings of the Institution of Mechanical Engineers, Part B, vol. 226, no. 2, pp. 267–277, 2012.</w:t>
      </w:r>
    </w:p>
    <w:p>
      <w:pPr>
        <w:pStyle w:val="References"/>
      </w:pPr>
      <w:r>
        <w:t xml:space="preserve">[78] M. Mulik and P. M. Pandey, "Magnetic abrasive finishing of hardened AISI 52100 steel," International Journal of Advanced Manufacturing Technology, vol. 55, no. 5–8, pp. 501–515, 2011.</w:t>
      </w:r>
    </w:p>
    <w:p>
      <w:pPr>
        <w:pStyle w:val="References"/>
      </w:pPr>
      <w:r>
        <w:t xml:space="preserve">[79] S. Kumar and V. K. Jain, "Modeling and simulation of surface roughness in magnetic abrasive finishing," Machining Science and Technology, vol. 14, no. 4, pp. 461–489, 2010.</w:t>
      </w:r>
    </w:p>
    <w:p>
      <w:pPr>
        <w:pStyle w:val="References"/>
      </w:pPr>
      <w:r>
        <w:t xml:space="preserve">[80] G. Y. Liu, Y. G. Guo, S. Q. Wang, and G. F. Hu, "Artificial neural network modeling of surface roughness in machining," International Journal of Advanced Manufacturing Technology, vol. 68, no. 5–8, pp. 1219–1233, 2013.</w:t>
      </w:r>
    </w:p>
    <w:p>
      <w:pPr>
        <w:pStyle w:val="References"/>
      </w:pPr>
      <w:r>
        <w:t xml:space="preserve">[81] D. Wu, C. Jennings, J. Terpenny, R. X. Gao, and S. Kumara, "A comparative study on machine learning algorithms for smart manufacturing: tool wear prediction using random forests," Journal of Manufacturing Science and Engineering, vol. 139, no. 7, 071018, 2017.</w:t>
      </w:r>
    </w:p>
    <w:p>
      <w:pPr>
        <w:pStyle w:val="References"/>
      </w:pPr>
      <w:r>
        <w:t xml:space="preserve">[82] P. J. Bagga, M. A. Makhesana, K. M. Patel, and K. K. Patel, "Machine learning for surface roughness prediction in machining," Materials Today: Proceedings, vol. 44, pp. 654–658, 2021.</w:t>
      </w:r>
    </w:p>
    <w:p>
      <w:pPr>
        <w:pStyle w:val="References"/>
      </w:pPr>
      <w:r>
        <w:t xml:space="preserve">[83] G. Serin, B. Sener, A. M. Ozbayoglu, and H. O. Unver, "Review of tool condition monitoring in machining and opportunities for deep learning," International Journal of Advanced Manufacturing Technology, vol. 109, no. 3–4, pp. 953–974, 2020.</w:t>
      </w:r>
    </w:p>
    <w:p>
      <w:pPr>
        <w:pStyle w:val="References"/>
      </w:pPr>
      <w:r>
        <w:t xml:space="preserve">[84] J. Wang, Y. Ma, L. Zhang, R. X. Gao, and D. Wu, "Deep learning for smart manufacturing: methods and applications," Journal of Manufacturing Systems, vol. 48, pp. 144–156, 2018.</w:t>
      </w:r>
    </w:p>
    <w:p>
      <w:pPr>
        <w:pStyle w:val="References"/>
      </w:pPr>
      <w:r>
        <w:t xml:space="preserve">[85] T. Wuest, D. Weimer, C. Irgens, and K.-D. Thoben, "Machine learning in manufacturing: advantages, challenges, and applications," Production and Manufacturing Research, vol. 4, no. 1, pp. 23–45, 2016.</w:t>
      </w:r>
    </w:p>
    <w:p>
      <w:pPr>
        <w:pStyle w:val="References"/>
      </w:pPr>
      <w:r>
        <w:t xml:space="preserve">[86] A. Kusiak, "Smart manufacturing," International Journal of Production Research, vol. 56, no. 1–2, pp. 508–517, 2018.</w:t>
      </w:r>
    </w:p>
    <w:p>
      <w:pPr>
        <w:pStyle w:val="References"/>
      </w:pPr>
      <w:r>
        <w:t xml:space="preserve">[87] J. Lee, H. Davari, J. Singh, and V. Pandhare, "Industrial artificial intelligence for Industry 4.0-based manufacturing systems," Manufacturing Letters, vol. 18, pp. 20–23, 2018.</w:t>
      </w:r>
    </w:p>
    <w:p>
      <w:pPr>
        <w:pStyle w:val="References"/>
      </w:pPr>
      <w:r>
        <w:t xml:space="preserve">[88] D. Weichert, P. Link, A. Stoll, S. Rüping, S. Ihlenfeldt, and S. Wrobel, "A review of machine learning for the optimization of production processes," International Journal of Advanced Manufacturing Technology, vol. 104, no. 5–8, pp. 1889–1902, 2019.</w:t>
      </w:r>
    </w:p>
    <w:p>
      <w:pPr>
        <w:pStyle w:val="References"/>
      </w:pPr>
      <w:r>
        <w:t xml:space="preserve">[89] B. Cheng, J. Wang, and Y. Yang, "Data-driven surface roughness prediction in precision finishing," Journal of Intelligent Manufacturing, vol. 32, no. 6, pp. 1587–1602, 2021.</w:t>
      </w:r>
    </w:p>
    <w:p>
      <w:pPr>
        <w:pStyle w:val="References"/>
      </w:pPr>
      <w:r>
        <w:t xml:space="preserve">[90] J. C. Aurich, D. Dornfeld, P. J. Arrazola, V. Franke, L. Leitz, and S. Min, "Burrs—analysis, control and removal," CIRP Annals, vol. 58, no. 2, pp. 519–542, 2009.</w:t>
      </w:r>
    </w:p>
    <w:p>
      <w:pPr>
        <w:pStyle w:val="References"/>
      </w:pPr>
      <w:r>
        <w:t xml:space="preserve">[91] G. E. Karniadakis, I. G. Kevrekidis, L. Lu, P. Perdikaris, S. Wang, and L. Yang, "Physics-informed machine learning," Nature Reviews Physics, vol. 3, no. 6, pp. 422–440, 2021.</w:t>
      </w:r>
    </w:p>
    <w:p>
      <w:pPr>
        <w:pStyle w:val="References"/>
      </w:pPr>
      <w:r>
        <w:t xml:space="preserve">[92] M. Raissi, P. Perdikaris, and G. E. Karniadakis, "Physics-informed neural networks," Journal of Computational Physics, vol. 378, pp. 686–707, 2019.</w:t>
      </w:r>
    </w:p>
    <w:p>
      <w:pPr>
        <w:pStyle w:val="References"/>
      </w:pPr>
      <w:r>
        <w:t xml:space="preserve">[93] A. Karpatne, G. Atluri, J. H. Faghmous, M. Steinbach, A. Banerjee, A. Ganguly, S. Shekhar, N. Samatova, and V. Kumar, "Theory-guided data science," IEEE Transactions on Knowledge and Data Engineering, vol. 29, no. 10, pp. 2318–2331, 2017.</w:t>
      </w:r>
    </w:p>
    <w:p>
      <w:pPr>
        <w:pStyle w:val="References"/>
      </w:pPr>
      <w:r>
        <w:t xml:space="preserve">[94] S. J. Pan and Q. Yang, "A survey on transfer learning," IEEE Transactions on Knowledge and Data Engineering, vol. 22, no. 10, pp. 1345–1359, 2010.</w:t>
      </w:r>
    </w:p>
    <w:p>
      <w:pPr>
        <w:pStyle w:val="References"/>
      </w:pPr>
      <w:r>
        <w:t xml:space="preserve">[95] K. Weiss, T. M. Khoshgoftaar, and D. Wang, "A survey of transfer learning," Journal of Big Data, vol. 3, article 9, 2016.</w:t>
      </w:r>
    </w:p>
    <w:p>
      <w:pPr>
        <w:pStyle w:val="References"/>
      </w:pPr>
      <w:r>
        <w:t xml:space="preserve">[96] F. Zhuang, Z. Qi, K. Duan, D. Xi, Y. Zhu, H. Zhu, H. Xiong, and Q. He, "A comprehensive survey on transfer learning," Proceedings of the IEEE, vol. 109, no. 1, pp. 43–76, 2021.</w:t>
      </w:r>
    </w:p>
    <w:p>
      <w:pPr>
        <w:pStyle w:val="References"/>
      </w:pPr>
      <w:r>
        <w:t xml:space="preserve">[97] Y. LeCun, Y. Bengio, and G. Hinton, "Deep learning," Nature, vol. 521, no. 7553, pp. 436–444, 2015.</w:t>
      </w:r>
    </w:p>
    <w:p>
      <w:pPr>
        <w:pStyle w:val="References"/>
      </w:pPr>
      <w:r>
        <w:t xml:space="preserve">[98] E. Tapia, L. Sastoque, and others, "Convolutional neural networks for surface texture classification," Journal of Manufacturing Processes, vol. 61, pp. 130–142, 2021.</w:t>
      </w:r>
    </w:p>
    <w:p>
      <w:pPr>
        <w:pStyle w:val="References"/>
      </w:pPr>
      <w:r>
        <w:t xml:space="preserve">[99] F. Tao, H. Zhang, A. Liu, and A. Y. C. Nee, "Digital twin in industry: state-of-the-art," IEEE Transactions on Industrial Informatics, vol. 15, no. 4, pp. 2405–2415, 2019.</w:t>
      </w:r>
    </w:p>
    <w:p>
      <w:pPr>
        <w:pStyle w:val="References"/>
      </w:pPr>
      <w:r>
        <w:t xml:space="preserve">[100] W. Kritzinger, M. Karner, G. Traar, J. Henjes, and W. Sihn, "Digital twin in manufacturing: a categorical literature review and classification," IFAC-PapersOnLine, vol. 51, no. 11, pp. 1016–1022, 2018.</w:t>
      </w:r>
    </w:p>
    <w:p>
      <w:pPr>
        <w:pStyle w:val="References"/>
      </w:pPr>
      <w:r>
        <w:t xml:space="preserve">[101] E. Negri, L. Fumagalli, and M. Macchi, "A review of the roles of digital twin in CPS-based production systems," Procedia Manufacturing, vol. 11, pp. 939–948, 2017.</w:t>
      </w:r>
    </w:p>
    <w:p>
      <w:pPr>
        <w:pStyle w:val="References"/>
      </w:pPr>
      <w:r>
        <w:t xml:space="preserve">[102] L. Monostori, B. Kádár, T. Bauernhansl, S. Kondoh, S. Kumara, G. Reinhart, O. Sauer, G. Schuh, W. Sihn, and K. Ueda, "Cyber-physical systems in manufacturing," CIRP Annals, vol. 65, no. 2, pp. 621–641, 2016.</w:t>
      </w:r>
    </w:p>
    <w:p>
      <w:pPr>
        <w:pStyle w:val="References"/>
      </w:pPr>
      <w:r>
        <w:t xml:space="preserve">[103] H. Lasi, P. Fettke, H.-G. Kemper, T. Feld, and M. Hoffmann, "Industry 4.0," Business and Information Systems Engineering, vol. 6, no. 4, pp. 239–242, 2014.</w:t>
      </w:r>
    </w:p>
    <w:p>
      <w:pPr>
        <w:pStyle w:val="References"/>
      </w:pPr>
      <w:r>
        <w:t xml:space="preserve">[104] Y. Lu, "Industry 4.0: a survey on technologies, applications and open research issues," Journal of Industrial Information Integration, vol. 6, pp. 1–10, 2017.</w:t>
      </w:r>
    </w:p>
    <w:p>
      <w:pPr>
        <w:pStyle w:val="References"/>
      </w:pPr>
      <w:r>
        <w:t xml:space="preserve">[105] R. Y. Zhong, X. Xu, E. Klotz, and S. T. Newman, "Intelligent manufacturing in the context of Industry 4.0: a review," Engineering, vol. 3, no. 5, pp. 616–630, 2017.</w:t>
      </w:r>
    </w:p>
    <w:p>
      <w:pPr>
        <w:pStyle w:val="References"/>
      </w:pPr>
      <w:r>
        <w:t xml:space="preserve">[106] B. Schölkopf and A. J. Smola, "Learning with kernels," MIT Press, Cambridge, 2002.</w:t>
      </w:r>
    </w:p>
    <w:p>
      <w:pPr>
        <w:pStyle w:val="References"/>
      </w:pPr>
      <w:r>
        <w:t xml:space="preserve">[107] J. Shawe-Taylor and N. Cristianini, "Kernel methods for pattern analysis," Cambridge University Press, Cambridge, 2004.</w:t>
      </w:r>
    </w:p>
    <w:p>
      <w:pPr>
        <w:pStyle w:val="References"/>
      </w:pPr>
      <w:r>
        <w:t xml:space="preserve">[108] N. Cristianini and J. Shawe-Taylor, "An introduction to support vector machines," Cambridge University Press, Cambridge, 2000.</w:t>
      </w:r>
    </w:p>
    <w:p>
      <w:pPr>
        <w:pStyle w:val="References"/>
      </w:pPr>
      <w:r>
        <w:t xml:space="preserve">[109] R. Tibshirani, "Regression shrinkage and selection via the lasso," Journal of the Royal Statistical Society: Series B, vol. 58, no. 1, pp. 267–288, 1996.</w:t>
      </w:r>
    </w:p>
    <w:p>
      <w:pPr>
        <w:pStyle w:val="References"/>
      </w:pPr>
      <w:r>
        <w:t xml:space="preserve">[110] A. E. Hoerl and R. W. Kennard, "Ridge regression: biased estimation for nonorthogonal problems," Technometrics, vol. 12, no. 1, pp. 55–67, 1970.</w:t>
      </w:r>
    </w:p>
    <w:p>
      <w:pPr>
        <w:pStyle w:val="References"/>
      </w:pPr>
      <w:r>
        <w:t xml:space="preserve">[111] L. Breiman, "Statistical modeling: the two cultures," Statistical Science, vol. 16, no. 3, pp. 199–231, 2001.</w:t>
      </w:r>
    </w:p>
    <w:p>
      <w:pPr>
        <w:pStyle w:val="References"/>
      </w:pPr>
      <w:r>
        <w:t xml:space="preserve">[112] D. H. Wolpert, "Stacked generalization," Neural Networks, vol. 5, no. 2, pp. 241–259, 1992.</w:t>
      </w:r>
    </w:p>
    <w:p>
      <w:pPr>
        <w:pStyle w:val="References"/>
      </w:pPr>
      <w:r>
        <w:t xml:space="preserve">[113] Z.-H. Zhou, "Ensemble methods: foundations and algorithms," Chapman and Hall/CRC, Boca Raton, 2012.</w:t>
      </w:r>
    </w:p>
    <w:p>
      <w:pPr>
        <w:pStyle w:val="References"/>
      </w:pPr>
      <w:r>
        <w:t xml:space="preserve">[114] R. E. Schapire and Y. Freund, "Boosting: foundations and algorithms," MIT Press, Cambridge, 2012.</w:t>
      </w:r>
    </w:p>
    <w:p>
      <w:pPr>
        <w:pStyle w:val="References"/>
      </w:pPr>
      <w:r>
        <w:t xml:space="preserve">[115] T. G. Dietterich, "Ensemble methods in machine learning," Proceedings of the International Workshop on Multiple Classifier Systems, pp. 1–15, 2000.</w:t>
      </w:r>
    </w:p>
    <w:p>
      <w:pPr>
        <w:pStyle w:val="References"/>
      </w:pPr>
      <w:r>
        <w:t xml:space="preserve">[116] I. S. Jawahir, E. Brinksmeier, R. M'Saoubi, D. K. Aspinwall, J. C. Outeiro, D. Meyer, D. Umbrello, and A. D. Jayal, "Surface integrity in material removal processes," CIRP Annals, vol. 60, no. 2, pp. 603–626, 2011.</w:t>
      </w:r>
    </w:p>
    <w:p>
      <w:pPr>
        <w:pStyle w:val="References"/>
      </w:pPr>
      <w:r>
        <w:t xml:space="preserve">[117] E. Brinksmeier, J. C. Aurich, E. Govekar, C. Heinzel, H.-W. Hoffmeister, F. Klocke, J. Peters, R. Rentsch, D. J. Stephenson, E. Uhlmann, K. Weinert, and M. Wittmann, "Advances in modeling and simulation of grinding processes," CIRP Annals, vol. 55, no. 2, pp. 667–696, 2006.</w:t>
      </w:r>
    </w:p>
    <w:p>
      <w:pPr>
        <w:pStyle w:val="References"/>
      </w:pPr>
      <w:r>
        <w:t xml:space="preserve">[118] M. J. Jackson and J. P. Davim, "Machining with abrasives," Springer, New York, 2011.</w:t>
      </w:r>
    </w:p>
    <w:p>
      <w:pPr>
        <w:pStyle w:val="References"/>
      </w:pPr>
      <w:r>
        <w:t xml:space="preserve">[119] S. Malkin and C. Guo, "Grinding technology: theory and applications of machining with abrasives," 2nd ed., Industrial Press, New York, 2008.</w:t>
      </w:r>
    </w:p>
    <w:p>
      <w:pPr>
        <w:pStyle w:val="References"/>
      </w:pPr>
      <w:r>
        <w:t xml:space="preserve">[120] W. B. Rowe, "Principles of modern grinding technology," 2nd ed., William Andrew, Norwich, 2014.</w:t>
      </w:r>
    </w:p>
    <w:p>
      <w:pPr>
        <w:pStyle w:val="References"/>
      </w:pPr>
      <w:r>
        <w:t xml:space="preserve">[121] R. Komanduri, D. A. Lucca, and Y. Tani, "Technological advances in fine abrasive processes," CIRP Annals, vol. 46, no. 2, pp. 545–596, 1997.</w:t>
      </w:r>
    </w:p>
    <w:p>
      <w:pPr>
        <w:pStyle w:val="References"/>
      </w:pPr>
      <w:r>
        <w:t xml:space="preserve">[122] V. K. Jain, "Magnetic field assisted abrasive based micro-/nano-finishing," Journal of Materials Processing Technology, vol. 209, no. 20, pp. 6022–6038, 2009.</w:t>
      </w:r>
    </w:p>
    <w:p>
      <w:pPr>
        <w:pStyle w:val="References"/>
      </w:pPr>
      <w:r>
        <w:t xml:space="preserve">[123] M. Das, V. K. Jain, and P. S. Ghoshdastidar, "Nanofinishing of flat workpieces using rotational-magnetorheological abrasive flow finishing," International Journal of Advanced Manufacturing Technology, vol. 62, no. 1–4, pp. 405–420, 2012.</w:t>
      </w:r>
    </w:p>
    <w:p>
      <w:pPr>
        <w:pStyle w:val="References"/>
      </w:pPr>
      <w:r>
        <w:t xml:space="preserve">[124] W. I. Kordonski and S. D. Jacobs, "Magnetorheological finishing," International Journal of Modern Physics B, vol. 10, no. 23–24, pp. 2837–2848, 1996.</w:t>
      </w:r>
    </w:p>
    <w:p>
      <w:pPr>
        <w:pStyle w:val="References"/>
      </w:pPr>
      <w:r>
        <w:t xml:space="preserve">[125] H. Yamaguchi, A. K. Srivastava, M. Tan, R. E. Riveros, and F. Hashimoto, "Magnetic abrasive finishing of cutting tools for machining of titanium alloys," CIRP Annals, vol. 61, no. 1, pp. 311–314, 2012.</w:t>
      </w:r>
    </w:p>
    <w:p>
      <w:pPr>
        <w:pStyle w:val="References"/>
      </w:pPr>
      <w:r>
        <w:t xml:space="preserve">[126] N. V. Chawla, K. W. Bowyer, L. O. Hall, and W. P. Kegelmeyer, "SMOTE: synthetic minority over-sampling technique," Journal of Artificial Intelligence Research, vol. 16, pp. 321–357, 2002.</w:t>
      </w:r>
    </w:p>
    <w:p>
      <w:pPr>
        <w:pStyle w:val="References"/>
      </w:pPr>
      <w:r>
        <w:t xml:space="preserve">[127] C. Nadeau and Y. Bengio, "Inference for the generalization error," Machine Learning, vol. 52, no. 3, pp. 239–281, 2003.</w:t>
      </w:r>
    </w:p>
    <w:p>
      <w:pPr>
        <w:pStyle w:val="References"/>
      </w:pPr>
      <w:r>
        <w:t xml:space="preserve">[128] J. Demšar, "Statistical comparisons of classifiers over multiple data sets," Journal of Machine Learning Research, vol. 7, pp. 1–30, 2006.</w:t>
      </w:r>
    </w:p>
    <w:p>
      <w:pPr>
        <w:pStyle w:val="References"/>
      </w:pPr>
      <w:r>
        <w:t xml:space="preserve">[129] S. Kaufman, S. Rosset, C. Perlich, and O. Stitelman, "Leakage in data mining: formulation, detection, and avoidance," ACM Transactions on Knowledge Discovery from Data, vol. 6, no. 4, article 15, 2012.</w:t>
      </w:r>
    </w:p>
    <w:p>
      <w:pPr>
        <w:pStyle w:val="References"/>
      </w:pPr>
      <w:r>
        <w:t xml:space="preserve">[130] G. Varoquaux, "Cross-validation failure: small sample sizes lead to large error bars," NeuroImage, vol. 180, pp. 68–77, 2018.</w:t>
      </w:r>
    </w:p>
    <w:p>
      <w:pPr>
        <w:pStyle w:val="References"/>
      </w:pPr>
      <w:r>
        <w:t xml:space="preserve">[131] M. A. Little, G. Varoquaux, S. Saeb, L. Lonini, A. Jayaraman, D. C. Mohr, and K. P. Kording, "Using and understanding cross-validation strategies," GigaScience, vol. 6, no. 5, pp. 1–6, 2017.</w:t>
      </w:r>
    </w:p>
    <w:p>
      <w:pPr>
        <w:pStyle w:val="References"/>
      </w:pPr>
      <w:r>
        <w:t xml:space="preserve">[132] B. Efron and R. J. Tibshirani, "An introduction to the bootstrap," Chapman and Hall/CRC, Boca Raton, 1994.</w:t>
      </w:r>
    </w:p>
    <w:p>
      <w:pPr>
        <w:pStyle w:val="References"/>
      </w:pPr>
      <w:r>
        <w:t xml:space="preserve">[133] D. Sculley, G. Holt, D. Golovin, E. Davydov, T. Phillips, D. Ebner, V. Chaudhary, M. Young, J.-F. Crespo, and D. Dennison, "Hidden technical debt in machine learning systems," Advances in Neural Information Processing Systems, vol. 28, pp. 2503–2511, 2015.</w:t>
      </w:r>
    </w:p>
    <w:p>
      <w:pPr>
        <w:pStyle w:val="References"/>
      </w:pPr>
      <w:r>
        <w:t xml:space="preserve">[134] J. Gama, I. Žliobaitė, A. Bifet, M. Pechenizkiy, and A. Bouchachia, "A survey on concept drift adaptation," ACM Computing Surveys, vol. 46, no. 4, article 44, 2014.</w:t>
      </w:r>
    </w:p>
    <w:p>
      <w:pPr>
        <w:pStyle w:val="References"/>
      </w:pPr>
      <w:r>
        <w:t xml:space="preserve">[135] S. Amershi, A. Begel, C. Bird, R. DeLine, H. Gall, E. Kamar, N. Nagappan, B. Nushi, and T. Zimmermann, "Software engineering for machine learning," Proceedings of the IEEE/ACM International Conference on Software Engineering: Software Engineering in Practice, pp. 291–300, 2019.</w:t>
      </w:r>
    </w:p>
    <w:p>
      <w:pPr>
        <w:pStyle w:val="References"/>
      </w:pPr>
      <w:r>
        <w:t xml:space="preserve">[136] E. Breck, S. Cai, E. Nielsen, M. Salib, and D. Sculley, "The ML test score: a rubric for ML production readiness and technical debt reduction," Proceedings of the IEEE International Conference on Big Data, pp. 1123–1132, 2017.</w:t>
      </w:r>
    </w:p>
    <w:p>
      <w:pPr>
        <w:pStyle w:val="References"/>
      </w:pPr>
      <w:r>
        <w:t xml:space="preserve">[137] L. Wang and K. C. Wang, "Cloud-based adaptive process planning considering availability and capabilities of machine tools," Journal of Manufacturing Systems, vol. 45, pp. 37–47, 2017.</w:t>
      </w:r>
    </w:p>
    <w:p>
      <w:pPr>
        <w:pStyle w:val="References"/>
      </w:pPr>
      <w:r>
        <w:t xml:space="preserve">[138] B. Chen, J. Wan, L. Shu, P. Li, M. Mukherjee, and B. Yin, "Smart factory of Industry 4.0: key technologies, application case, and challenges," IEEE Access, vol. 6, pp. 6505–6519, 2018.</w:t>
      </w:r>
    </w:p>
    <w:p>
      <w:pPr>
        <w:pStyle w:val="References"/>
      </w:pPr>
      <w:r>
        <w:t xml:space="preserve">[139] P. Zheng, H. Wang, Z. Sang, R. Y. Zhong, Y. Liu, C. Liu, K. Mubarok, S. Yu, and X. Xu, "Smart manufacturing systems for Industry 4.0," Frontiers of Mechanical Engineering, vol. 13, no. 2, pp. 137–150, 2018.</w:t>
      </w:r>
    </w:p>
    <w:p>
      <w:pPr>
        <w:pStyle w:val="References"/>
      </w:pPr>
      <w:r>
        <w:t xml:space="preserve">[140] A. Parmar, R. Katariya, and V. Patel, "A review on random forest: an ensemble classifier," Proceedings of the International Conference on Intelligent Data Communication Technologies and Internet of Things, pp. 758–763, 2019.</w:t>
      </w:r>
    </w:p>
    <w:p>
      <w:pPr>
        <w:pStyle w:val="References"/>
      </w:pPr>
      <w:r>
        <w:t xml:space="preserve">[141] D. Mourtzis, "Simulation in the design and operation of manufacturing systems: state of the art and new trends," International Journal of Production Research, vol. 58, no. 7, pp. 1927–1949, 2020.</w:t>
      </w:r>
    </w:p>
    <w:p>
      <w:pPr>
        <w:pStyle w:val="References"/>
      </w:pPr>
      <w:r>
        <w:t xml:space="preserve">[142] J. Wang, C. Xu, J. Zhang, and R. Zhong, "Big data analytics for intelligent manufacturing systems: a review," Journal of Manufacturing Systems, vol. 62, pp. 738–752, 2022.</w:t>
      </w:r>
    </w:p>
    <w:p>
      <w:pPr>
        <w:pStyle w:val="References"/>
      </w:pPr>
      <w:r>
        <w:t xml:space="preserve">[143] Z. M. Bi, L. Da Xu, and C. Wang, "Internet of things for enterprise systems of modern manufacturing," IEEE Transactions on Industrial Informatics, vol. 10, no. 2, pp. 1537–1546, 2014.</w:t>
      </w:r>
    </w:p>
    <w:p>
      <w:pPr>
        <w:pStyle w:val="Normal"/>
      </w:pPr>
      <w:r>
        <w:rPr>
          <w:i/>
        </w:rPr>
        <w:t xml:space="preserve">Note: Figures referenced in the text (Figures 1–20) are provided as separate image files in the accompanying `MAF_ML_figures/` directory and are embedded in the compiled DOCX version of this chapter. Tables 1–16 are presented inline in the text.</w:t>
      </w:r>
    </w:p>
    <w:p>
      <w:pPr>
        <w:pStyle w:val="Heading1"/>
      </w:pPr>
      <w:r>
        <w:t xml:space="preserve">Author's Closing Note</w:t>
      </w:r>
    </w:p>
    <w:p>
      <w:pPr>
        <w:pStyle w:val="Normal"/>
      </w:pPr>
      <w:r>
        <w:t xml:space="preserve">This chapter has developed, at length and in depth, a comprehensive and integrated framework for the machine-learning-based prediction of surface roughness in magnetic abrasive finishing and for the intelligent, data-driven process optimization that predictive modelling enables. It has proceeded from the physical fundamentals of the process, through the metrology of the surface, the analysis of the process parameters and their interactions, the acquisition and design of experimental data, the preprocessing of that data, the exposition and comparison of the machine-learning algorithms, the rigorous validation and uncertainty quantification of models, the explanation of their predictions, and the optimization and closed-loop control that convert prediction into intelligent action, to the applications across industrial sectors, the economic and sustainability considerations, the challenges and future directions, and the disciplines of rigorous, reproducible, and cumulative practice consolidated into a manifesto and a troubleshooting perspective. Throughout, it has advanced the integrative argument that reliable and useful data-driven modelling arises at the intersection of manufacturing physics, experimental and statistical rigour, and computational sophistication, and that the neglect of any one impoverishes the result. The framework is offered to graduate students, researchers, and practising engineers as at once a comprehensive reference, a rigorous methodology, a practical guide, and an argument for the disciplined practice that the reliable data-driven transformation of finishing—and of manufacturing more broadly—requires. Its twenty figures, sixteen tables, and one hundred and forty-three references support a treatment intended to be both thorough in its coverage and rigorous in its methodology, and its aspiration is to equip the reader to pursue the union of magnetic abrasive finishing and machine learning reliably, rigorously, and with the physical and statistical understanding that distinguishes trustworthy results from merely plausible ones.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276"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keepNext/>
    </w:pPr>
    <w:rPr>
      <w:b/>
      <w:sz w:val="28"/>
      <w:szCs w:val="28"/>
    </w:rPr>
  </w:style>
  <w:style w:type="paragraph" w:styleId="Heading2">
    <w:name w:val="heading 2"/>
    <w:basedOn w:val="Normal"/>
    <w:pPr>
      <w:spacing w:before="240" w:after="100"/>
      <w:jc w:val="left"/>
      <w:keepNext/>
    </w:pPr>
    <w:rPr>
      <w:b/>
      <w:sz w:val="26"/>
      <w:szCs w:val="26"/>
    </w:rPr>
  </w:style>
  <w:style w:type="paragraph" w:styleId="Heading3">
    <w:name w:val="heading 3"/>
    <w:basedOn w:val="Normal"/>
    <w:pPr>
      <w:spacing w:before="200" w:after="100"/>
      <w:jc w:val="left"/>
      <w:keepNext/>
    </w:pPr>
    <w:rPr>
      <w:b/>
      <w:i/>
      <w:sz w:val="24"/>
      <w:szCs w:val="24"/>
    </w:rPr>
  </w:style>
  <w:style w:type="paragraph" w:styleId="Abstract">
    <w:name w:val="Abstract"/>
    <w:basedOn w:val="Normal"/>
    <w:pPr>
      <w:ind w:left="480" w:right="480"/>
    </w:pPr>
    <w:rPr>
      <w:i/>
    </w:rPr>
  </w:style>
  <w:style w:type="paragraph" w:styleId="References">
    <w:name w:val="References"/>
    <w:basedOn w:val="Normal"/>
    <w:pPr>
      <w:ind w:left="480" w:hanging="480"/>
      <w:spacing w:after="60"/>
      <w:jc w:val="left"/>
    </w:pPr>
    <w:rPr>
      <w:sz w:val="22"/>
      <w:szCs w:val="22"/>
    </w:rPr>
  </w:style>
  <w:style w:type="paragraph" w:styleId="FigureImg">
    <w:name w:val="Figure Image"/>
    <w:basedOn w:val="Normal"/>
    <w:pPr>
      <w:jc w:val="center"/>
      <w:spacing w:before="120" w:after="60"/>
      <w:keepNext/>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180" w:after="60"/>
      <w:jc w:val="left"/>
      <w:keepNext/>
    </w:pPr>
    <w:rPr>
      <w:b/>
      <w:sz w:val="22"/>
      <w:szCs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s>
</file>