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480" w:lineRule="auto" w:after="240"/>
      </w:pPr>
      <w:r>
        <w:rPr>
          <w:b/>
          <w:sz w:val="32"/>
          <w:szCs w:val="32"/>
        </w:rPr>
        <w:t xml:space="preserve">Academic Identity and Professional Development</w:t>
      </w:r>
    </w:p>
    <w:p>
      <w:pPr>
        <w:spacing w:line="480" w:lineRule="auto" w:after="0"/>
        <w:ind w:firstLine="720"/>
      </w:pPr>
      <w:r>
        <w:rPr>
          <w:sz w:val="24"/>
          <w:szCs w:val="24"/>
        </w:rPr>
        <w:t xml:space="preserve">Chapter for: Higher Education Beyond Boundaries: Dynamics, Change, Challenges and Opportunities</w:t>
      </w:r>
    </w:p>
    <w:p>
      <w:pPr>
        <w:spacing w:line="480" w:lineRule="auto" w:after="0"/>
      </w:pPr>
    </w:p>
    <w:p>
      <w:pPr>
        <w:spacing w:line="480" w:lineRule="auto" w:before="240" w:after="120"/>
      </w:pPr>
      <w:r>
        <w:rPr>
          <w:b/>
          <w:sz w:val="28"/>
          <w:szCs w:val="28"/>
        </w:rPr>
        <w:t xml:space="preserve">Introduction</w:t>
      </w:r>
    </w:p>
    <w:p>
      <w:pPr>
        <w:spacing w:line="480" w:lineRule="auto" w:after="0"/>
      </w:pPr>
    </w:p>
    <w:p>
      <w:pPr>
        <w:spacing w:line="480" w:lineRule="auto" w:after="0"/>
        <w:ind w:firstLine="720"/>
      </w:pPr>
      <w:r>
        <w:rPr>
          <w:sz w:val="24"/>
          <w:szCs w:val="24"/>
        </w:rPr>
        <w:t xml:space="preserve">The contemporary university stands at a crossroads unlike any it has encountered in its nearly millennium-long history [1]. The forces of globalisation, digitalisation, marketisation, and political polarisation have converged to create an environment in which the very meaning of being an academic is subject to continuous renegotiation [2]. Where once the university provided a stable institutional framework within which scholars could develop their identities over the course of a career, the "boundaryless" university of the twenty-first century demands that academics become active architects of their own professional selves [3]. This chapter examines the intricate relationship between academic identity and professional development, arguing that the two are not merely related but are, in fact, constitutive of one another [4]. Identity is not a fixed attribute conferred by a doctoral degree or a tenured position; it is an ongoing, reflexive project that is shaped by, and in turn shapes, the professional development activities that academics undertake throughout their careers [5].</w:t>
      </w:r>
    </w:p>
    <w:p>
      <w:pPr>
        <w:spacing w:line="480" w:lineRule="auto" w:after="0"/>
      </w:pPr>
    </w:p>
    <w:p>
      <w:pPr>
        <w:spacing w:line="480" w:lineRule="auto" w:after="0"/>
        <w:ind w:firstLine="720"/>
      </w:pPr>
      <w:r>
        <w:rPr>
          <w:sz w:val="24"/>
          <w:szCs w:val="24"/>
        </w:rPr>
        <w:t xml:space="preserve">The chapter is structured around four interconnected sections. The first deconstructs the historical archetype of the autonomous, discipline-bound scholar and maps the external forces that have fractured this once-coherent identity [6]. The second turns inward, examining the psychological landscape of the modern academic and the personal resources required to sustain a career in a high-pressure, evolving environment [7]. The third provides concrete frameworks and strategies for adaptive professional growth, moving beyond the traditional curriculum vitae to embrace a portfolio approach to career development [8]. The fourth and final section looks to the horizon, addressing the ethical responsibilities of the modern academic and the collective action required to reimagine academic identity for the future [9]. Throughout, the chapter maintains a central thesis: that professional development in higher education must be reconceived not as a series of discrete skill-acquisition events but as an integrated, identity-constituting practice that is simultaneously personal, political, and pedagogical [10].</w:t>
      </w:r>
    </w:p>
    <w:p>
      <w:pPr>
        <w:spacing w:line="480" w:lineRule="auto" w:after="0"/>
      </w:pPr>
    </w:p>
    <w:p>
      <w:pPr>
        <w:spacing w:line="480" w:lineRule="auto" w:after="0"/>
        <w:ind w:firstLine="720"/>
      </w:pPr>
      <w:r>
        <w:rPr>
          <w:sz w:val="24"/>
          <w:szCs w:val="24"/>
        </w:rPr>
        <w:t xml:space="preserve">The conceptual framework underpinning this chapter is illustrated in Figure 1, which depicts the mutually constitutive relationship between academic identity and the four key domains that shape it: institutional context, disciplinary community, professional development, and personal values. As Figure 1 demonstrates, these relationships are bidirectional - identity is not merely shaped by external forces but actively reshapes the environments in which academics operate.</w:t>
      </w:r>
    </w:p>
    <w:p>
      <w:pPr>
        <w:spacing w:line="480" w:lineRule="auto" w:after="0"/>
      </w:pPr>
    </w:p>
    <w:p>
      <w:pPr>
        <w:spacing w:line="480" w:lineRule="auto" w:after="0"/>
        <w:ind w:firstLine="720"/>
      </w:pPr>
      <w:r>
        <w:rPr>
          <w:sz w:val="24"/>
          <w:szCs w:val="24"/>
        </w:rPr>
        <w:t xml:space="preserve">Before proceeding, it is important to clarify the theoretical orientation that underpins this chapter. Academic identity is understood here not as a fixed essence but as a dynamic, socially constructed phenomenon - something that is continuously negotiated through interaction with institutional structures, disciplinary communities, students, colleagues, and broader publics [11]. Professional development, correspondingly, is not merely the acquisition of technical competencies but a process of identity work: the ongoing, reflexive labour of constructing, maintaining, and revising a coherent professional self in the face of competing demands and shifting institutional landscapes [12]. This constructivist orientation has significant implications for practice: it suggests that effective professional development must engage with questions of meaning, purpose, and belonging, not merely with questions of skill and performance [13].</w:t>
      </w:r>
    </w:p>
    <w:p>
      <w:pPr>
        <w:spacing w:line="480" w:lineRule="auto" w:after="0"/>
      </w:pPr>
    </w:p>
    <w:p>
      <w:pPr>
        <w:jc w:val="center"/>
        <w:spacing w:before="120" w:after="120"/>
      </w:pPr>
      <w:r>
        <w:drawing>
          <wp:inline xmlns:wp="http://schemas.openxmlformats.org/drawingml/2006/wordprocessingDrawing" distT="0" distB="0" distL="0" distR="0">
            <wp:extent cx="5029200" cy="3352800"/>
            <wp:docPr id="1" name="Figure_1_Conceptual_Framework.png"/>
            <a:graphic xmlns:a="http://schemas.openxmlformats.org/drawingml/2006/main">
              <a:graphicData uri="http://schemas.openxmlformats.org/drawingml/2006/picture">
                <pic:pic xmlns:pic="http://schemas.openxmlformats.org/drawingml/2006/picture">
                  <pic:nvPicPr>
                    <pic:cNvPr id="0" name="Figure_1_Conceptual_Framework.png"/>
                    <pic:cNvPicPr/>
                  </pic:nvPicPr>
                  <pic:blipFill>
                    <a:blip xmlns:r="http://schemas.openxmlformats.org/officeDocument/2006/relationships" r:embed="rId101"/>
                    <a:stretch>
                      <a:fillRect/>
                    </a:stretch>
                  </pic:blipFill>
                  <pic:spPr>
                    <a:xfrm>
                      <a:off x="0" y="0"/>
                      <a:ext cx="5029200" cy="3352800"/>
                    </a:xfrm>
                    <a:prstGeom prst="rect">
                      <a:avLst/>
                    </a:prstGeom>
                  </pic:spPr>
                </pic:pic>
              </a:graphicData>
            </a:graphic>
          </wp:inline>
        </w:drawing>
      </w:r>
    </w:p>
    <w:p>
      <w:pPr>
        <w:spacing w:line="480" w:lineRule="auto" w:after="120"/>
        <w:jc w:val="center"/>
      </w:pPr>
      <w:r>
        <w:rPr>
          <w:i/>
          <w:sz w:val="24"/>
          <w:szCs w:val="24"/>
        </w:rPr>
        <w:t xml:space="preserve">Figure 1. Conceptual Framework: The Identity-Development Nexus in Higher Education. This model illustrates the bidirectional relationships between academic identity and the four domains (institutional context, disciplinary community, professional development, personal values) that mutually constitute it. Adapted from Henkel [4] and Clegg [5].</w:t>
      </w:r>
    </w:p>
    <w:p>
      <w:pPr>
        <w:spacing w:line="480" w:lineRule="auto" w:after="0"/>
      </w:pPr>
    </w:p>
    <w:p>
      <w:pPr>
        <w:spacing w:line="480" w:lineRule="auto" w:after="0"/>
      </w:pPr>
    </w:p>
    <w:p>
      <w:pPr>
        <w:spacing w:line="480" w:lineRule="auto" w:before="240" w:after="120"/>
      </w:pPr>
      <w:r>
        <w:rPr>
          <w:b/>
          <w:sz w:val="28"/>
          <w:szCs w:val="28"/>
        </w:rPr>
        <w:t xml:space="preserve">Section 1: The Fracturing of the Traditional Academic Self</w:t>
      </w:r>
    </w:p>
    <w:p>
      <w:pPr>
        <w:spacing w:line="480" w:lineRule="auto" w:before="240" w:after="120"/>
      </w:pPr>
      <w:r>
        <w:rPr>
          <w:b/>
          <w:sz w:val="26"/>
          <w:szCs w:val="26"/>
        </w:rPr>
        <w:t xml:space="preserve">From the "Ivory Tower" to the "Networked Node"</w:t>
      </w:r>
    </w:p>
    <w:p>
      <w:pPr>
        <w:spacing w:line="480" w:lineRule="auto" w:after="0"/>
      </w:pPr>
    </w:p>
    <w:p>
      <w:pPr>
        <w:spacing w:line="480" w:lineRule="auto" w:before="240" w:after="120"/>
      </w:pPr>
      <w:r>
        <w:rPr>
          <w:b/>
          <w:i/>
          <w:sz w:val="24"/>
          <w:szCs w:val="24"/>
        </w:rPr>
        <w:t xml:space="preserve">The Historical Context</w:t>
      </w:r>
    </w:p>
    <w:p>
      <w:pPr>
        <w:spacing w:line="480" w:lineRule="auto" w:after="0"/>
      </w:pPr>
    </w:p>
    <w:p>
      <w:pPr>
        <w:spacing w:line="480" w:lineRule="auto" w:after="0"/>
        <w:ind w:firstLine="720"/>
      </w:pPr>
      <w:r>
        <w:rPr>
          <w:sz w:val="24"/>
          <w:szCs w:val="24"/>
        </w:rPr>
        <w:t xml:space="preserve">To understand the present crisis of academic identity, one must first appreciate the historical construction of the academic role. The medieval university, born in Bologna and Paris in the twelfth century, conceived of the scholar as a member of a self-governing guild, protected by ecclesiastical or royal charter and devoted to the preservation and transmission of authoritative knowledge [14]. The scholar was defined by membership in a community of learning, bound by shared rituals of disputation, examination, and conferral of degrees. Identity was corporate and institutional before it was individual [15].</w:t>
      </w:r>
    </w:p>
    <w:p>
      <w:pPr>
        <w:spacing w:line="480" w:lineRule="auto" w:after="0"/>
      </w:pPr>
    </w:p>
    <w:p>
      <w:pPr>
        <w:spacing w:line="480" w:lineRule="auto" w:after="0"/>
        <w:ind w:firstLine="720"/>
      </w:pPr>
      <w:r>
        <w:rPr>
          <w:sz w:val="24"/>
          <w:szCs w:val="24"/>
        </w:rPr>
        <w:t xml:space="preserve">The Humboldtian revolution of the nineteenth century introduced a fundamentally new element: the unity of teaching and research (Lernfreiheit and Lehrfreiheit). The modern research university, pioneered in Berlin in 1810 and subsequently exported worldwide, constructed the academic as a dual figure: simultaneously a discoverer of new knowledge and a cultivator of the next generation of scholars [16]. This model persisted largely intact through the massive expansion of higher education in the mid-twentieth century, underpinned by the assumption that academic freedom, tenure, and disciplinary expertise formed an indivisible triad [17].</w:t>
      </w:r>
    </w:p>
    <w:p>
      <w:pPr>
        <w:spacing w:line="480" w:lineRule="auto" w:after="0"/>
      </w:pPr>
    </w:p>
    <w:p>
      <w:pPr>
        <w:spacing w:line="480" w:lineRule="auto" w:after="0"/>
        <w:ind w:firstLine="720"/>
      </w:pPr>
      <w:r>
        <w:rPr>
          <w:sz w:val="24"/>
          <w:szCs w:val="24"/>
        </w:rPr>
        <w:t xml:space="preserve">The post-war period, particularly from the 1960s onward, witnessed the "massification" of higher education across the Global North [18]. The expansion of student numbers, the diversification of institutional missions, and the increasing dependence on public funding created new pressures that would, by the late twentieth century, begin to erode the Humboldtian model [19]. The academic was no longer simply a scholar and teacher but was increasingly expected to be an administrator, a grant-winner, a manager of research teams, and crucially a demonstrable contributor to economic growth and social utility [20].</w:t>
      </w:r>
    </w:p>
    <w:p>
      <w:pPr>
        <w:spacing w:line="480" w:lineRule="auto" w:after="0"/>
      </w:pPr>
    </w:p>
    <w:p>
      <w:pPr>
        <w:spacing w:line="480" w:lineRule="auto" w:after="0"/>
        <w:ind w:firstLine="720"/>
      </w:pPr>
      <w:r>
        <w:rPr>
          <w:sz w:val="24"/>
          <w:szCs w:val="24"/>
        </w:rPr>
        <w:t xml:space="preserve">This genealogy reveals a crucial point: the "traditional" academic identity that many scholars nostalgically invoke was never as stable or universal as it appears in retrospect [21]. It was always the product of specific historical, economic, and political conditions. What is new about the present moment is not the fact of change itself but the pace, scale, and simultaneity of the transformations confronting the academic profession [22]. The digital revolution, the globalisation of knowledge production, the casualisation of academic labour, and the rise of accountability regimes have converged to create what might be termed a "perfect storm" of identity disruption - one that demands a fundamentally new approach to professional selfhood and development [23]. Table 1 summarises the historical evolution of the academic role across these distinct periods, illustrating the progressive expansion and fragmentation of professional expectations.</w:t>
      </w:r>
    </w:p>
    <w:p>
      <w:pPr>
        <w:spacing w:line="480" w:lineRule="auto" w:after="0"/>
      </w:pPr>
    </w:p>
    <w:p>
      <w:pPr>
        <w:spacing w:line="240" w:lineRule="auto" w:before="240" w:after="120"/>
      </w:pPr>
      <w:r>
        <w:rPr>
          <w:b/>
          <w:i/>
          <w:sz w:val="24"/>
          <w:szCs w:val="24"/>
        </w:rPr>
        <w:t xml:space="preserve">Table 1. Historical Evolution of the Academic Role and Identity Formation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c>
          <w:tcPr>
            <w:tcW w:w="1872" w:type="dxa"/>
            <w:shd w:val="clear" w:color="auto" w:fill="D9E2F3"/>
          </w:tcPr>
          <w:p>
            <w:pPr>
              <w:spacing w:line="240" w:lineRule="auto" w:after="0"/>
            </w:pPr>
            <w:r>
              <w:rPr>
                <w:b/>
                <w:sz w:val="20"/>
                <w:szCs w:val="20"/>
              </w:rPr>
              <w:t xml:space="preserve">Period</w:t>
            </w:r>
          </w:p>
        </w:tc>
        <w:tc>
          <w:tcPr>
            <w:tcW w:w="1872" w:type="dxa"/>
            <w:shd w:val="clear" w:color="auto" w:fill="D9E2F3"/>
          </w:tcPr>
          <w:p>
            <w:pPr>
              <w:spacing w:line="240" w:lineRule="auto" w:after="0"/>
            </w:pPr>
            <w:r>
              <w:rPr>
                <w:b/>
                <w:sz w:val="20"/>
                <w:szCs w:val="20"/>
              </w:rPr>
              <w:t xml:space="preserve">Dominant Model</w:t>
            </w:r>
          </w:p>
        </w:tc>
        <w:tc>
          <w:tcPr>
            <w:tcW w:w="1872" w:type="dxa"/>
            <w:shd w:val="clear" w:color="auto" w:fill="D9E2F3"/>
          </w:tcPr>
          <w:p>
            <w:pPr>
              <w:spacing w:line="240" w:lineRule="auto" w:after="0"/>
            </w:pPr>
            <w:r>
              <w:rPr>
                <w:b/>
                <w:sz w:val="20"/>
                <w:szCs w:val="20"/>
              </w:rPr>
              <w:t xml:space="preserve">Identity Anchor</w:t>
            </w:r>
          </w:p>
        </w:tc>
        <w:tc>
          <w:tcPr>
            <w:tcW w:w="1872" w:type="dxa"/>
            <w:shd w:val="clear" w:color="auto" w:fill="D9E2F3"/>
          </w:tcPr>
          <w:p>
            <w:pPr>
              <w:spacing w:line="240" w:lineRule="auto" w:after="0"/>
            </w:pPr>
            <w:r>
              <w:rPr>
                <w:b/>
                <w:sz w:val="20"/>
                <w:szCs w:val="20"/>
              </w:rPr>
              <w:t xml:space="preserve">Key Characteristics</w:t>
            </w:r>
          </w:p>
        </w:tc>
        <w:tc>
          <w:tcPr>
            <w:tcW w:w="1872" w:type="dxa"/>
            <w:shd w:val="clear" w:color="auto" w:fill="D9E2F3"/>
          </w:tcPr>
          <w:p>
            <w:pPr>
              <w:spacing w:line="240" w:lineRule="auto" w:after="0"/>
            </w:pPr>
            <w:r>
              <w:rPr>
                <w:b/>
                <w:sz w:val="20"/>
                <w:szCs w:val="20"/>
              </w:rPr>
              <w:t xml:space="preserve">Representative Source</w:t>
            </w:r>
          </w:p>
        </w:tc>
      </w:tr>
      <w:tr>
        <w:tc>
          <w:tcPr>
            <w:tcW w:w="1872" w:type="dxa"/>
          </w:tcPr>
          <w:p>
            <w:pPr>
              <w:spacing w:line="240" w:lineRule="auto" w:after="0"/>
            </w:pPr>
            <w:r>
              <w:rPr>
                <w:sz w:val="20"/>
                <w:szCs w:val="20"/>
              </w:rPr>
              <w:t xml:space="preserve">12th-18th Century</w:t>
            </w:r>
          </w:p>
        </w:tc>
        <w:tc>
          <w:tcPr>
            <w:tcW w:w="1872" w:type="dxa"/>
          </w:tcPr>
          <w:p>
            <w:pPr>
              <w:spacing w:line="240" w:lineRule="auto" w:after="0"/>
            </w:pPr>
            <w:r>
              <w:rPr>
                <w:sz w:val="20"/>
                <w:szCs w:val="20"/>
              </w:rPr>
              <w:t xml:space="preserve">Medieval Scholar</w:t>
            </w:r>
          </w:p>
        </w:tc>
        <w:tc>
          <w:tcPr>
            <w:tcW w:w="1872" w:type="dxa"/>
          </w:tcPr>
          <w:p>
            <w:pPr>
              <w:spacing w:line="240" w:lineRule="auto" w:after="0"/>
            </w:pPr>
            <w:r>
              <w:rPr>
                <w:sz w:val="20"/>
                <w:szCs w:val="20"/>
              </w:rPr>
              <w:t xml:space="preserve">Guild membership</w:t>
            </w:r>
          </w:p>
        </w:tc>
        <w:tc>
          <w:tcPr>
            <w:tcW w:w="1872" w:type="dxa"/>
          </w:tcPr>
          <w:p>
            <w:pPr>
              <w:spacing w:line="240" w:lineRule="auto" w:after="0"/>
            </w:pPr>
            <w:r>
              <w:rPr>
                <w:sz w:val="20"/>
                <w:szCs w:val="20"/>
              </w:rPr>
              <w:t xml:space="preserve">Preservation of knowledge; ecclesiastical authority; corporate identity</w:t>
            </w:r>
          </w:p>
        </w:tc>
        <w:tc>
          <w:tcPr>
            <w:tcW w:w="1872" w:type="dxa"/>
          </w:tcPr>
          <w:p>
            <w:pPr>
              <w:spacing w:line="240" w:lineRule="auto" w:after="0"/>
            </w:pPr>
            <w:r>
              <w:rPr>
                <w:sz w:val="20"/>
                <w:szCs w:val="20"/>
              </w:rPr>
              <w:t xml:space="preserve">Ruegg [14]</w:t>
            </w:r>
          </w:p>
        </w:tc>
      </w:tr>
      <w:tr>
        <w:tc>
          <w:tcPr>
            <w:tcW w:w="1872" w:type="dxa"/>
          </w:tcPr>
          <w:p>
            <w:pPr>
              <w:spacing w:line="240" w:lineRule="auto" w:after="0"/>
            </w:pPr>
            <w:r>
              <w:rPr>
                <w:sz w:val="20"/>
                <w:szCs w:val="20"/>
              </w:rPr>
              <w:t xml:space="preserve">19th Century</w:t>
            </w:r>
          </w:p>
        </w:tc>
        <w:tc>
          <w:tcPr>
            <w:tcW w:w="1872" w:type="dxa"/>
          </w:tcPr>
          <w:p>
            <w:pPr>
              <w:spacing w:line="240" w:lineRule="auto" w:after="0"/>
            </w:pPr>
            <w:r>
              <w:rPr>
                <w:sz w:val="20"/>
                <w:szCs w:val="20"/>
              </w:rPr>
              <w:t xml:space="preserve">Humboldtian Professor</w:t>
            </w:r>
          </w:p>
        </w:tc>
        <w:tc>
          <w:tcPr>
            <w:tcW w:w="1872" w:type="dxa"/>
          </w:tcPr>
          <w:p>
            <w:pPr>
              <w:spacing w:line="240" w:lineRule="auto" w:after="0"/>
            </w:pPr>
            <w:r>
              <w:rPr>
                <w:sz w:val="20"/>
                <w:szCs w:val="20"/>
              </w:rPr>
              <w:t xml:space="preserve">Unity of teaching and research</w:t>
            </w:r>
          </w:p>
        </w:tc>
        <w:tc>
          <w:tcPr>
            <w:tcW w:w="1872" w:type="dxa"/>
          </w:tcPr>
          <w:p>
            <w:pPr>
              <w:spacing w:line="240" w:lineRule="auto" w:after="0"/>
            </w:pPr>
            <w:r>
              <w:rPr>
                <w:sz w:val="20"/>
                <w:szCs w:val="20"/>
              </w:rPr>
              <w:t xml:space="preserve">Academic freedom; disciplinary expertise; national service</w:t>
            </w:r>
          </w:p>
        </w:tc>
        <w:tc>
          <w:tcPr>
            <w:tcW w:w="1872" w:type="dxa"/>
          </w:tcPr>
          <w:p>
            <w:pPr>
              <w:spacing w:line="240" w:lineRule="auto" w:after="0"/>
            </w:pPr>
            <w:r>
              <w:rPr>
                <w:sz w:val="20"/>
                <w:szCs w:val="20"/>
              </w:rPr>
              <w:t xml:space="preserve">Clark [16]</w:t>
            </w:r>
          </w:p>
        </w:tc>
      </w:tr>
      <w:tr>
        <w:tc>
          <w:tcPr>
            <w:tcW w:w="1872" w:type="dxa"/>
          </w:tcPr>
          <w:p>
            <w:pPr>
              <w:spacing w:line="240" w:lineRule="auto" w:after="0"/>
            </w:pPr>
            <w:r>
              <w:rPr>
                <w:sz w:val="20"/>
                <w:szCs w:val="20"/>
              </w:rPr>
              <w:t xml:space="preserve">1960s-1990s</w:t>
            </w:r>
          </w:p>
        </w:tc>
        <w:tc>
          <w:tcPr>
            <w:tcW w:w="1872" w:type="dxa"/>
          </w:tcPr>
          <w:p>
            <w:pPr>
              <w:spacing w:line="240" w:lineRule="auto" w:after="0"/>
            </w:pPr>
            <w:r>
              <w:rPr>
                <w:sz w:val="20"/>
                <w:szCs w:val="20"/>
              </w:rPr>
              <w:t xml:space="preserve">Mass HE Professional</w:t>
            </w:r>
          </w:p>
        </w:tc>
        <w:tc>
          <w:tcPr>
            <w:tcW w:w="1872" w:type="dxa"/>
          </w:tcPr>
          <w:p>
            <w:pPr>
              <w:spacing w:line="240" w:lineRule="auto" w:after="0"/>
            </w:pPr>
            <w:r>
              <w:rPr>
                <w:sz w:val="20"/>
                <w:szCs w:val="20"/>
              </w:rPr>
              <w:t xml:space="preserve">Institutional affiliation</w:t>
            </w:r>
          </w:p>
        </w:tc>
        <w:tc>
          <w:tcPr>
            <w:tcW w:w="1872" w:type="dxa"/>
          </w:tcPr>
          <w:p>
            <w:pPr>
              <w:spacing w:line="240" w:lineRule="auto" w:after="0"/>
            </w:pPr>
            <w:r>
              <w:rPr>
                <w:sz w:val="20"/>
                <w:szCs w:val="20"/>
              </w:rPr>
              <w:t xml:space="preserve">Expanded access; diversified missions; tenure system</w:t>
            </w:r>
          </w:p>
        </w:tc>
        <w:tc>
          <w:tcPr>
            <w:tcW w:w="1872" w:type="dxa"/>
          </w:tcPr>
          <w:p>
            <w:pPr>
              <w:spacing w:line="240" w:lineRule="auto" w:after="0"/>
            </w:pPr>
            <w:r>
              <w:rPr>
                <w:sz w:val="20"/>
                <w:szCs w:val="20"/>
              </w:rPr>
              <w:t xml:space="preserve">Trow [18]</w:t>
            </w:r>
          </w:p>
        </w:tc>
      </w:tr>
      <w:tr>
        <w:tc>
          <w:tcPr>
            <w:tcW w:w="1872" w:type="dxa"/>
          </w:tcPr>
          <w:p>
            <w:pPr>
              <w:spacing w:line="240" w:lineRule="auto" w:after="0"/>
            </w:pPr>
            <w:r>
              <w:rPr>
                <w:sz w:val="20"/>
                <w:szCs w:val="20"/>
              </w:rPr>
              <w:t xml:space="preserve">1990s-2010s</w:t>
            </w:r>
          </w:p>
        </w:tc>
        <w:tc>
          <w:tcPr>
            <w:tcW w:w="1872" w:type="dxa"/>
          </w:tcPr>
          <w:p>
            <w:pPr>
              <w:spacing w:line="240" w:lineRule="auto" w:after="0"/>
            </w:pPr>
            <w:r>
              <w:rPr>
                <w:sz w:val="20"/>
                <w:szCs w:val="20"/>
              </w:rPr>
              <w:t xml:space="preserve">Managed Academic</w:t>
            </w:r>
          </w:p>
        </w:tc>
        <w:tc>
          <w:tcPr>
            <w:tcW w:w="1872" w:type="dxa"/>
          </w:tcPr>
          <w:p>
            <w:pPr>
              <w:spacing w:line="240" w:lineRule="auto" w:after="0"/>
            </w:pPr>
            <w:r>
              <w:rPr>
                <w:sz w:val="20"/>
                <w:szCs w:val="20"/>
              </w:rPr>
              <w:t xml:space="preserve">Metric performance</w:t>
            </w:r>
          </w:p>
        </w:tc>
        <w:tc>
          <w:tcPr>
            <w:tcW w:w="1872" w:type="dxa"/>
          </w:tcPr>
          <w:p>
            <w:pPr>
              <w:spacing w:line="240" w:lineRule="auto" w:after="0"/>
            </w:pPr>
            <w:r>
              <w:rPr>
                <w:sz w:val="20"/>
                <w:szCs w:val="20"/>
              </w:rPr>
              <w:t xml:space="preserve">Audit culture; accountability; managerialism</w:t>
            </w:r>
          </w:p>
        </w:tc>
        <w:tc>
          <w:tcPr>
            <w:tcW w:w="1872" w:type="dxa"/>
          </w:tcPr>
          <w:p>
            <w:pPr>
              <w:spacing w:line="240" w:lineRule="auto" w:after="0"/>
            </w:pPr>
            <w:r>
              <w:rPr>
                <w:sz w:val="20"/>
                <w:szCs w:val="20"/>
              </w:rPr>
              <w:t xml:space="preserve">Deem et al. [20]</w:t>
            </w:r>
          </w:p>
        </w:tc>
      </w:tr>
      <w:tr>
        <w:tc>
          <w:tcPr>
            <w:tcW w:w="1872" w:type="dxa"/>
          </w:tcPr>
          <w:p>
            <w:pPr>
              <w:spacing w:line="240" w:lineRule="auto" w:after="0"/>
            </w:pPr>
            <w:r>
              <w:rPr>
                <w:sz w:val="20"/>
                <w:szCs w:val="20"/>
              </w:rPr>
              <w:t xml:space="preserve">2010s-Present</w:t>
            </w:r>
          </w:p>
        </w:tc>
        <w:tc>
          <w:tcPr>
            <w:tcW w:w="1872" w:type="dxa"/>
          </w:tcPr>
          <w:p>
            <w:pPr>
              <w:spacing w:line="240" w:lineRule="auto" w:after="0"/>
            </w:pPr>
            <w:r>
              <w:rPr>
                <w:sz w:val="20"/>
                <w:szCs w:val="20"/>
              </w:rPr>
              <w:t xml:space="preserve">Networked Node</w:t>
            </w:r>
          </w:p>
        </w:tc>
        <w:tc>
          <w:tcPr>
            <w:tcW w:w="1872" w:type="dxa"/>
          </w:tcPr>
          <w:p>
            <w:pPr>
              <w:spacing w:line="240" w:lineRule="auto" w:after="0"/>
            </w:pPr>
            <w:r>
              <w:rPr>
                <w:sz w:val="20"/>
                <w:szCs w:val="20"/>
              </w:rPr>
              <w:t xml:space="preserve">Self-curated portfolio</w:t>
            </w:r>
          </w:p>
        </w:tc>
        <w:tc>
          <w:tcPr>
            <w:tcW w:w="1872" w:type="dxa"/>
          </w:tcPr>
          <w:p>
            <w:pPr>
              <w:spacing w:line="240" w:lineRule="auto" w:after="0"/>
            </w:pPr>
            <w:r>
              <w:rPr>
                <w:sz w:val="20"/>
                <w:szCs w:val="20"/>
              </w:rPr>
              <w:t xml:space="preserve">Boundaryless; digital; precarious; interdisciplinary</w:t>
            </w:r>
          </w:p>
        </w:tc>
        <w:tc>
          <w:tcPr>
            <w:tcW w:w="1872" w:type="dxa"/>
          </w:tcPr>
          <w:p>
            <w:pPr>
              <w:spacing w:line="240" w:lineRule="auto" w:after="0"/>
            </w:pPr>
            <w:r>
              <w:rPr>
                <w:sz w:val="20"/>
                <w:szCs w:val="20"/>
              </w:rPr>
              <w:t xml:space="preserve">Barnett [22]</w:t>
            </w:r>
          </w:p>
        </w:tc>
      </w:tr>
    </w:tbl>
    <w:p/>
    <w:p>
      <w:pPr>
        <w:spacing w:line="480" w:lineRule="auto" w:after="0"/>
      </w:pPr>
    </w:p>
    <w:p>
      <w:pPr>
        <w:spacing w:line="480" w:lineRule="auto" w:after="0"/>
      </w:pPr>
    </w:p>
    <w:p>
      <w:pPr>
        <w:spacing w:line="480" w:lineRule="auto" w:after="0"/>
      </w:pPr>
    </w:p>
    <w:p>
      <w:pPr>
        <w:spacing w:line="480" w:lineRule="auto" w:before="240" w:after="120"/>
      </w:pPr>
      <w:r>
        <w:rPr>
          <w:b/>
          <w:i/>
          <w:sz w:val="24"/>
          <w:szCs w:val="24"/>
        </w:rPr>
        <w:t xml:space="preserve">The Triple Threat of "Unbundling"</w:t>
      </w:r>
    </w:p>
    <w:p>
      <w:pPr>
        <w:spacing w:line="480" w:lineRule="auto" w:after="0"/>
      </w:pPr>
    </w:p>
    <w:p>
      <w:pPr>
        <w:spacing w:line="480" w:lineRule="auto" w:after="0"/>
        <w:ind w:firstLine="720"/>
      </w:pPr>
      <w:r>
        <w:rPr>
          <w:sz w:val="24"/>
          <w:szCs w:val="24"/>
        </w:rPr>
        <w:t xml:space="preserve">One of the most significant structural changes affecting academic identity in the twenty-first century is the phenomenon of "unbundling" - the disaggregation of teaching, research, and service into separate, often casualised, functions [24]. This process operates on multiple fronts simultaneously. The adjunctification of teaching labour means that, in many institutions, the majority of undergraduate instruction is now delivered by contingent faculty who have no research mandate, limited institutional affiliation, and precarious employment conditions [25]. For these academics, the traditional identity of the "scholar-teacher" is functionally inaccessible; they are teachers without the institutional support to be scholars [26].</w:t>
      </w:r>
    </w:p>
    <w:p>
      <w:pPr>
        <w:spacing w:line="480" w:lineRule="auto" w:after="0"/>
      </w:pPr>
    </w:p>
    <w:p>
      <w:pPr>
        <w:spacing w:line="480" w:lineRule="auto" w:after="0"/>
        <w:ind w:firstLine="720"/>
      </w:pPr>
      <w:r>
        <w:rPr>
          <w:sz w:val="24"/>
          <w:szCs w:val="24"/>
        </w:rPr>
        <w:t xml:space="preserve">Simultaneously, the rise of educational technology platforms - Massive Open Online Courses (MOOCs), learning management systems, and now AI-powered tutoring - has created a layer of mediation between the academic and the student [27]. The academic is no longer the sole or even primary interface through which knowledge reaches the learner. This technological unbundling challenges the pedagogical identity of even tenured faculty, who find themselves competing for attention with polished digital content produced by instructional designers and media professionals [28].</w:t>
      </w:r>
    </w:p>
    <w:p>
      <w:pPr>
        <w:spacing w:line="480" w:lineRule="auto" w:after="0"/>
      </w:pPr>
    </w:p>
    <w:p>
      <w:pPr>
        <w:spacing w:line="480" w:lineRule="auto" w:after="0"/>
        <w:ind w:firstLine="720"/>
      </w:pPr>
      <w:r>
        <w:rPr>
          <w:sz w:val="24"/>
          <w:szCs w:val="24"/>
        </w:rPr>
        <w:t xml:space="preserve">Administrative bloat compounds the problem. As universities have grown in complexity, a managerial class has emerged to handle functions - student recruitment, quality assurance, research commercialisation, compliance - that were once performed by academics themselves [29]. The result is a progressive narrowing of the academic role: scholars find themselves managing fewer aspects of the institutional environment, leading to what has been termed the emergence of "third space" professionals who occupy roles that are neither purely academic nor purely administrative [30]. The convergence of these three unbundling forces is depicted in Figure 2, which illustrates how adjunctification, educational technology, and administrative expansion collectively fragment the coherent academic identity described in Table 1.</w:t>
      </w:r>
    </w:p>
    <w:p>
      <w:pPr>
        <w:spacing w:line="480" w:lineRule="auto" w:after="0"/>
      </w:pPr>
    </w:p>
    <w:p>
      <w:pPr>
        <w:jc w:val="center"/>
        <w:spacing w:before="120" w:after="120"/>
      </w:pPr>
      <w:r>
        <w:drawing>
          <wp:inline xmlns:wp="http://schemas.openxmlformats.org/drawingml/2006/wordprocessingDrawing" distT="0" distB="0" distL="0" distR="0">
            <wp:extent cx="5029200" cy="3352800"/>
            <wp:docPr id="1" name="Figure_2_Unbundling_Forces.png"/>
            <a:graphic xmlns:a="http://schemas.openxmlformats.org/drawingml/2006/main">
              <a:graphicData uri="http://schemas.openxmlformats.org/drawingml/2006/picture">
                <pic:pic xmlns:pic="http://schemas.openxmlformats.org/drawingml/2006/picture">
                  <pic:nvPicPr>
                    <pic:cNvPr id="0" name="Figure_2_Unbundling_Forces.png"/>
                    <pic:cNvPicPr/>
                  </pic:nvPicPr>
                  <pic:blipFill>
                    <a:blip xmlns:r="http://schemas.openxmlformats.org/officeDocument/2006/relationships" r:embed="rId102"/>
                    <a:stretch>
                      <a:fillRect/>
                    </a:stretch>
                  </pic:blipFill>
                  <pic:spPr>
                    <a:xfrm>
                      <a:off x="0" y="0"/>
                      <a:ext cx="5029200" cy="3352800"/>
                    </a:xfrm>
                    <a:prstGeom prst="rect">
                      <a:avLst/>
                    </a:prstGeom>
                  </pic:spPr>
                </pic:pic>
              </a:graphicData>
            </a:graphic>
          </wp:inline>
        </w:drawing>
      </w:r>
    </w:p>
    <w:p>
      <w:pPr>
        <w:spacing w:line="480" w:lineRule="auto" w:after="120"/>
        <w:jc w:val="center"/>
      </w:pPr>
      <w:r>
        <w:rPr>
          <w:i/>
          <w:sz w:val="24"/>
          <w:szCs w:val="24"/>
        </w:rPr>
        <w:t xml:space="preserve">Figure 2. The Triple Threat of Unbundling: Forces Fragmenting the Traditional Academic Role. Three structural forces (adjunctification, educational technology, administrative expansion) converge to produce a fragmented academic identity characterised by role ambiguity, value conflicts, precarity, and metric anxiety. Based on Macfarlane [24] and Whitchurch [30].</w:t>
      </w:r>
    </w:p>
    <w:p>
      <w:pPr>
        <w:spacing w:line="480" w:lineRule="auto" w:after="0"/>
      </w:pPr>
    </w:p>
    <w:p>
      <w:pPr>
        <w:spacing w:line="480" w:lineRule="auto" w:before="240" w:after="120"/>
      </w:pPr>
      <w:r>
        <w:rPr>
          <w:b/>
          <w:i/>
          <w:sz w:val="24"/>
          <w:szCs w:val="24"/>
        </w:rPr>
        <w:t xml:space="preserve">The Rise of Managerialism</w:t>
      </w:r>
    </w:p>
    <w:p>
      <w:pPr>
        <w:spacing w:line="480" w:lineRule="auto" w:after="0"/>
      </w:pPr>
    </w:p>
    <w:p>
      <w:pPr>
        <w:spacing w:line="480" w:lineRule="auto" w:after="0"/>
        <w:ind w:firstLine="720"/>
      </w:pPr>
      <w:r>
        <w:rPr>
          <w:sz w:val="24"/>
          <w:szCs w:val="24"/>
        </w:rPr>
        <w:t xml:space="preserve">The introduction of New Public Management (NPM) principles into higher education from the 1980s onward has had profound implications for academic identity [31]. The audit culture that accompanied NPM transformed the way academics perceive their own worth and success. Citation metrics, h-indices, journal impact factors, student satisfaction scores, and grant capture rates have become the currencies of academic value [32]. These metrics do not simply measure academic performance; they actively constitute it. Academics increasingly experience their identities as quantified selves, mediated by dashboards, league tables, and performance reviews [33].</w:t>
      </w:r>
    </w:p>
    <w:p>
      <w:pPr>
        <w:spacing w:line="480" w:lineRule="auto" w:after="0"/>
      </w:pPr>
    </w:p>
    <w:p>
      <w:pPr>
        <w:spacing w:line="480" w:lineRule="auto" w:after="0"/>
        <w:ind w:firstLine="720"/>
      </w:pPr>
      <w:r>
        <w:rPr>
          <w:sz w:val="24"/>
          <w:szCs w:val="24"/>
        </w:rPr>
        <w:t xml:space="preserve">The psychological impact of this metrification cannot be overstated. When identity is tied to measurable outputs, academics become vulnerable to what has been termed "metric anxiety" - a chronic state of self-surveillance in which every activity is evaluated not for its intrinsic intellectual or pedagogical value but for its potential contribution to measurable indicators [34]. This creates a perverse incentive structure in which "gaming the metrics" becomes rational behaviour, even as it undermines the very values of curiosity, collegiality, and intellectual risk-taking that originally drew individuals into academic life [35].</w:t>
      </w:r>
    </w:p>
    <w:p>
      <w:pPr>
        <w:spacing w:line="480" w:lineRule="auto" w:after="0"/>
      </w:pPr>
    </w:p>
    <w:p>
      <w:pPr>
        <w:spacing w:line="480" w:lineRule="auto" w:after="0"/>
        <w:ind w:firstLine="720"/>
      </w:pPr>
      <w:r>
        <w:rPr>
          <w:sz w:val="24"/>
          <w:szCs w:val="24"/>
        </w:rPr>
        <w:t xml:space="preserve">Furthermore, the managerial regime has fundamentally altered the psychological contract between the academic and the institution [36]. Where once academics enjoyed considerable autonomy in exchange for relatively modest remuneration and a commitment to institutional service, the new contract demands compliance with externally imposed targets and continuous demonstration of "value." The result is what has been described as "performativity" - a state in which academics become ontologically insecure, never certain that they are doing enough, being enough, or producing enough [37]. This performative anxiety permeates academic culture, shaping not only how individuals work but how they understand themselves as professionals and as persons [38].</w:t>
      </w:r>
    </w:p>
    <w:p>
      <w:pPr>
        <w:spacing w:line="480" w:lineRule="auto" w:after="0"/>
      </w:pPr>
    </w:p>
    <w:p>
      <w:pPr>
        <w:spacing w:line="480" w:lineRule="auto" w:after="0"/>
      </w:pPr>
    </w:p>
    <w:p>
      <w:pPr>
        <w:spacing w:line="480" w:lineRule="auto" w:before="240" w:after="120"/>
      </w:pPr>
      <w:r>
        <w:rPr>
          <w:b/>
          <w:i/>
          <w:sz w:val="24"/>
          <w:szCs w:val="24"/>
        </w:rPr>
        <w:t xml:space="preserve">Interdisciplinarity vs. Disciplinary Anchors</w:t>
      </w:r>
    </w:p>
    <w:p>
      <w:pPr>
        <w:spacing w:line="480" w:lineRule="auto" w:after="0"/>
      </w:pPr>
    </w:p>
    <w:p>
      <w:pPr>
        <w:spacing w:line="480" w:lineRule="auto" w:after="0"/>
        <w:ind w:firstLine="720"/>
      </w:pPr>
      <w:r>
        <w:rPr>
          <w:sz w:val="24"/>
          <w:szCs w:val="24"/>
        </w:rPr>
        <w:t xml:space="preserve">The discipline has traditionally served as the primary locus of academic identity. To be a historian, a physicist, or an economist is to inhabit a particular epistemic community with its own norms, methods, canonical texts, and career structures [39]. Disciplinary identity provides a sense of belonging, a shared language, and a clear pathway for progression from novice to expert [40].</w:t>
      </w:r>
    </w:p>
    <w:p>
      <w:pPr>
        <w:spacing w:line="480" w:lineRule="auto" w:after="0"/>
      </w:pPr>
    </w:p>
    <w:p>
      <w:pPr>
        <w:spacing w:line="480" w:lineRule="auto" w:after="0"/>
        <w:ind w:firstLine="720"/>
      </w:pPr>
      <w:r>
        <w:rPr>
          <w:sz w:val="24"/>
          <w:szCs w:val="24"/>
        </w:rPr>
        <w:t xml:space="preserve">Yet the contemporary university increasingly demands interdisciplinarity. Grand challenges - climate change, pandemic preparedness, artificial intelligence governance - require collaborative, problem-focused research that transcends traditional disciplinary boundaries [41]. Funding bodies reward interdisciplinary proposals; institutions create interdisciplinary centres and institutes; students demand programmes that integrate knowledge from multiple domains [42]. For the individual academic, this creates a fundamental tension: how to remain grounded in a discipline (which provides identity and credibility) while simultaneously participating in collaborative ventures that may require one to step outside comfort zones and adopt unfamiliar methodological frameworks [43].</w:t>
      </w:r>
    </w:p>
    <w:p>
      <w:pPr>
        <w:spacing w:line="480" w:lineRule="auto" w:after="0"/>
      </w:pPr>
    </w:p>
    <w:p>
      <w:pPr>
        <w:spacing w:line="480" w:lineRule="auto" w:after="0"/>
        <w:ind w:firstLine="720"/>
      </w:pPr>
      <w:r>
        <w:rPr>
          <w:sz w:val="24"/>
          <w:szCs w:val="24"/>
        </w:rPr>
        <w:t xml:space="preserve">The "boundaryless" university, therefore, does not create a void of identity; rather, it creates a collision of competing identities [44]. The academic must be simultaneously a disciplinary expert and an interdisciplinary collaborator, a researcher and a teacher, a local colleague and a global networker, an autonomous scholar and a compliant employee. As the historical trajectory outlined in Table 1 makes clear, and as Figure 1 conceptualises, professional development must begin with the recognition that identity is no longer given by the institution but must be actively curated by the individual [45].</w:t>
      </w:r>
    </w:p>
    <w:p>
      <w:pPr>
        <w:spacing w:line="480" w:lineRule="auto" w:after="0"/>
      </w:pPr>
    </w:p>
    <w:p>
      <w:pPr>
        <w:spacing w:line="480" w:lineRule="auto" w:after="0"/>
      </w:pPr>
    </w:p>
    <w:p>
      <w:pPr>
        <w:spacing w:line="480" w:lineRule="auto" w:before="240" w:after="120"/>
      </w:pPr>
      <w:r>
        <w:rPr>
          <w:b/>
          <w:sz w:val="28"/>
          <w:szCs w:val="28"/>
        </w:rPr>
        <w:t xml:space="preserve">Section 2: The Internal Landscape: Values, Self-Efficacy, and the "Authentic" Academic</w:t>
      </w:r>
    </w:p>
    <w:p>
      <w:pPr>
        <w:spacing w:line="480" w:lineRule="auto" w:before="240" w:after="120"/>
      </w:pPr>
      <w:r>
        <w:rPr>
          <w:b/>
          <w:sz w:val="26"/>
          <w:szCs w:val="26"/>
        </w:rPr>
        <w:t xml:space="preserve">Navigating the Psychological Contract</w:t>
      </w:r>
    </w:p>
    <w:p>
      <w:pPr>
        <w:spacing w:line="480" w:lineRule="auto" w:after="0"/>
      </w:pPr>
    </w:p>
    <w:p>
      <w:pPr>
        <w:spacing w:line="480" w:lineRule="auto" w:before="240" w:after="120"/>
      </w:pPr>
      <w:r>
        <w:rPr>
          <w:b/>
          <w:i/>
          <w:sz w:val="24"/>
          <w:szCs w:val="24"/>
        </w:rPr>
        <w:t xml:space="preserve">Academic Values in Conflict</w:t>
      </w:r>
    </w:p>
    <w:p>
      <w:pPr>
        <w:spacing w:line="480" w:lineRule="auto" w:after="0"/>
      </w:pPr>
    </w:p>
    <w:p>
      <w:pPr>
        <w:spacing w:line="480" w:lineRule="auto" w:after="0"/>
        <w:ind w:firstLine="720"/>
      </w:pPr>
      <w:r>
        <w:rPr>
          <w:sz w:val="24"/>
          <w:szCs w:val="24"/>
        </w:rPr>
        <w:t xml:space="preserve">At the heart of academic identity lies a set of values that are often in tension with one another and with the institutional environments in which academics operate [46]. The love of knowledge for its own sake - the intrinsic motivation that drives curiosity, intellectual exploration, and the pursuit of truth - remains a powerful source of meaning for many academics [47]. Yet this intrinsic orientation is increasingly challenged by extrinsic pressures for "impact," commercialisation, and measurable social utility [48]. The Research Excellence Framework in the United Kingdom, for example, requires academics to demonstrate the non-academic impact of their research, effectively demanding that scholars translate their work into terms legible to policymakers, industry partners, and the general public [49].</w:t>
      </w:r>
    </w:p>
    <w:p>
      <w:pPr>
        <w:spacing w:line="480" w:lineRule="auto" w:after="0"/>
      </w:pPr>
    </w:p>
    <w:p>
      <w:pPr>
        <w:spacing w:line="480" w:lineRule="auto" w:after="0"/>
        <w:ind w:firstLine="720"/>
      </w:pPr>
      <w:r>
        <w:rPr>
          <w:sz w:val="24"/>
          <w:szCs w:val="24"/>
        </w:rPr>
        <w:t xml:space="preserve">This values conflict is not simply a matter of external pressure overriding internal motivation. Rather, it creates a state of "values dissonance" in which academics feel compelled to perform activities that contradict their sense of scholarly purpose [50]. The result is often a fragmented identity in which the academic maintains a private self (devoted to intellectual curiosity) and a public self (performing impact, engagement, and entrepreneurship) [51]. Professional development that ignores this internal conflict - as the bidirectional model in Figure 1 suggests - risks exacerbating it by simply adding new competencies without addressing the underlying question of purpose [52].</w:t>
      </w:r>
    </w:p>
    <w:p>
      <w:pPr>
        <w:spacing w:line="480" w:lineRule="auto" w:after="0"/>
      </w:pPr>
    </w:p>
    <w:p>
      <w:pPr>
        <w:spacing w:line="480" w:lineRule="auto" w:after="0"/>
      </w:pPr>
    </w:p>
    <w:p>
      <w:pPr>
        <w:spacing w:line="480" w:lineRule="auto" w:before="240" w:after="120"/>
      </w:pPr>
      <w:r>
        <w:rPr>
          <w:b/>
          <w:i/>
          <w:sz w:val="24"/>
          <w:szCs w:val="24"/>
        </w:rPr>
        <w:t xml:space="preserve">Self-Efficacy and Imposter Syndrome</w:t>
      </w:r>
    </w:p>
    <w:p>
      <w:pPr>
        <w:spacing w:line="480" w:lineRule="auto" w:after="0"/>
      </w:pPr>
    </w:p>
    <w:p>
      <w:pPr>
        <w:spacing w:line="480" w:lineRule="auto" w:after="0"/>
        <w:ind w:firstLine="720"/>
      </w:pPr>
      <w:r>
        <w:rPr>
          <w:sz w:val="24"/>
          <w:szCs w:val="24"/>
        </w:rPr>
        <w:t xml:space="preserve">Self-efficacy - the belief in one's ability to succeed in specific situations - is a critical determinant of academic productivity, resilience, and wellbeing [53]. Yet the conditions of contemporary academia are particularly corrosive of self-efficacy. The hyper-competitive nature of academic labour markets, where hundreds of applicants may compete for a single position, the opacity of peer review processes, the arbitrary nature of funding decisions, and the constant comparison facilitated by social media all contribute to widespread feelings of inadequacy and self-doubt [54].</w:t>
      </w:r>
    </w:p>
    <w:p>
      <w:pPr>
        <w:spacing w:line="480" w:lineRule="auto" w:after="0"/>
      </w:pPr>
    </w:p>
    <w:p>
      <w:pPr>
        <w:spacing w:line="480" w:lineRule="auto" w:after="0"/>
        <w:ind w:firstLine="720"/>
      </w:pPr>
      <w:r>
        <w:rPr>
          <w:sz w:val="24"/>
          <w:szCs w:val="24"/>
        </w:rPr>
        <w:t xml:space="preserve">Imposter syndrome - the persistent belief that one's success is undeserved and that one will eventually be "found out" - is endemic in academia, affecting academics at all career stages but particularly prevalent among early career researchers, women, and academics from minority backgrounds [55]. The syndrome is not merely a personal failing but a structural product of academic culture: a culture that valorises brilliance over effort, individual genius over collaborative achievement, and competition over mutual support [56].</w:t>
      </w:r>
    </w:p>
    <w:p>
      <w:pPr>
        <w:spacing w:line="480" w:lineRule="auto" w:after="0"/>
      </w:pPr>
    </w:p>
    <w:p>
      <w:pPr>
        <w:spacing w:line="480" w:lineRule="auto" w:after="0"/>
        <w:ind w:firstLine="720"/>
      </w:pPr>
      <w:r>
        <w:rPr>
          <w:sz w:val="24"/>
          <w:szCs w:val="24"/>
        </w:rPr>
        <w:t xml:space="preserve">Professional development programmes must address these psychological vulnerabilities directly, not as peripheral "wellbeing" concerns but as central to the development of a sustainable academic identity [57]. This means creating spaces for honest conversation about failure, rejection, and self-doubt; normalising the experience of imposter syndrome; and building communities of practice in which vulnerability is valued rather than punished [58].</w:t>
      </w:r>
    </w:p>
    <w:p>
      <w:pPr>
        <w:spacing w:line="480" w:lineRule="auto" w:after="0"/>
      </w:pPr>
    </w:p>
    <w:p>
      <w:pPr>
        <w:spacing w:line="480" w:lineRule="auto" w:after="0"/>
        <w:ind w:firstLine="720"/>
      </w:pPr>
      <w:r>
        <w:rPr>
          <w:sz w:val="24"/>
          <w:szCs w:val="24"/>
        </w:rPr>
        <w:t xml:space="preserve">It is worth noting that traditional approaches to professional development have often inadvertently reinforced imposter syndrome rather than alleviating it. Workshops focused on "how to publish in top journals" or "winning competitive grants" can reinforce the message that success is the only acceptable outcome, thereby intensifying the fear of failure that lies at the heart of the imposter experience [59]. A more psychologically informed approach would incorporate narrative practices that help academics reframe their professional stories, recognising that setbacks, rejections, and detours are not evidence of inadequacy but normal features of an inherently uncertain creative endeavour [60]. The psychological challenges documented in Table 2 are, in many respects, direct consequences of the structural forces illustrated in Figure 2 - the unbundling of academic roles creates precisely the conditions of ambiguity, competition, and insecurity that erode self-efficacy and foster imposter syndrome.</w:t>
      </w:r>
    </w:p>
    <w:p>
      <w:pPr>
        <w:spacing w:line="480" w:lineRule="auto" w:after="0"/>
      </w:pPr>
    </w:p>
    <w:p>
      <w:pPr>
        <w:spacing w:line="240" w:lineRule="auto" w:before="240" w:after="120"/>
      </w:pPr>
      <w:r>
        <w:rPr>
          <w:b/>
          <w:i/>
          <w:sz w:val="24"/>
          <w:szCs w:val="24"/>
        </w:rPr>
        <w:t xml:space="preserve">Table 2. Psychological Challenges to Academic Identity and Evidence-Based Interventions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60"/>
        <w:gridCol w:w="1560"/>
        <w:gridCol w:w="1560"/>
        <w:gridCol w:w="1560"/>
        <w:gridCol w:w="1560"/>
        <w:gridCol w:w="1560"/>
      </w:tblGrid>
      <w:tr>
        <w:tc>
          <w:tcPr>
            <w:tcW w:w="1560" w:type="dxa"/>
            <w:shd w:val="clear" w:color="auto" w:fill="D9E2F3"/>
          </w:tcPr>
          <w:p>
            <w:pPr>
              <w:spacing w:line="240" w:lineRule="auto" w:after="0"/>
            </w:pPr>
            <w:r>
              <w:rPr>
                <w:b/>
                <w:sz w:val="20"/>
                <w:szCs w:val="20"/>
              </w:rPr>
              <w:t xml:space="preserve">Challenge</w:t>
            </w:r>
          </w:p>
        </w:tc>
        <w:tc>
          <w:tcPr>
            <w:tcW w:w="1560" w:type="dxa"/>
            <w:shd w:val="clear" w:color="auto" w:fill="D9E2F3"/>
          </w:tcPr>
          <w:p>
            <w:pPr>
              <w:spacing w:line="240" w:lineRule="auto" w:after="0"/>
            </w:pPr>
            <w:r>
              <w:rPr>
                <w:b/>
                <w:sz w:val="20"/>
                <w:szCs w:val="20"/>
              </w:rPr>
              <w:t xml:space="preserve">Prevalence</w:t>
            </w:r>
          </w:p>
        </w:tc>
        <w:tc>
          <w:tcPr>
            <w:tcW w:w="1560" w:type="dxa"/>
            <w:shd w:val="clear" w:color="auto" w:fill="D9E2F3"/>
          </w:tcPr>
          <w:p>
            <w:pPr>
              <w:spacing w:line="240" w:lineRule="auto" w:after="0"/>
            </w:pPr>
            <w:r>
              <w:rPr>
                <w:b/>
                <w:sz w:val="20"/>
                <w:szCs w:val="20"/>
              </w:rPr>
              <w:t xml:space="preserve">Career Stage Most Affected</w:t>
            </w:r>
          </w:p>
        </w:tc>
        <w:tc>
          <w:tcPr>
            <w:tcW w:w="1560" w:type="dxa"/>
            <w:shd w:val="clear" w:color="auto" w:fill="D9E2F3"/>
          </w:tcPr>
          <w:p>
            <w:pPr>
              <w:spacing w:line="240" w:lineRule="auto" w:after="0"/>
            </w:pPr>
            <w:r>
              <w:rPr>
                <w:b/>
                <w:sz w:val="20"/>
                <w:szCs w:val="20"/>
              </w:rPr>
              <w:t xml:space="preserve">Contributing Factors</w:t>
            </w:r>
          </w:p>
        </w:tc>
        <w:tc>
          <w:tcPr>
            <w:tcW w:w="1560" w:type="dxa"/>
            <w:shd w:val="clear" w:color="auto" w:fill="D9E2F3"/>
          </w:tcPr>
          <w:p>
            <w:pPr>
              <w:spacing w:line="240" w:lineRule="auto" w:after="0"/>
            </w:pPr>
            <w:r>
              <w:rPr>
                <w:b/>
                <w:sz w:val="20"/>
                <w:szCs w:val="20"/>
              </w:rPr>
              <w:t xml:space="preserve">Recommended Interventions</w:t>
            </w:r>
          </w:p>
        </w:tc>
        <w:tc>
          <w:tcPr>
            <w:tcW w:w="1560" w:type="dxa"/>
            <w:shd w:val="clear" w:color="auto" w:fill="D9E2F3"/>
          </w:tcPr>
          <w:p>
            <w:pPr>
              <w:spacing w:line="240" w:lineRule="auto" w:after="0"/>
            </w:pPr>
            <w:r>
              <w:rPr>
                <w:b/>
                <w:sz w:val="20"/>
                <w:szCs w:val="20"/>
              </w:rPr>
              <w:t xml:space="preserve">Source</w:t>
            </w:r>
          </w:p>
        </w:tc>
      </w:tr>
      <w:tr>
        <w:tc>
          <w:tcPr>
            <w:tcW w:w="1560" w:type="dxa"/>
          </w:tcPr>
          <w:p>
            <w:pPr>
              <w:spacing w:line="240" w:lineRule="auto" w:after="0"/>
            </w:pPr>
            <w:r>
              <w:rPr>
                <w:sz w:val="20"/>
                <w:szCs w:val="20"/>
              </w:rPr>
              <w:t xml:space="preserve">Imposter Syndrome</w:t>
            </w:r>
          </w:p>
        </w:tc>
        <w:tc>
          <w:tcPr>
            <w:tcW w:w="1560" w:type="dxa"/>
          </w:tcPr>
          <w:p>
            <w:pPr>
              <w:spacing w:line="240" w:lineRule="auto" w:after="0"/>
            </w:pPr>
            <w:r>
              <w:rPr>
                <w:sz w:val="20"/>
                <w:szCs w:val="20"/>
              </w:rPr>
              <w:t xml:space="preserve">60-70% of academics</w:t>
            </w:r>
          </w:p>
        </w:tc>
        <w:tc>
          <w:tcPr>
            <w:tcW w:w="1560" w:type="dxa"/>
          </w:tcPr>
          <w:p>
            <w:pPr>
              <w:spacing w:line="240" w:lineRule="auto" w:after="0"/>
            </w:pPr>
            <w:r>
              <w:rPr>
                <w:sz w:val="20"/>
                <w:szCs w:val="20"/>
              </w:rPr>
              <w:t xml:space="preserve">Early Career Researchers</w:t>
            </w:r>
          </w:p>
        </w:tc>
        <w:tc>
          <w:tcPr>
            <w:tcW w:w="1560" w:type="dxa"/>
          </w:tcPr>
          <w:p>
            <w:pPr>
              <w:spacing w:line="240" w:lineRule="auto" w:after="0"/>
            </w:pPr>
            <w:r>
              <w:rPr>
                <w:sz w:val="20"/>
                <w:szCs w:val="20"/>
              </w:rPr>
              <w:t xml:space="preserve">Hyper-competition; social comparison; lack of feedback</w:t>
            </w:r>
          </w:p>
        </w:tc>
        <w:tc>
          <w:tcPr>
            <w:tcW w:w="1560" w:type="dxa"/>
          </w:tcPr>
          <w:p>
            <w:pPr>
              <w:spacing w:line="240" w:lineRule="auto" w:after="0"/>
            </w:pPr>
            <w:r>
              <w:rPr>
                <w:sz w:val="20"/>
                <w:szCs w:val="20"/>
              </w:rPr>
              <w:t xml:space="preserve">Narrative reframing; peer support groups; normalisation</w:t>
            </w:r>
          </w:p>
        </w:tc>
        <w:tc>
          <w:tcPr>
            <w:tcW w:w="1560" w:type="dxa"/>
          </w:tcPr>
          <w:p>
            <w:pPr>
              <w:spacing w:line="240" w:lineRule="auto" w:after="0"/>
            </w:pPr>
            <w:r>
              <w:rPr>
                <w:sz w:val="20"/>
                <w:szCs w:val="20"/>
              </w:rPr>
              <w:t xml:space="preserve">Parkman [55]</w:t>
            </w:r>
          </w:p>
        </w:tc>
      </w:tr>
      <w:tr>
        <w:tc>
          <w:tcPr>
            <w:tcW w:w="1560" w:type="dxa"/>
          </w:tcPr>
          <w:p>
            <w:pPr>
              <w:spacing w:line="240" w:lineRule="auto" w:after="0"/>
            </w:pPr>
            <w:r>
              <w:rPr>
                <w:sz w:val="20"/>
                <w:szCs w:val="20"/>
              </w:rPr>
              <w:t xml:space="preserve">Values Dissonance</w:t>
            </w:r>
          </w:p>
        </w:tc>
        <w:tc>
          <w:tcPr>
            <w:tcW w:w="1560" w:type="dxa"/>
          </w:tcPr>
          <w:p>
            <w:pPr>
              <w:spacing w:line="240" w:lineRule="auto" w:after="0"/>
            </w:pPr>
            <w:r>
              <w:rPr>
                <w:sz w:val="20"/>
                <w:szCs w:val="20"/>
              </w:rPr>
              <w:t xml:space="preserve">Widespread</w:t>
            </w:r>
          </w:p>
        </w:tc>
        <w:tc>
          <w:tcPr>
            <w:tcW w:w="1560" w:type="dxa"/>
          </w:tcPr>
          <w:p>
            <w:pPr>
              <w:spacing w:line="240" w:lineRule="auto" w:after="0"/>
            </w:pPr>
            <w:r>
              <w:rPr>
                <w:sz w:val="20"/>
                <w:szCs w:val="20"/>
              </w:rPr>
              <w:t xml:space="preserve">Mid-career</w:t>
            </w:r>
          </w:p>
        </w:tc>
        <w:tc>
          <w:tcPr>
            <w:tcW w:w="1560" w:type="dxa"/>
          </w:tcPr>
          <w:p>
            <w:pPr>
              <w:spacing w:line="240" w:lineRule="auto" w:after="0"/>
            </w:pPr>
            <w:r>
              <w:rPr>
                <w:sz w:val="20"/>
                <w:szCs w:val="20"/>
              </w:rPr>
              <w:t xml:space="preserve">Impact agendas; commercialisation pressure</w:t>
            </w:r>
          </w:p>
        </w:tc>
        <w:tc>
          <w:tcPr>
            <w:tcW w:w="1560" w:type="dxa"/>
          </w:tcPr>
          <w:p>
            <w:pPr>
              <w:spacing w:line="240" w:lineRule="auto" w:after="0"/>
            </w:pPr>
            <w:r>
              <w:rPr>
                <w:sz w:val="20"/>
                <w:szCs w:val="20"/>
              </w:rPr>
              <w:t xml:space="preserve">Values clarification exercises; reflexive practice</w:t>
            </w:r>
          </w:p>
        </w:tc>
        <w:tc>
          <w:tcPr>
            <w:tcW w:w="1560" w:type="dxa"/>
          </w:tcPr>
          <w:p>
            <w:pPr>
              <w:spacing w:line="240" w:lineRule="auto" w:after="0"/>
            </w:pPr>
            <w:r>
              <w:rPr>
                <w:sz w:val="20"/>
                <w:szCs w:val="20"/>
              </w:rPr>
              <w:t xml:space="preserve">Watermeyer [48]</w:t>
            </w:r>
          </w:p>
        </w:tc>
      </w:tr>
      <w:tr>
        <w:tc>
          <w:tcPr>
            <w:tcW w:w="1560" w:type="dxa"/>
          </w:tcPr>
          <w:p>
            <w:pPr>
              <w:spacing w:line="240" w:lineRule="auto" w:after="0"/>
            </w:pPr>
            <w:r>
              <w:rPr>
                <w:sz w:val="20"/>
                <w:szCs w:val="20"/>
              </w:rPr>
              <w:t xml:space="preserve">Burnout</w:t>
            </w:r>
          </w:p>
        </w:tc>
        <w:tc>
          <w:tcPr>
            <w:tcW w:w="1560" w:type="dxa"/>
          </w:tcPr>
          <w:p>
            <w:pPr>
              <w:spacing w:line="240" w:lineRule="auto" w:after="0"/>
            </w:pPr>
            <w:r>
              <w:rPr>
                <w:sz w:val="20"/>
                <w:szCs w:val="20"/>
              </w:rPr>
              <w:t xml:space="preserve">40-50% report symptoms</w:t>
            </w:r>
          </w:p>
        </w:tc>
        <w:tc>
          <w:tcPr>
            <w:tcW w:w="1560" w:type="dxa"/>
          </w:tcPr>
          <w:p>
            <w:pPr>
              <w:spacing w:line="240" w:lineRule="auto" w:after="0"/>
            </w:pPr>
            <w:r>
              <w:rPr>
                <w:sz w:val="20"/>
                <w:szCs w:val="20"/>
              </w:rPr>
              <w:t xml:space="preserve">All stages (esp. precarious)</w:t>
            </w:r>
          </w:p>
        </w:tc>
        <w:tc>
          <w:tcPr>
            <w:tcW w:w="1560" w:type="dxa"/>
          </w:tcPr>
          <w:p>
            <w:pPr>
              <w:spacing w:line="240" w:lineRule="auto" w:after="0"/>
            </w:pPr>
            <w:r>
              <w:rPr>
                <w:sz w:val="20"/>
                <w:szCs w:val="20"/>
              </w:rPr>
              <w:t xml:space="preserve">Workload; job insecurity; emotional labour</w:t>
            </w:r>
          </w:p>
        </w:tc>
        <w:tc>
          <w:tcPr>
            <w:tcW w:w="1560" w:type="dxa"/>
          </w:tcPr>
          <w:p>
            <w:pPr>
              <w:spacing w:line="240" w:lineRule="auto" w:after="0"/>
            </w:pPr>
            <w:r>
              <w:rPr>
                <w:sz w:val="20"/>
                <w:szCs w:val="20"/>
              </w:rPr>
              <w:t xml:space="preserve">Boundary-setting; institutional advocacy; slow scholarship</w:t>
            </w:r>
          </w:p>
        </w:tc>
        <w:tc>
          <w:tcPr>
            <w:tcW w:w="1560" w:type="dxa"/>
          </w:tcPr>
          <w:p>
            <w:pPr>
              <w:spacing w:line="240" w:lineRule="auto" w:after="0"/>
            </w:pPr>
            <w:r>
              <w:rPr>
                <w:sz w:val="20"/>
                <w:szCs w:val="20"/>
              </w:rPr>
              <w:t xml:space="preserve">Kinman and Wray [7]</w:t>
            </w:r>
          </w:p>
        </w:tc>
      </w:tr>
      <w:tr>
        <w:tc>
          <w:tcPr>
            <w:tcW w:w="1560" w:type="dxa"/>
          </w:tcPr>
          <w:p>
            <w:pPr>
              <w:spacing w:line="240" w:lineRule="auto" w:after="0"/>
            </w:pPr>
            <w:r>
              <w:rPr>
                <w:sz w:val="20"/>
                <w:szCs w:val="20"/>
              </w:rPr>
              <w:t xml:space="preserve">Metric Anxiety</w:t>
            </w:r>
          </w:p>
        </w:tc>
        <w:tc>
          <w:tcPr>
            <w:tcW w:w="1560" w:type="dxa"/>
          </w:tcPr>
          <w:p>
            <w:pPr>
              <w:spacing w:line="240" w:lineRule="auto" w:after="0"/>
            </w:pPr>
            <w:r>
              <w:rPr>
                <w:sz w:val="20"/>
                <w:szCs w:val="20"/>
              </w:rPr>
              <w:t xml:space="preserve">Increasing</w:t>
            </w:r>
          </w:p>
        </w:tc>
        <w:tc>
          <w:tcPr>
            <w:tcW w:w="1560" w:type="dxa"/>
          </w:tcPr>
          <w:p>
            <w:pPr>
              <w:spacing w:line="240" w:lineRule="auto" w:after="0"/>
            </w:pPr>
            <w:r>
              <w:rPr>
                <w:sz w:val="20"/>
                <w:szCs w:val="20"/>
              </w:rPr>
              <w:t xml:space="preserve">All stages</w:t>
            </w:r>
          </w:p>
        </w:tc>
        <w:tc>
          <w:tcPr>
            <w:tcW w:w="1560" w:type="dxa"/>
          </w:tcPr>
          <w:p>
            <w:pPr>
              <w:spacing w:line="240" w:lineRule="auto" w:after="0"/>
            </w:pPr>
            <w:r>
              <w:rPr>
                <w:sz w:val="20"/>
                <w:szCs w:val="20"/>
              </w:rPr>
              <w:t xml:space="preserve">H-index culture; league tables; performance reviews</w:t>
            </w:r>
          </w:p>
        </w:tc>
        <w:tc>
          <w:tcPr>
            <w:tcW w:w="1560" w:type="dxa"/>
          </w:tcPr>
          <w:p>
            <w:pPr>
              <w:spacing w:line="240" w:lineRule="auto" w:after="0"/>
            </w:pPr>
            <w:r>
              <w:rPr>
                <w:sz w:val="20"/>
                <w:szCs w:val="20"/>
              </w:rPr>
              <w:t xml:space="preserve">Critical engagement with metrics; alternative evaluation</w:t>
            </w:r>
          </w:p>
        </w:tc>
        <w:tc>
          <w:tcPr>
            <w:tcW w:w="1560" w:type="dxa"/>
          </w:tcPr>
          <w:p>
            <w:pPr>
              <w:spacing w:line="240" w:lineRule="auto" w:after="0"/>
            </w:pPr>
            <w:r>
              <w:rPr>
                <w:sz w:val="20"/>
                <w:szCs w:val="20"/>
              </w:rPr>
              <w:t xml:space="preserve">Muller [34]</w:t>
            </w:r>
          </w:p>
        </w:tc>
      </w:tr>
      <w:tr>
        <w:tc>
          <w:tcPr>
            <w:tcW w:w="1560" w:type="dxa"/>
          </w:tcPr>
          <w:p>
            <w:pPr>
              <w:spacing w:line="240" w:lineRule="auto" w:after="0"/>
            </w:pPr>
            <w:r>
              <w:rPr>
                <w:sz w:val="20"/>
                <w:szCs w:val="20"/>
              </w:rPr>
              <w:t xml:space="preserve">Identity Fragmentation</w:t>
            </w:r>
          </w:p>
        </w:tc>
        <w:tc>
          <w:tcPr>
            <w:tcW w:w="1560" w:type="dxa"/>
          </w:tcPr>
          <w:p>
            <w:pPr>
              <w:spacing w:line="240" w:lineRule="auto" w:after="0"/>
            </w:pPr>
            <w:r>
              <w:rPr>
                <w:sz w:val="20"/>
                <w:szCs w:val="20"/>
              </w:rPr>
              <w:t xml:space="preserve">Common in unbundled roles</w:t>
            </w:r>
          </w:p>
        </w:tc>
        <w:tc>
          <w:tcPr>
            <w:tcW w:w="1560" w:type="dxa"/>
          </w:tcPr>
          <w:p>
            <w:pPr>
              <w:spacing w:line="240" w:lineRule="auto" w:after="0"/>
            </w:pPr>
            <w:r>
              <w:rPr>
                <w:sz w:val="20"/>
                <w:szCs w:val="20"/>
              </w:rPr>
              <w:t xml:space="preserve">Teaching-only and alt-ac</w:t>
            </w:r>
          </w:p>
        </w:tc>
        <w:tc>
          <w:tcPr>
            <w:tcW w:w="1560" w:type="dxa"/>
          </w:tcPr>
          <w:p>
            <w:pPr>
              <w:spacing w:line="240" w:lineRule="auto" w:after="0"/>
            </w:pPr>
            <w:r>
              <w:rPr>
                <w:sz w:val="20"/>
                <w:szCs w:val="20"/>
              </w:rPr>
              <w:t xml:space="preserve">Role ambiguity; lack of research time</w:t>
            </w:r>
          </w:p>
        </w:tc>
        <w:tc>
          <w:tcPr>
            <w:tcW w:w="1560" w:type="dxa"/>
          </w:tcPr>
          <w:p>
            <w:pPr>
              <w:spacing w:line="240" w:lineRule="auto" w:after="0"/>
            </w:pPr>
            <w:r>
              <w:rPr>
                <w:sz w:val="20"/>
                <w:szCs w:val="20"/>
              </w:rPr>
              <w:t xml:space="preserve">Portfolio identity construction; communities of practice</w:t>
            </w:r>
          </w:p>
        </w:tc>
        <w:tc>
          <w:tcPr>
            <w:tcW w:w="1560" w:type="dxa"/>
          </w:tcPr>
          <w:p>
            <w:pPr>
              <w:spacing w:line="240" w:lineRule="auto" w:after="0"/>
            </w:pPr>
            <w:r>
              <w:rPr>
                <w:sz w:val="20"/>
                <w:szCs w:val="20"/>
              </w:rPr>
              <w:t xml:space="preserve">Clegg [5]</w:t>
            </w:r>
          </w:p>
        </w:tc>
      </w:tr>
    </w:tbl>
    <w:p/>
    <w:p>
      <w:pPr>
        <w:spacing w:line="480" w:lineRule="auto" w:after="0"/>
      </w:pPr>
    </w:p>
    <w:p>
      <w:pPr>
        <w:spacing w:line="480" w:lineRule="auto" w:before="240" w:after="120"/>
      </w:pPr>
      <w:r>
        <w:rPr>
          <w:b/>
          <w:i/>
          <w:sz w:val="24"/>
          <w:szCs w:val="24"/>
        </w:rPr>
        <w:t xml:space="preserve">The Search for Authenticity</w:t>
      </w:r>
    </w:p>
    <w:p>
      <w:pPr>
        <w:spacing w:line="480" w:lineRule="auto" w:after="0"/>
      </w:pPr>
    </w:p>
    <w:p>
      <w:pPr>
        <w:spacing w:line="480" w:lineRule="auto" w:after="0"/>
        <w:ind w:firstLine="720"/>
      </w:pPr>
      <w:r>
        <w:rPr>
          <w:sz w:val="24"/>
          <w:szCs w:val="24"/>
        </w:rPr>
        <w:t xml:space="preserve">The concept of authenticity has gained significant traction in discussions of academic identity [61]. To be an "authentic" academic is to align one's professional activities with one's core values and beliefs, to integrate the various dimensions of one's work (research, teaching, service) into a coherent narrative, and to resist the pressure to perform identities that feel alien or imposed [62]. Authenticity, in this sense, is not about discovering a pre-existing "true self" but about the ongoing work of constructing a self that feels coherent and meaningful in the face of competing demands [63].</w:t>
      </w:r>
    </w:p>
    <w:p>
      <w:pPr>
        <w:spacing w:line="480" w:lineRule="auto" w:after="0"/>
      </w:pPr>
    </w:p>
    <w:p>
      <w:pPr>
        <w:spacing w:line="480" w:lineRule="auto" w:after="0"/>
        <w:ind w:firstLine="720"/>
      </w:pPr>
      <w:r>
        <w:rPr>
          <w:sz w:val="24"/>
          <w:szCs w:val="24"/>
        </w:rPr>
        <w:t xml:space="preserve">The notion of the "scholarly brand" - a deliberate, curated public identity that communicates one's expertise, values, and contributions - has become increasingly important in the age of social media and digital scholarship [64]. Yet branding carries risks: it can reduce complex intellectual identities to simplified slogans; it can encourage performativity over substance; and it can create a gap between the public persona and the private experience of academic work [65]. The challenge for professional development is to support academics in crafting authentic narratives that integrate their diverse activities without succumbing to the superficialities of self-marketing [66].</w:t>
      </w:r>
    </w:p>
    <w:p>
      <w:pPr>
        <w:spacing w:line="480" w:lineRule="auto" w:after="0"/>
      </w:pPr>
    </w:p>
    <w:p>
      <w:pPr>
        <w:spacing w:line="480" w:lineRule="auto" w:before="240" w:after="120"/>
      </w:pPr>
      <w:r>
        <w:rPr>
          <w:b/>
          <w:i/>
          <w:sz w:val="24"/>
          <w:szCs w:val="24"/>
        </w:rPr>
        <w:t xml:space="preserve">Emotional Labour</w:t>
      </w:r>
    </w:p>
    <w:p>
      <w:pPr>
        <w:spacing w:line="480" w:lineRule="auto" w:after="0"/>
      </w:pPr>
    </w:p>
    <w:p>
      <w:pPr>
        <w:spacing w:line="480" w:lineRule="auto" w:after="0"/>
        <w:ind w:firstLine="720"/>
      </w:pPr>
      <w:r>
        <w:rPr>
          <w:sz w:val="24"/>
          <w:szCs w:val="24"/>
        </w:rPr>
        <w:t xml:space="preserve">Academic work involves substantial emotional labour - the management of one's own emotions and the emotions of others in the service of professional goals [67]. This labour takes many forms: the patience required to support struggling students; the diplomacy needed to navigate departmental politics; the resilience demanded by hostile peer reviews; the empathy involved in supervising doctoral students through personal and intellectual crises [68]. Yet emotional labour in academia remains largely invisible, unacknowledged in workload models and unrewarded in promotion criteria [69].</w:t>
      </w:r>
    </w:p>
    <w:p>
      <w:pPr>
        <w:spacing w:line="480" w:lineRule="auto" w:after="0"/>
      </w:pPr>
    </w:p>
    <w:p>
      <w:pPr>
        <w:spacing w:line="480" w:lineRule="auto" w:after="0"/>
        <w:ind w:firstLine="720"/>
      </w:pPr>
      <w:r>
        <w:rPr>
          <w:sz w:val="24"/>
          <w:szCs w:val="24"/>
        </w:rPr>
        <w:t xml:space="preserve">The invisibility of emotional labour has significant implications for academic identity and wellbeing. Academics who invest heavily in relational work - pastoral care, mentoring, community building - may find that their contributions are devalued relative to more visible outputs such as publications and grants [70]. This creates a gendered dimension to identity construction, as women academics and academics of colour are disproportionately called upon to perform emotional and service labour [71]. Professional development must therefore not only acknowledge the existence of emotional labour but actively work to make it visible, valued, and equitably distributed [72].</w:t>
      </w:r>
    </w:p>
    <w:p>
      <w:pPr>
        <w:spacing w:line="480" w:lineRule="auto" w:after="0"/>
      </w:pPr>
    </w:p>
    <w:p>
      <w:pPr>
        <w:spacing w:line="480" w:lineRule="auto" w:after="0"/>
        <w:ind w:firstLine="720"/>
      </w:pPr>
      <w:r>
        <w:rPr>
          <w:sz w:val="24"/>
          <w:szCs w:val="24"/>
        </w:rPr>
        <w:t xml:space="preserve">Sustainable professional development is not just about acquiring new skills (upskilling) but about maintaining psychological integrity. It requires a reflexive practice where the academic consciously aligns their professional activities with their core personal and intellectual values, creating a sense of coherence even amidst the centrifugal forces of contemporary academic life [73]. The challenges summarised in Table 2 and the structural forces mapped in Figure 2 together underscore the urgency of this alignment between personal values and professional practice.</w:t>
      </w:r>
    </w:p>
    <w:p>
      <w:pPr>
        <w:spacing w:line="480" w:lineRule="auto" w:after="0"/>
      </w:pPr>
    </w:p>
    <w:p>
      <w:pPr>
        <w:spacing w:line="480" w:lineRule="auto" w:after="0"/>
      </w:pPr>
    </w:p>
    <w:p>
      <w:pPr>
        <w:spacing w:line="480" w:lineRule="auto" w:before="240" w:after="120"/>
      </w:pPr>
      <w:r>
        <w:rPr>
          <w:b/>
          <w:sz w:val="28"/>
          <w:szCs w:val="28"/>
        </w:rPr>
        <w:t xml:space="preserve">Section 3: The Professional Development Imperative: Strategies for Adaptive Growth</w:t>
      </w:r>
    </w:p>
    <w:p>
      <w:pPr>
        <w:spacing w:line="480" w:lineRule="auto" w:before="240" w:after="120"/>
      </w:pPr>
      <w:r>
        <w:rPr>
          <w:b/>
          <w:sz w:val="26"/>
          <w:szCs w:val="26"/>
        </w:rPr>
        <w:t xml:space="preserve">Beyond the CV: Building a Portfolio of Competencies</w:t>
      </w:r>
    </w:p>
    <w:p>
      <w:pPr>
        <w:spacing w:line="480" w:lineRule="auto" w:after="0"/>
      </w:pPr>
    </w:p>
    <w:p>
      <w:pPr>
        <w:spacing w:line="480" w:lineRule="auto" w:before="240" w:after="120"/>
      </w:pPr>
      <w:r>
        <w:rPr>
          <w:b/>
          <w:i/>
          <w:sz w:val="24"/>
          <w:szCs w:val="24"/>
        </w:rPr>
        <w:t xml:space="preserve">The "T-Shaped" Academic</w:t>
      </w:r>
    </w:p>
    <w:p>
      <w:pPr>
        <w:spacing w:line="480" w:lineRule="auto" w:after="0"/>
      </w:pPr>
    </w:p>
    <w:p>
      <w:pPr>
        <w:spacing w:line="480" w:lineRule="auto" w:after="0"/>
        <w:ind w:firstLine="720"/>
      </w:pPr>
      <w:r>
        <w:rPr>
          <w:sz w:val="24"/>
          <w:szCs w:val="24"/>
        </w:rPr>
        <w:t xml:space="preserve">The metaphor of the "T-shaped" professional - possessing deep expertise in one domain (the vertical bar of the T) alongside broad competencies that enable collaboration across domains (the horizontal bar) - offers a useful framework for conceptualising academic professional development in the boundaryless university [74]. The vertical bar represents disciplinary depth: the specialist knowledge, methodological expertise, and scholarly reputation that anchor the academic's identity and credibility. The horizontal bar represents the increasingly essential transversal competencies: digital literacy, project management, science communication, data management, intercultural competence, and public engagement skills [75].</w:t>
      </w:r>
    </w:p>
    <w:p>
      <w:pPr>
        <w:spacing w:line="480" w:lineRule="auto" w:after="0"/>
      </w:pPr>
    </w:p>
    <w:p>
      <w:pPr>
        <w:spacing w:line="480" w:lineRule="auto" w:after="0"/>
        <w:ind w:firstLine="720"/>
      </w:pPr>
      <w:r>
        <w:rPr>
          <w:sz w:val="24"/>
          <w:szCs w:val="24"/>
        </w:rPr>
        <w:t xml:space="preserve">For the contemporary academic, neither depth nor breadth alone is sufficient. The pure specialist risks irrelevance in an environment that demands collaboration and impact beyond disciplinary boundaries [76]. The pure generalist risks superficiality, lacking the credibility and authority that comes from deep expertise. Professional development must therefore be designed to cultivate both dimensions simultaneously, recognising that the appropriate balance will vary across career stages, institutional contexts, and individual aspirations [77].</w:t>
      </w:r>
    </w:p>
    <w:p>
      <w:pPr>
        <w:spacing w:line="480" w:lineRule="auto" w:after="0"/>
      </w:pPr>
    </w:p>
    <w:p>
      <w:pPr>
        <w:spacing w:line="480" w:lineRule="auto" w:after="0"/>
        <w:ind w:firstLine="720"/>
      </w:pPr>
      <w:r>
        <w:rPr>
          <w:sz w:val="24"/>
          <w:szCs w:val="24"/>
        </w:rPr>
        <w:t xml:space="preserve">Practical strategies for developing the horizontal bar include: engaging in interdisciplinary research projects; participating in teaching innovation programmes; developing competencies in research data management and open science practices; building skills in media engagement and public scholarship; and learning project management methodologies applicable to large-scale collaborative research [78]. Crucially, these competencies should not be treated as additions to the core academic role but as integral dimensions of a modern scholarly identity.</w:t>
      </w:r>
    </w:p>
    <w:p>
      <w:pPr>
        <w:spacing w:line="480" w:lineRule="auto" w:after="0"/>
      </w:pPr>
    </w:p>
    <w:p>
      <w:pPr>
        <w:spacing w:line="480" w:lineRule="auto" w:after="0"/>
        <w:ind w:firstLine="720"/>
      </w:pPr>
      <w:r>
        <w:rPr>
          <w:sz w:val="24"/>
          <w:szCs w:val="24"/>
        </w:rPr>
        <w:t xml:space="preserve">The T-shaped framework also illuminates an important temporal dimension of professional development. In the early career stage, investment in the vertical bar (deepening disciplinary expertise) necessarily predominates, as credibility and scholarly reputation depend on demonstrated mastery of a specific field [79]. As careers progress, however, the horizontal bar becomes increasingly important: leadership requires the ability to bridge disciplines, manage diverse teams, communicate across epistemic boundaries, and engage with stakeholders beyond the academy. Professional development, therefore, is not a one-size-fits-all proposition but must be calibrated to career stage, with different competencies emphasised at different points in the professional trajectory [80]. This developmental model is visualised in Figure 3, which illustrates how the balance between disciplinary depth and transversal breadth shifts across career stages. As the interventions listed in Table 2 suggest, different psychological challenges also correspond to different stages of the T-shaped development pathway.</w:t>
      </w:r>
    </w:p>
    <w:p>
      <w:pPr>
        <w:spacing w:line="480" w:lineRule="auto" w:after="0"/>
      </w:pPr>
    </w:p>
    <w:p>
      <w:pPr>
        <w:jc w:val="center"/>
        <w:spacing w:before="120" w:after="120"/>
      </w:pPr>
      <w:r>
        <w:drawing>
          <wp:inline xmlns:wp="http://schemas.openxmlformats.org/drawingml/2006/wordprocessingDrawing" distT="0" distB="0" distL="0" distR="0">
            <wp:extent cx="5029200" cy="3352800"/>
            <wp:docPr id="1" name="Figure_3_T_Shaped_Academic.png"/>
            <a:graphic xmlns:a="http://schemas.openxmlformats.org/drawingml/2006/main">
              <a:graphicData uri="http://schemas.openxmlformats.org/drawingml/2006/picture">
                <pic:pic xmlns:pic="http://schemas.openxmlformats.org/drawingml/2006/picture">
                  <pic:nvPicPr>
                    <pic:cNvPr id="0" name="Figure_3_T_Shaped_Academic.png"/>
                    <pic:cNvPicPr/>
                  </pic:nvPicPr>
                  <pic:blipFill>
                    <a:blip xmlns:r="http://schemas.openxmlformats.org/officeDocument/2006/relationships" r:embed="rId103"/>
                    <a:stretch>
                      <a:fillRect/>
                    </a:stretch>
                  </pic:blipFill>
                  <pic:spPr>
                    <a:xfrm>
                      <a:off x="0" y="0"/>
                      <a:ext cx="5029200" cy="3352800"/>
                    </a:xfrm>
                    <a:prstGeom prst="rect">
                      <a:avLst/>
                    </a:prstGeom>
                  </pic:spPr>
                </pic:pic>
              </a:graphicData>
            </a:graphic>
          </wp:inline>
        </w:drawing>
      </w:r>
    </w:p>
    <w:p>
      <w:pPr>
        <w:spacing w:line="480" w:lineRule="auto" w:after="120"/>
        <w:jc w:val="center"/>
      </w:pPr>
      <w:r>
        <w:rPr>
          <w:i/>
          <w:sz w:val="24"/>
          <w:szCs w:val="24"/>
        </w:rPr>
        <w:t xml:space="preserve">Figure 3. The T-Shaped Academic: Balancing Depth and Breadth in Professional Development. The vertical bar represents disciplinary expertise (prioritised in early career), while the horizontal bar represents transversal competencies (increasingly important at mid-career and beyond). Adapted from Barile et al. [74].</w:t>
      </w:r>
    </w:p>
    <w:p>
      <w:pPr>
        <w:spacing w:line="480" w:lineRule="auto" w:after="0"/>
      </w:pPr>
    </w:p>
    <w:p>
      <w:pPr>
        <w:spacing w:line="480" w:lineRule="auto" w:before="240" w:after="120"/>
      </w:pPr>
      <w:r>
        <w:rPr>
          <w:b/>
          <w:i/>
          <w:sz w:val="24"/>
          <w:szCs w:val="24"/>
        </w:rPr>
        <w:t xml:space="preserve">Navigating Career Transitions</w:t>
      </w:r>
    </w:p>
    <w:p>
      <w:pPr>
        <w:spacing w:line="480" w:lineRule="auto" w:after="0"/>
      </w:pPr>
    </w:p>
    <w:p>
      <w:pPr>
        <w:spacing w:line="480" w:lineRule="auto" w:after="0"/>
        <w:ind w:firstLine="720"/>
      </w:pPr>
      <w:r>
        <w:rPr>
          <w:sz w:val="24"/>
          <w:szCs w:val="24"/>
        </w:rPr>
        <w:t xml:space="preserve">Academic careers are no longer linear progressions from doctoral student to professor. The contemporary academic may move through multiple institutional contexts, between academic and non-academic roles, across national boundaries, and between research-intensive and teaching-focused positions [81]. Each transition requires not merely the acquisition of new skills but a renegotiation of identity: who am I now, in this new context, with these new responsibilities?</w:t>
      </w:r>
    </w:p>
    <w:p>
      <w:pPr>
        <w:spacing w:line="480" w:lineRule="auto" w:after="0"/>
      </w:pPr>
    </w:p>
    <w:p>
      <w:pPr>
        <w:spacing w:line="480" w:lineRule="auto" w:after="0"/>
        <w:ind w:firstLine="720"/>
      </w:pPr>
      <w:r>
        <w:rPr>
          <w:sz w:val="24"/>
          <w:szCs w:val="24"/>
        </w:rPr>
        <w:t xml:space="preserve">The transition from Early Career Researcher (ECR) to established academic is perhaps the most intensively studied career passage in higher education [82]. This transition involves not only demonstrating research independence but also developing a teaching philosophy, building a professional network, navigating institutional politics, and establishing a scholarly reputation. Yet the increasing precarity of early academic careers - characterised by multiple short-term contracts, geographic mobility, and uncertain prospects - makes this transition more difficult and psychologically demanding than ever before [83].</w:t>
      </w:r>
    </w:p>
    <w:p>
      <w:pPr>
        <w:spacing w:line="480" w:lineRule="auto" w:after="0"/>
      </w:pPr>
    </w:p>
    <w:p>
      <w:pPr>
        <w:spacing w:line="480" w:lineRule="auto" w:after="0"/>
        <w:ind w:firstLine="720"/>
      </w:pPr>
      <w:r>
        <w:rPr>
          <w:sz w:val="24"/>
          <w:szCs w:val="24"/>
        </w:rPr>
        <w:t xml:space="preserve">Mid-career transitions present different challenges. The established academic may face questions of renewal and reinvention: how to maintain intellectual vitality after decades in the same field; how to take on leadership roles without losing touch with research; how to mentor the next generation without becoming merely a gatekeeper. The emergence of "alternative academic" (alt-ac) careers - in research management, educational development, policy, and industry - adds further complexity, requiring academics to translate their identities across institutional boundaries [84].</w:t>
      </w:r>
    </w:p>
    <w:p>
      <w:pPr>
        <w:spacing w:line="480" w:lineRule="auto" w:after="0"/>
      </w:pPr>
    </w:p>
    <w:p>
      <w:pPr>
        <w:spacing w:line="480" w:lineRule="auto" w:after="0"/>
        <w:ind w:firstLine="720"/>
      </w:pPr>
      <w:r>
        <w:rPr>
          <w:sz w:val="24"/>
          <w:szCs w:val="24"/>
        </w:rPr>
        <w:t xml:space="preserve">Mentorship plays a critical role in supporting career transitions, yet the nature of mentorship is itself changing. Traditional models of apprenticeship - in which a senior scholar guides a junior colleague through the norms and expectations of a discipline - are being supplemented by peer mentoring networks, virtual communities of practice, and structured coaching programmes. In a virtual world where academics may never meet their collaborators face-to-face, mentorship must be reconceived as a distributed, multi-relational practice rather than a dyadic, hierarchical one [85].</w:t>
      </w:r>
    </w:p>
    <w:p>
      <w:pPr>
        <w:spacing w:line="480" w:lineRule="auto" w:after="0"/>
      </w:pPr>
    </w:p>
    <w:p>
      <w:pPr>
        <w:spacing w:line="480" w:lineRule="auto" w:after="0"/>
      </w:pPr>
    </w:p>
    <w:p>
      <w:pPr>
        <w:spacing w:line="480" w:lineRule="auto" w:after="0"/>
      </w:pPr>
    </w:p>
    <w:p>
      <w:pPr>
        <w:spacing w:line="480" w:lineRule="auto" w:before="240" w:after="120"/>
      </w:pPr>
      <w:r>
        <w:rPr>
          <w:b/>
          <w:i/>
          <w:sz w:val="24"/>
          <w:szCs w:val="24"/>
        </w:rPr>
        <w:t xml:space="preserve">Social Capital and Networking</w:t>
      </w:r>
    </w:p>
    <w:p>
      <w:pPr>
        <w:spacing w:line="480" w:lineRule="auto" w:after="0"/>
      </w:pPr>
    </w:p>
    <w:p>
      <w:pPr>
        <w:spacing w:line="480" w:lineRule="auto" w:after="0"/>
        <w:ind w:firstLine="720"/>
      </w:pPr>
      <w:r>
        <w:rPr>
          <w:sz w:val="24"/>
          <w:szCs w:val="24"/>
        </w:rPr>
        <w:t xml:space="preserve">The shift from collegiality to connectivity represents one of the most significant transformations in academic professional life. Traditional academic collegiality was local, departmental, and face-to-face: the common room, the seminar series, the faculty meeting. Contemporary academic networking is global, digital, and often asynchronous: Twitter (now X) threads, ResearchGate profiles, LinkedIn connections, Bluesky communities, and collaborative platforms such as Slack and Microsoft Teams.</w:t>
      </w:r>
    </w:p>
    <w:p>
      <w:pPr>
        <w:spacing w:line="480" w:lineRule="auto" w:after="0"/>
      </w:pPr>
    </w:p>
    <w:p>
      <w:pPr>
        <w:spacing w:line="480" w:lineRule="auto" w:after="0"/>
        <w:ind w:firstLine="720"/>
      </w:pPr>
      <w:r>
        <w:rPr>
          <w:sz w:val="24"/>
          <w:szCs w:val="24"/>
        </w:rPr>
        <w:t xml:space="preserve">Digital networking serves multiple functions in academic identity construction. It provides visibility for one's work beyond the confines of one's institution; it enables the formation of communities around shared interests that may not be represented locally; it offers opportunities for informal learning and knowledge exchange; and it creates alternative channels for recognition and reputation-building that are not mediated by traditional gatekeepers (journal editors, grant panels, promotion committees). For early career researchers in particular, digital networking can be a powerful tool for establishing a scholarly presence and building the social capital necessary for career advancement.</w:t>
      </w:r>
    </w:p>
    <w:p>
      <w:pPr>
        <w:spacing w:line="480" w:lineRule="auto" w:after="0"/>
      </w:pPr>
    </w:p>
    <w:p>
      <w:pPr>
        <w:spacing w:line="480" w:lineRule="auto" w:after="0"/>
        <w:ind w:firstLine="720"/>
      </w:pPr>
      <w:r>
        <w:rPr>
          <w:sz w:val="24"/>
          <w:szCs w:val="24"/>
        </w:rPr>
        <w:t xml:space="preserve">The concept of "networked participatory scholarship" captures this transformation well. Unlike traditional academic networking, which was largely confined to annual conferences and occasional correspondence, digital networking enables continuous, low-barrier engagement with a global community of scholars. This has democratising potential: it can amplify voices that are marginalised within traditional academic hierarchies, create visibility for scholars at peripheral institutions, and enable rapid formation of research collaborations that would previously have required years of incremental relationship-building. For academics in the Global South especially, digital networking can provide access to scholarly conversations and resources that geographic and economic barriers have historically foreclosed.</w:t>
      </w:r>
    </w:p>
    <w:p>
      <w:pPr>
        <w:spacing w:line="480" w:lineRule="auto" w:after="0"/>
      </w:pPr>
    </w:p>
    <w:p>
      <w:pPr>
        <w:spacing w:line="480" w:lineRule="auto" w:after="0"/>
        <w:ind w:firstLine="720"/>
      </w:pPr>
      <w:r>
        <w:rPr>
          <w:sz w:val="24"/>
          <w:szCs w:val="24"/>
        </w:rPr>
        <w:t xml:space="preserve">However, digital networking also carries risks. The performative nature of social media can encourage academics to present idealised versions of their professional lives, exacerbating comparison and imposter syndrome. The time demands of maintaining a digital presence can detract from the deep, focused work that produces genuine intellectual contributions. And the volatility of digital platforms - subject to algorithmic changes, corporate ownership decisions, and political controversies - makes them unreliable foundations for long-term identity construction. Professional development must therefore address digital networking strategically, helping academics to leverage its benefits while managing its risks.</w:t>
      </w:r>
    </w:p>
    <w:p>
      <w:pPr>
        <w:spacing w:line="480" w:lineRule="auto" w:after="0"/>
      </w:pPr>
    </w:p>
    <w:p>
      <w:pPr>
        <w:spacing w:line="480" w:lineRule="auto" w:before="240" w:after="120"/>
      </w:pPr>
      <w:r>
        <w:rPr>
          <w:b/>
          <w:i/>
          <w:sz w:val="24"/>
          <w:szCs w:val="24"/>
        </w:rPr>
        <w:t xml:space="preserve">Formal vs. Informal Learning</w:t>
      </w:r>
    </w:p>
    <w:p>
      <w:pPr>
        <w:spacing w:line="480" w:lineRule="auto" w:after="0"/>
      </w:pPr>
    </w:p>
    <w:p>
      <w:pPr>
        <w:spacing w:line="480" w:lineRule="auto" w:after="0"/>
        <w:ind w:firstLine="720"/>
      </w:pPr>
      <w:r>
        <w:rPr>
          <w:sz w:val="24"/>
          <w:szCs w:val="24"/>
        </w:rPr>
        <w:t xml:space="preserve">Professional development in higher education has traditionally been conceived in terms of formal, structured activities: workshops, conferences, certificate programmes, and training courses. While these remain valuable, there is growing recognition that the most significant professional learning often occurs informally, embedded in the everyday practices of academic work. Writing a grant proposal is a learning experience in argumentation, budgeting, and strategic planning. Supervising a doctoral student develops pedagogical skills, project management abilities, and emotional intelligence. Reviewing a paper for a journal deepens disciplinary knowledge and develops evaluative judgement. Serving on a committee builds institutional literacy and negotiation skills.</w:t>
      </w:r>
    </w:p>
    <w:p>
      <w:pPr>
        <w:spacing w:line="480" w:lineRule="auto" w:after="0"/>
      </w:pPr>
    </w:p>
    <w:p>
      <w:pPr>
        <w:spacing w:line="480" w:lineRule="auto" w:after="0"/>
        <w:ind w:firstLine="720"/>
      </w:pPr>
      <w:r>
        <w:rPr>
          <w:sz w:val="24"/>
          <w:szCs w:val="24"/>
        </w:rPr>
        <w:t xml:space="preserve">The challenge for professional development is to make this informal learning visible, intentional, and cumulative. This requires a reflective practice in which academics regularly pause to consider what they are learning from their everyday activities and how this learning contributes to their broader development goals. Tools such as portfolios, reflective journals, and development plans can support this process, transforming tacit learning into explicit knowledge that can be shared, built upon, and recognised.</w:t>
      </w:r>
    </w:p>
    <w:p>
      <w:pPr>
        <w:spacing w:line="480" w:lineRule="auto" w:after="0"/>
      </w:pPr>
    </w:p>
    <w:p>
      <w:pPr>
        <w:spacing w:line="480" w:lineRule="auto" w:after="0"/>
        <w:ind w:firstLine="720"/>
      </w:pPr>
      <w:r>
        <w:rPr>
          <w:sz w:val="24"/>
          <w:szCs w:val="24"/>
        </w:rPr>
        <w:t xml:space="preserve">Importantly, the distinction between formal and informal learning maps onto different theories of professional identity formation. Formal learning often operates within a "training" paradigm that treats identity as relatively fixed and focuses on the acquisition of discrete competencies. Informal learning, by contrast, aligns more closely with a "becoming" paradigm that sees identity as fluid, relational, and constructed through practice. From this perspective, professional development is not about filling deficits in knowledge or skill but about participating in communities of practice that shape how one understands oneself as a professional. The most effective professional development programmes integrate both approaches, combining structured skill development with opportunities for reflective practice, peer learning, and identity exploration. Table 3 provides a comprehensive mapping of both formal and informal professional development activities to specific competency domains of the T-shaped model (see Figure 3), illustrating how each activity contributes to identity formation.</w:t>
      </w:r>
    </w:p>
    <w:p>
      <w:pPr>
        <w:spacing w:line="480" w:lineRule="auto" w:after="0"/>
      </w:pPr>
    </w:p>
    <w:p>
      <w:pPr>
        <w:spacing w:line="240" w:lineRule="auto" w:before="240" w:after="120"/>
      </w:pPr>
      <w:r>
        <w:rPr>
          <w:b/>
          <w:i/>
          <w:sz w:val="24"/>
          <w:szCs w:val="24"/>
        </w:rPr>
        <w:t xml:space="preserve">Table 3. Professional Development Activities Mapped to T-Shaped Competency Domains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60"/>
        <w:gridCol w:w="1560"/>
        <w:gridCol w:w="1560"/>
        <w:gridCol w:w="1560"/>
        <w:gridCol w:w="1560"/>
        <w:gridCol w:w="1560"/>
      </w:tblGrid>
      <w:tr>
        <w:tc>
          <w:tcPr>
            <w:tcW w:w="1560" w:type="dxa"/>
            <w:shd w:val="clear" w:color="auto" w:fill="D9E2F3"/>
          </w:tcPr>
          <w:p>
            <w:pPr>
              <w:spacing w:line="240" w:lineRule="auto" w:after="0"/>
            </w:pPr>
            <w:r>
              <w:rPr>
                <w:b/>
                <w:sz w:val="20"/>
                <w:szCs w:val="20"/>
              </w:rPr>
              <w:t xml:space="preserve">Activity Type</w:t>
            </w:r>
          </w:p>
        </w:tc>
        <w:tc>
          <w:tcPr>
            <w:tcW w:w="1560" w:type="dxa"/>
            <w:shd w:val="clear" w:color="auto" w:fill="D9E2F3"/>
          </w:tcPr>
          <w:p>
            <w:pPr>
              <w:spacing w:line="240" w:lineRule="auto" w:after="0"/>
            </w:pPr>
            <w:r>
              <w:rPr>
                <w:b/>
                <w:sz w:val="20"/>
                <w:szCs w:val="20"/>
              </w:rPr>
              <w:t xml:space="preserve">Specific Activity</w:t>
            </w:r>
          </w:p>
        </w:tc>
        <w:tc>
          <w:tcPr>
            <w:tcW w:w="1560" w:type="dxa"/>
            <w:shd w:val="clear" w:color="auto" w:fill="D9E2F3"/>
          </w:tcPr>
          <w:p>
            <w:pPr>
              <w:spacing w:line="240" w:lineRule="auto" w:after="0"/>
            </w:pPr>
            <w:r>
              <w:rPr>
                <w:b/>
                <w:sz w:val="20"/>
                <w:szCs w:val="20"/>
              </w:rPr>
              <w:t xml:space="preserve">Competency Domain (T-Shape)</w:t>
            </w:r>
          </w:p>
        </w:tc>
        <w:tc>
          <w:tcPr>
            <w:tcW w:w="1560" w:type="dxa"/>
            <w:shd w:val="clear" w:color="auto" w:fill="D9E2F3"/>
          </w:tcPr>
          <w:p>
            <w:pPr>
              <w:spacing w:line="240" w:lineRule="auto" w:after="0"/>
            </w:pPr>
            <w:r>
              <w:rPr>
                <w:b/>
                <w:sz w:val="20"/>
                <w:szCs w:val="20"/>
              </w:rPr>
              <w:t xml:space="preserve">Identity Contribution</w:t>
            </w:r>
          </w:p>
        </w:tc>
        <w:tc>
          <w:tcPr>
            <w:tcW w:w="1560" w:type="dxa"/>
            <w:shd w:val="clear" w:color="auto" w:fill="D9E2F3"/>
          </w:tcPr>
          <w:p>
            <w:pPr>
              <w:spacing w:line="240" w:lineRule="auto" w:after="0"/>
            </w:pPr>
            <w:r>
              <w:rPr>
                <w:b/>
                <w:sz w:val="20"/>
                <w:szCs w:val="20"/>
              </w:rPr>
              <w:t xml:space="preserve">Learning Mode</w:t>
            </w:r>
          </w:p>
        </w:tc>
        <w:tc>
          <w:tcPr>
            <w:tcW w:w="1560" w:type="dxa"/>
            <w:shd w:val="clear" w:color="auto" w:fill="D9E2F3"/>
          </w:tcPr>
          <w:p>
            <w:pPr>
              <w:spacing w:line="240" w:lineRule="auto" w:after="0"/>
            </w:pPr>
            <w:r>
              <w:rPr>
                <w:b/>
                <w:sz w:val="20"/>
                <w:szCs w:val="20"/>
              </w:rPr>
              <w:t xml:space="preserve">Source</w:t>
            </w:r>
          </w:p>
        </w:tc>
      </w:tr>
      <w:tr>
        <w:tc>
          <w:tcPr>
            <w:tcW w:w="1560" w:type="dxa"/>
          </w:tcPr>
          <w:p>
            <w:pPr>
              <w:spacing w:line="240" w:lineRule="auto" w:after="0"/>
            </w:pPr>
            <w:r>
              <w:rPr>
                <w:sz w:val="20"/>
                <w:szCs w:val="20"/>
              </w:rPr>
              <w:t xml:space="preserve">Research</w:t>
            </w:r>
          </w:p>
        </w:tc>
        <w:tc>
          <w:tcPr>
            <w:tcW w:w="1560" w:type="dxa"/>
          </w:tcPr>
          <w:p>
            <w:pPr>
              <w:spacing w:line="240" w:lineRule="auto" w:after="0"/>
            </w:pPr>
            <w:r>
              <w:rPr>
                <w:sz w:val="20"/>
                <w:szCs w:val="20"/>
              </w:rPr>
              <w:t xml:space="preserve">Grant writing</w:t>
            </w:r>
          </w:p>
        </w:tc>
        <w:tc>
          <w:tcPr>
            <w:tcW w:w="1560" w:type="dxa"/>
          </w:tcPr>
          <w:p>
            <w:pPr>
              <w:spacing w:line="240" w:lineRule="auto" w:after="0"/>
            </w:pPr>
            <w:r>
              <w:rPr>
                <w:sz w:val="20"/>
                <w:szCs w:val="20"/>
              </w:rPr>
              <w:t xml:space="preserve">Depth + Communication</w:t>
            </w:r>
          </w:p>
        </w:tc>
        <w:tc>
          <w:tcPr>
            <w:tcW w:w="1560" w:type="dxa"/>
          </w:tcPr>
          <w:p>
            <w:pPr>
              <w:spacing w:line="240" w:lineRule="auto" w:after="0"/>
            </w:pPr>
            <w:r>
              <w:rPr>
                <w:sz w:val="20"/>
                <w:szCs w:val="20"/>
              </w:rPr>
              <w:t xml:space="preserve">Demonstrates expertise; builds reputation</w:t>
            </w:r>
          </w:p>
        </w:tc>
        <w:tc>
          <w:tcPr>
            <w:tcW w:w="1560" w:type="dxa"/>
          </w:tcPr>
          <w:p>
            <w:pPr>
              <w:spacing w:line="240" w:lineRule="auto" w:after="0"/>
            </w:pPr>
            <w:r>
              <w:rPr>
                <w:sz w:val="20"/>
                <w:szCs w:val="20"/>
              </w:rPr>
              <w:t xml:space="preserve">Informal</w:t>
            </w:r>
          </w:p>
        </w:tc>
        <w:tc>
          <w:tcPr>
            <w:tcW w:w="1560" w:type="dxa"/>
          </w:tcPr>
          <w:p>
            <w:pPr>
              <w:spacing w:line="240" w:lineRule="auto" w:after="0"/>
            </w:pPr>
            <w:r>
              <w:rPr>
                <w:sz w:val="20"/>
                <w:szCs w:val="20"/>
              </w:rPr>
              <w:t xml:space="preserve">Eraut [13]</w:t>
            </w:r>
          </w:p>
        </w:tc>
      </w:tr>
      <w:tr>
        <w:tc>
          <w:tcPr>
            <w:tcW w:w="1560" w:type="dxa"/>
          </w:tcPr>
          <w:p>
            <w:pPr>
              <w:spacing w:line="240" w:lineRule="auto" w:after="0"/>
            </w:pPr>
            <w:r>
              <w:rPr>
                <w:sz w:val="20"/>
                <w:szCs w:val="20"/>
              </w:rPr>
              <w:t xml:space="preserve">Teaching</w:t>
            </w:r>
          </w:p>
        </w:tc>
        <w:tc>
          <w:tcPr>
            <w:tcW w:w="1560" w:type="dxa"/>
          </w:tcPr>
          <w:p>
            <w:pPr>
              <w:spacing w:line="240" w:lineRule="auto" w:after="0"/>
            </w:pPr>
            <w:r>
              <w:rPr>
                <w:sz w:val="20"/>
                <w:szCs w:val="20"/>
              </w:rPr>
              <w:t xml:space="preserve">Curriculum design</w:t>
            </w:r>
          </w:p>
        </w:tc>
        <w:tc>
          <w:tcPr>
            <w:tcW w:w="1560" w:type="dxa"/>
          </w:tcPr>
          <w:p>
            <w:pPr>
              <w:spacing w:line="240" w:lineRule="auto" w:after="0"/>
            </w:pPr>
            <w:r>
              <w:rPr>
                <w:sz w:val="20"/>
                <w:szCs w:val="20"/>
              </w:rPr>
              <w:t xml:space="preserve">Breadth (Pedagogy)</w:t>
            </w:r>
          </w:p>
        </w:tc>
        <w:tc>
          <w:tcPr>
            <w:tcW w:w="1560" w:type="dxa"/>
          </w:tcPr>
          <w:p>
            <w:pPr>
              <w:spacing w:line="240" w:lineRule="auto" w:after="0"/>
            </w:pPr>
            <w:r>
              <w:rPr>
                <w:sz w:val="20"/>
                <w:szCs w:val="20"/>
              </w:rPr>
              <w:t xml:space="preserve">Pedagogical identity; scholarly teaching</w:t>
            </w:r>
          </w:p>
        </w:tc>
        <w:tc>
          <w:tcPr>
            <w:tcW w:w="1560" w:type="dxa"/>
          </w:tcPr>
          <w:p>
            <w:pPr>
              <w:spacing w:line="240" w:lineRule="auto" w:after="0"/>
            </w:pPr>
            <w:r>
              <w:rPr>
                <w:sz w:val="20"/>
                <w:szCs w:val="20"/>
              </w:rPr>
              <w:t xml:space="preserve">Formal/Informal</w:t>
            </w:r>
          </w:p>
        </w:tc>
        <w:tc>
          <w:tcPr>
            <w:tcW w:w="1560" w:type="dxa"/>
          </w:tcPr>
          <w:p>
            <w:pPr>
              <w:spacing w:line="240" w:lineRule="auto" w:after="0"/>
            </w:pPr>
            <w:r>
              <w:rPr>
                <w:sz w:val="20"/>
                <w:szCs w:val="20"/>
              </w:rPr>
              <w:t xml:space="preserve">Fanghanel [10]</w:t>
            </w:r>
          </w:p>
        </w:tc>
      </w:tr>
      <w:tr>
        <w:tc>
          <w:tcPr>
            <w:tcW w:w="1560" w:type="dxa"/>
          </w:tcPr>
          <w:p>
            <w:pPr>
              <w:spacing w:line="240" w:lineRule="auto" w:after="0"/>
            </w:pPr>
            <w:r>
              <w:rPr>
                <w:sz w:val="20"/>
                <w:szCs w:val="20"/>
              </w:rPr>
              <w:t xml:space="preserve">Supervision</w:t>
            </w:r>
          </w:p>
        </w:tc>
        <w:tc>
          <w:tcPr>
            <w:tcW w:w="1560" w:type="dxa"/>
          </w:tcPr>
          <w:p>
            <w:pPr>
              <w:spacing w:line="240" w:lineRule="auto" w:after="0"/>
            </w:pPr>
            <w:r>
              <w:rPr>
                <w:sz w:val="20"/>
                <w:szCs w:val="20"/>
              </w:rPr>
              <w:t xml:space="preserve">PhD mentoring</w:t>
            </w:r>
          </w:p>
        </w:tc>
        <w:tc>
          <w:tcPr>
            <w:tcW w:w="1560" w:type="dxa"/>
          </w:tcPr>
          <w:p>
            <w:pPr>
              <w:spacing w:line="240" w:lineRule="auto" w:after="0"/>
            </w:pPr>
            <w:r>
              <w:rPr>
                <w:sz w:val="20"/>
                <w:szCs w:val="20"/>
              </w:rPr>
              <w:t xml:space="preserve">Depth + Leadership</w:t>
            </w:r>
          </w:p>
        </w:tc>
        <w:tc>
          <w:tcPr>
            <w:tcW w:w="1560" w:type="dxa"/>
          </w:tcPr>
          <w:p>
            <w:pPr>
              <w:spacing w:line="240" w:lineRule="auto" w:after="0"/>
            </w:pPr>
            <w:r>
              <w:rPr>
                <w:sz w:val="20"/>
                <w:szCs w:val="20"/>
              </w:rPr>
              <w:t xml:space="preserve">Senior scholar identity; generativity</w:t>
            </w:r>
          </w:p>
        </w:tc>
        <w:tc>
          <w:tcPr>
            <w:tcW w:w="1560" w:type="dxa"/>
          </w:tcPr>
          <w:p>
            <w:pPr>
              <w:spacing w:line="240" w:lineRule="auto" w:after="0"/>
            </w:pPr>
            <w:r>
              <w:rPr>
                <w:sz w:val="20"/>
                <w:szCs w:val="20"/>
              </w:rPr>
              <w:t xml:space="preserve">Informal</w:t>
            </w:r>
          </w:p>
        </w:tc>
        <w:tc>
          <w:tcPr>
            <w:tcW w:w="1560" w:type="dxa"/>
          </w:tcPr>
          <w:p>
            <w:pPr>
              <w:spacing w:line="240" w:lineRule="auto" w:after="0"/>
            </w:pPr>
            <w:r>
              <w:rPr>
                <w:sz w:val="20"/>
                <w:szCs w:val="20"/>
              </w:rPr>
              <w:t xml:space="preserve">Mullen and Klimaitis [84]</w:t>
            </w:r>
          </w:p>
        </w:tc>
      </w:tr>
      <w:tr>
        <w:tc>
          <w:tcPr>
            <w:tcW w:w="1560" w:type="dxa"/>
          </w:tcPr>
          <w:p>
            <w:pPr>
              <w:spacing w:line="240" w:lineRule="auto" w:after="0"/>
            </w:pPr>
            <w:r>
              <w:rPr>
                <w:sz w:val="20"/>
                <w:szCs w:val="20"/>
              </w:rPr>
              <w:t xml:space="preserve">Service</w:t>
            </w:r>
          </w:p>
        </w:tc>
        <w:tc>
          <w:tcPr>
            <w:tcW w:w="1560" w:type="dxa"/>
          </w:tcPr>
          <w:p>
            <w:pPr>
              <w:spacing w:line="240" w:lineRule="auto" w:after="0"/>
            </w:pPr>
            <w:r>
              <w:rPr>
                <w:sz w:val="20"/>
                <w:szCs w:val="20"/>
              </w:rPr>
              <w:t xml:space="preserve">Committee membership</w:t>
            </w:r>
          </w:p>
        </w:tc>
        <w:tc>
          <w:tcPr>
            <w:tcW w:w="1560" w:type="dxa"/>
          </w:tcPr>
          <w:p>
            <w:pPr>
              <w:spacing w:line="240" w:lineRule="auto" w:after="0"/>
            </w:pPr>
            <w:r>
              <w:rPr>
                <w:sz w:val="20"/>
                <w:szCs w:val="20"/>
              </w:rPr>
              <w:t xml:space="preserve">Breadth (Governance)</w:t>
            </w:r>
          </w:p>
        </w:tc>
        <w:tc>
          <w:tcPr>
            <w:tcW w:w="1560" w:type="dxa"/>
          </w:tcPr>
          <w:p>
            <w:pPr>
              <w:spacing w:line="240" w:lineRule="auto" w:after="0"/>
            </w:pPr>
            <w:r>
              <w:rPr>
                <w:sz w:val="20"/>
                <w:szCs w:val="20"/>
              </w:rPr>
              <w:t xml:space="preserve">Institutional citizenship; leadership</w:t>
            </w:r>
          </w:p>
        </w:tc>
        <w:tc>
          <w:tcPr>
            <w:tcW w:w="1560" w:type="dxa"/>
          </w:tcPr>
          <w:p>
            <w:pPr>
              <w:spacing w:line="240" w:lineRule="auto" w:after="0"/>
            </w:pPr>
            <w:r>
              <w:rPr>
                <w:sz w:val="20"/>
                <w:szCs w:val="20"/>
              </w:rPr>
              <w:t xml:space="preserve">Informal</w:t>
            </w:r>
          </w:p>
        </w:tc>
        <w:tc>
          <w:tcPr>
            <w:tcW w:w="1560" w:type="dxa"/>
          </w:tcPr>
          <w:p>
            <w:pPr>
              <w:spacing w:line="240" w:lineRule="auto" w:after="0"/>
            </w:pPr>
            <w:r>
              <w:rPr>
                <w:sz w:val="20"/>
                <w:szCs w:val="20"/>
              </w:rPr>
              <w:t xml:space="preserve">Macfarlane [24]</w:t>
            </w:r>
          </w:p>
        </w:tc>
      </w:tr>
      <w:tr>
        <w:tc>
          <w:tcPr>
            <w:tcW w:w="1560" w:type="dxa"/>
          </w:tcPr>
          <w:p>
            <w:pPr>
              <w:spacing w:line="240" w:lineRule="auto" w:after="0"/>
            </w:pPr>
            <w:r>
              <w:rPr>
                <w:sz w:val="20"/>
                <w:szCs w:val="20"/>
              </w:rPr>
              <w:t xml:space="preserve">Digital</w:t>
            </w:r>
          </w:p>
        </w:tc>
        <w:tc>
          <w:tcPr>
            <w:tcW w:w="1560" w:type="dxa"/>
          </w:tcPr>
          <w:p>
            <w:pPr>
              <w:spacing w:line="240" w:lineRule="auto" w:after="0"/>
            </w:pPr>
            <w:r>
              <w:rPr>
                <w:sz w:val="20"/>
                <w:szCs w:val="20"/>
              </w:rPr>
              <w:t xml:space="preserve">Social media scholarship</w:t>
            </w:r>
          </w:p>
        </w:tc>
        <w:tc>
          <w:tcPr>
            <w:tcW w:w="1560" w:type="dxa"/>
          </w:tcPr>
          <w:p>
            <w:pPr>
              <w:spacing w:line="240" w:lineRule="auto" w:after="0"/>
            </w:pPr>
            <w:r>
              <w:rPr>
                <w:sz w:val="20"/>
                <w:szCs w:val="20"/>
              </w:rPr>
              <w:t xml:space="preserve">Breadth (Communication)</w:t>
            </w:r>
          </w:p>
        </w:tc>
        <w:tc>
          <w:tcPr>
            <w:tcW w:w="1560" w:type="dxa"/>
          </w:tcPr>
          <w:p>
            <w:pPr>
              <w:spacing w:line="240" w:lineRule="auto" w:after="0"/>
            </w:pPr>
            <w:r>
              <w:rPr>
                <w:sz w:val="20"/>
                <w:szCs w:val="20"/>
              </w:rPr>
              <w:t xml:space="preserve">Public intellectual; networked scholar</w:t>
            </w:r>
          </w:p>
        </w:tc>
        <w:tc>
          <w:tcPr>
            <w:tcW w:w="1560" w:type="dxa"/>
          </w:tcPr>
          <w:p>
            <w:pPr>
              <w:spacing w:line="240" w:lineRule="auto" w:after="0"/>
            </w:pPr>
            <w:r>
              <w:rPr>
                <w:sz w:val="20"/>
                <w:szCs w:val="20"/>
              </w:rPr>
              <w:t xml:space="preserve">Informal</w:t>
            </w:r>
          </w:p>
        </w:tc>
        <w:tc>
          <w:tcPr>
            <w:tcW w:w="1560" w:type="dxa"/>
          </w:tcPr>
          <w:p>
            <w:pPr>
              <w:spacing w:line="240" w:lineRule="auto" w:after="0"/>
            </w:pPr>
            <w:r>
              <w:rPr>
                <w:sz w:val="20"/>
                <w:szCs w:val="20"/>
              </w:rPr>
              <w:t xml:space="preserve">Veletsianos [64]</w:t>
            </w:r>
          </w:p>
        </w:tc>
      </w:tr>
      <w:tr>
        <w:tc>
          <w:tcPr>
            <w:tcW w:w="1560" w:type="dxa"/>
          </w:tcPr>
          <w:p>
            <w:pPr>
              <w:spacing w:line="240" w:lineRule="auto" w:after="0"/>
            </w:pPr>
            <w:r>
              <w:rPr>
                <w:sz w:val="20"/>
                <w:szCs w:val="20"/>
              </w:rPr>
              <w:t xml:space="preserve">Interdisciplinary</w:t>
            </w:r>
          </w:p>
        </w:tc>
        <w:tc>
          <w:tcPr>
            <w:tcW w:w="1560" w:type="dxa"/>
          </w:tcPr>
          <w:p>
            <w:pPr>
              <w:spacing w:line="240" w:lineRule="auto" w:after="0"/>
            </w:pPr>
            <w:r>
              <w:rPr>
                <w:sz w:val="20"/>
                <w:szCs w:val="20"/>
              </w:rPr>
              <w:t xml:space="preserve">Collaborative projects</w:t>
            </w:r>
          </w:p>
        </w:tc>
        <w:tc>
          <w:tcPr>
            <w:tcW w:w="1560" w:type="dxa"/>
          </w:tcPr>
          <w:p>
            <w:pPr>
              <w:spacing w:line="240" w:lineRule="auto" w:after="0"/>
            </w:pPr>
            <w:r>
              <w:rPr>
                <w:sz w:val="20"/>
                <w:szCs w:val="20"/>
              </w:rPr>
              <w:t xml:space="preserve">Breadth (Collaboration)</w:t>
            </w:r>
          </w:p>
        </w:tc>
        <w:tc>
          <w:tcPr>
            <w:tcW w:w="1560" w:type="dxa"/>
          </w:tcPr>
          <w:p>
            <w:pPr>
              <w:spacing w:line="240" w:lineRule="auto" w:after="0"/>
            </w:pPr>
            <w:r>
              <w:rPr>
                <w:sz w:val="20"/>
                <w:szCs w:val="20"/>
              </w:rPr>
              <w:t xml:space="preserve">Boundary-crossing identity</w:t>
            </w:r>
          </w:p>
        </w:tc>
        <w:tc>
          <w:tcPr>
            <w:tcW w:w="1560" w:type="dxa"/>
          </w:tcPr>
          <w:p>
            <w:pPr>
              <w:spacing w:line="240" w:lineRule="auto" w:after="0"/>
            </w:pPr>
            <w:r>
              <w:rPr>
                <w:sz w:val="20"/>
                <w:szCs w:val="20"/>
              </w:rPr>
              <w:t xml:space="preserve">Formal</w:t>
            </w:r>
          </w:p>
        </w:tc>
        <w:tc>
          <w:tcPr>
            <w:tcW w:w="1560" w:type="dxa"/>
          </w:tcPr>
          <w:p>
            <w:pPr>
              <w:spacing w:line="240" w:lineRule="auto" w:after="0"/>
            </w:pPr>
            <w:r>
              <w:rPr>
                <w:sz w:val="20"/>
                <w:szCs w:val="20"/>
              </w:rPr>
              <w:t xml:space="preserve">Brew [43]</w:t>
            </w:r>
          </w:p>
        </w:tc>
      </w:tr>
      <w:tr>
        <w:tc>
          <w:tcPr>
            <w:tcW w:w="1560" w:type="dxa"/>
          </w:tcPr>
          <w:p>
            <w:pPr>
              <w:spacing w:line="240" w:lineRule="auto" w:after="0"/>
            </w:pPr>
            <w:r>
              <w:rPr>
                <w:sz w:val="20"/>
                <w:szCs w:val="20"/>
              </w:rPr>
              <w:t xml:space="preserve">Peer Review</w:t>
            </w:r>
          </w:p>
        </w:tc>
        <w:tc>
          <w:tcPr>
            <w:tcW w:w="1560" w:type="dxa"/>
          </w:tcPr>
          <w:p>
            <w:pPr>
              <w:spacing w:line="240" w:lineRule="auto" w:after="0"/>
            </w:pPr>
            <w:r>
              <w:rPr>
                <w:sz w:val="20"/>
                <w:szCs w:val="20"/>
              </w:rPr>
              <w:t xml:space="preserve">Journal reviewing</w:t>
            </w:r>
          </w:p>
        </w:tc>
        <w:tc>
          <w:tcPr>
            <w:tcW w:w="1560" w:type="dxa"/>
          </w:tcPr>
          <w:p>
            <w:pPr>
              <w:spacing w:line="240" w:lineRule="auto" w:after="0"/>
            </w:pPr>
            <w:r>
              <w:rPr>
                <w:sz w:val="20"/>
                <w:szCs w:val="20"/>
              </w:rPr>
              <w:t xml:space="preserve">Depth (Evaluation)</w:t>
            </w:r>
          </w:p>
        </w:tc>
        <w:tc>
          <w:tcPr>
            <w:tcW w:w="1560" w:type="dxa"/>
          </w:tcPr>
          <w:p>
            <w:pPr>
              <w:spacing w:line="240" w:lineRule="auto" w:after="0"/>
            </w:pPr>
            <w:r>
              <w:rPr>
                <w:sz w:val="20"/>
                <w:szCs w:val="20"/>
              </w:rPr>
              <w:t xml:space="preserve">Disciplinary gatekeeping; expertise</w:t>
            </w:r>
          </w:p>
        </w:tc>
        <w:tc>
          <w:tcPr>
            <w:tcW w:w="1560" w:type="dxa"/>
          </w:tcPr>
          <w:p>
            <w:pPr>
              <w:spacing w:line="240" w:lineRule="auto" w:after="0"/>
            </w:pPr>
            <w:r>
              <w:rPr>
                <w:sz w:val="20"/>
                <w:szCs w:val="20"/>
              </w:rPr>
              <w:t xml:space="preserve">Informal</w:t>
            </w:r>
          </w:p>
        </w:tc>
        <w:tc>
          <w:tcPr>
            <w:tcW w:w="1560" w:type="dxa"/>
          </w:tcPr>
          <w:p>
            <w:pPr>
              <w:spacing w:line="240" w:lineRule="auto" w:after="0"/>
            </w:pPr>
            <w:r>
              <w:rPr>
                <w:sz w:val="20"/>
                <w:szCs w:val="20"/>
              </w:rPr>
              <w:t xml:space="preserve">Wenger [58]</w:t>
            </w:r>
          </w:p>
        </w:tc>
      </w:tr>
      <w:tr>
        <w:tc>
          <w:tcPr>
            <w:tcW w:w="1560" w:type="dxa"/>
          </w:tcPr>
          <w:p>
            <w:pPr>
              <w:spacing w:line="240" w:lineRule="auto" w:after="0"/>
            </w:pPr>
            <w:r>
              <w:rPr>
                <w:sz w:val="20"/>
                <w:szCs w:val="20"/>
              </w:rPr>
              <w:t xml:space="preserve">Public Engagement</w:t>
            </w:r>
          </w:p>
        </w:tc>
        <w:tc>
          <w:tcPr>
            <w:tcW w:w="1560" w:type="dxa"/>
          </w:tcPr>
          <w:p>
            <w:pPr>
              <w:spacing w:line="240" w:lineRule="auto" w:after="0"/>
            </w:pPr>
            <w:r>
              <w:rPr>
                <w:sz w:val="20"/>
                <w:szCs w:val="20"/>
              </w:rPr>
              <w:t xml:space="preserve">Media appearances</w:t>
            </w:r>
          </w:p>
        </w:tc>
        <w:tc>
          <w:tcPr>
            <w:tcW w:w="1560" w:type="dxa"/>
          </w:tcPr>
          <w:p>
            <w:pPr>
              <w:spacing w:line="240" w:lineRule="auto" w:after="0"/>
            </w:pPr>
            <w:r>
              <w:rPr>
                <w:sz w:val="20"/>
                <w:szCs w:val="20"/>
              </w:rPr>
              <w:t xml:space="preserve">Breadth (Communication)</w:t>
            </w:r>
          </w:p>
        </w:tc>
        <w:tc>
          <w:tcPr>
            <w:tcW w:w="1560" w:type="dxa"/>
          </w:tcPr>
          <w:p>
            <w:pPr>
              <w:spacing w:line="240" w:lineRule="auto" w:after="0"/>
            </w:pPr>
            <w:r>
              <w:rPr>
                <w:sz w:val="20"/>
                <w:szCs w:val="20"/>
              </w:rPr>
              <w:t xml:space="preserve">Public scholar identity; impact</w:t>
            </w:r>
          </w:p>
        </w:tc>
        <w:tc>
          <w:tcPr>
            <w:tcW w:w="1560" w:type="dxa"/>
          </w:tcPr>
          <w:p>
            <w:pPr>
              <w:spacing w:line="240" w:lineRule="auto" w:after="0"/>
            </w:pPr>
            <w:r>
              <w:rPr>
                <w:sz w:val="20"/>
                <w:szCs w:val="20"/>
              </w:rPr>
              <w:t xml:space="preserve">Formal/Informal</w:t>
            </w:r>
          </w:p>
        </w:tc>
        <w:tc>
          <w:tcPr>
            <w:tcW w:w="1560" w:type="dxa"/>
          </w:tcPr>
          <w:p>
            <w:pPr>
              <w:spacing w:line="240" w:lineRule="auto" w:after="0"/>
            </w:pPr>
            <w:r>
              <w:rPr>
                <w:sz w:val="20"/>
                <w:szCs w:val="20"/>
              </w:rPr>
              <w:t xml:space="preserve">Boyer [85]</w:t>
            </w:r>
          </w:p>
        </w:tc>
      </w:tr>
    </w:tbl>
    <w:p/>
    <w:p>
      <w:pPr>
        <w:spacing w:line="480" w:lineRule="auto" w:after="0"/>
      </w:pPr>
    </w:p>
    <w:p>
      <w:pPr>
        <w:spacing w:line="480" w:lineRule="auto" w:before="240" w:after="120"/>
      </w:pPr>
      <w:r>
        <w:rPr>
          <w:b/>
          <w:i/>
          <w:sz w:val="24"/>
          <w:szCs w:val="24"/>
        </w:rPr>
        <w:t xml:space="preserve">Diversification of Revenue and Outputs</w:t>
      </w:r>
    </w:p>
    <w:p>
      <w:pPr>
        <w:spacing w:line="480" w:lineRule="auto" w:after="0"/>
      </w:pPr>
    </w:p>
    <w:p>
      <w:pPr>
        <w:spacing w:line="480" w:lineRule="auto" w:after="0"/>
        <w:ind w:firstLine="720"/>
      </w:pPr>
      <w:r>
        <w:rPr>
          <w:sz w:val="24"/>
          <w:szCs w:val="24"/>
        </w:rPr>
        <w:t xml:space="preserve">The traditional academic economy was relatively simple: one produced research (publications) and teaching (courses) in exchange for a salary and the possibility of promotion. The contemporary academic economy is far more complex, encompassing consultancy, public scholarship, podcast production, popular writing, entrepreneurial spin-offs, expert witness work, policy advisory roles, and social media influence. Each of these activities creates value - both economic and reputational - but each also reshapes academic identity in significant ways.</w:t>
      </w:r>
    </w:p>
    <w:p>
      <w:pPr>
        <w:spacing w:line="480" w:lineRule="auto" w:after="0"/>
      </w:pPr>
    </w:p>
    <w:p>
      <w:pPr>
        <w:spacing w:line="480" w:lineRule="auto" w:after="0"/>
        <w:ind w:firstLine="720"/>
      </w:pPr>
      <w:r>
        <w:rPr>
          <w:sz w:val="24"/>
          <w:szCs w:val="24"/>
        </w:rPr>
        <w:t xml:space="preserve">Engaging in consultancy, for example, requires the academic to translate scholarly expertise into forms that are useful to external clients, potentially creating tensions between academic rigour and practical applicability. Public scholarship - writing for newspapers, appearing on television, maintaining a blog - demands communication skills quite different from those required for academic publication, and exposes the academic to public scrutiny and potential criticism from disciplinary colleagues. Entrepreneurial activities may generate income and "impact" but can create conflicts of interest and challenge the norm of disinterested inquiry.</w:t>
      </w:r>
    </w:p>
    <w:p>
      <w:pPr>
        <w:spacing w:line="480" w:lineRule="auto" w:after="0"/>
      </w:pPr>
    </w:p>
    <w:p>
      <w:pPr>
        <w:spacing w:line="480" w:lineRule="auto" w:after="0"/>
        <w:ind w:firstLine="720"/>
      </w:pPr>
      <w:r>
        <w:rPr>
          <w:sz w:val="24"/>
          <w:szCs w:val="24"/>
        </w:rPr>
        <w:t xml:space="preserve">Professional development must therefore support academics in navigating this diversified landscape strategically. This means helping them to identify which activities align with their values and goals; to manage the time demands of multiple commitments; to negotiate the institutional expectations around diversification; and to construct narratives that integrate diverse activities into a coherent professional identity. The key insight is that diversification need not be experienced as fragmentation if it is undertaken deliberately, with a clear sense of how each activity contributes to an overarching scholarly purpose.</w:t>
      </w:r>
    </w:p>
    <w:p>
      <w:pPr>
        <w:spacing w:line="480" w:lineRule="auto" w:after="0"/>
      </w:pPr>
    </w:p>
    <w:p>
      <w:pPr>
        <w:spacing w:line="480" w:lineRule="auto" w:after="0"/>
        <w:ind w:firstLine="720"/>
      </w:pPr>
      <w:r>
        <w:rPr>
          <w:sz w:val="24"/>
          <w:szCs w:val="24"/>
        </w:rPr>
        <w:t xml:space="preserve">Professional development is, at its best, an evidence-based practice. It requires a strategic approach - treating one's career as a "project" that requires regular auditing, goal-setting, and agile pivoting, rather than a linear progression up a predetermined ladder. The academic who approaches their development with this strategic mindset - drawing on the competency framework visualised in Figure 3 and the activity mapping in Table 3 - is better equipped to navigate the uncertainties and opportunities of the boundaryless university.</w:t>
      </w:r>
    </w:p>
    <w:p>
      <w:pPr>
        <w:spacing w:line="480" w:lineRule="auto" w:after="0"/>
      </w:pPr>
    </w:p>
    <w:p>
      <w:pPr>
        <w:spacing w:line="480" w:lineRule="auto" w:after="0"/>
      </w:pPr>
    </w:p>
    <w:p>
      <w:pPr>
        <w:spacing w:line="480" w:lineRule="auto" w:before="240" w:after="120"/>
      </w:pPr>
      <w:r>
        <w:rPr>
          <w:b/>
          <w:sz w:val="28"/>
          <w:szCs w:val="28"/>
        </w:rPr>
        <w:t xml:space="preserve">Section 4: The Horizon: Ethics, Community, and the Future of the Academic Vocation</w:t>
      </w:r>
    </w:p>
    <w:p>
      <w:pPr>
        <w:spacing w:line="480" w:lineRule="auto" w:before="240" w:after="120"/>
      </w:pPr>
      <w:r>
        <w:rPr>
          <w:b/>
          <w:sz w:val="26"/>
          <w:szCs w:val="26"/>
        </w:rPr>
        <w:t xml:space="preserve">Reclaiming Agency in a Post-Digital Academy</w:t>
      </w:r>
    </w:p>
    <w:p>
      <w:pPr>
        <w:spacing w:line="480" w:lineRule="auto" w:after="0"/>
      </w:pPr>
    </w:p>
    <w:p>
      <w:pPr>
        <w:spacing w:line="480" w:lineRule="auto" w:before="240" w:after="120"/>
      </w:pPr>
      <w:r>
        <w:rPr>
          <w:b/>
          <w:i/>
          <w:sz w:val="24"/>
          <w:szCs w:val="24"/>
        </w:rPr>
        <w:t xml:space="preserve">Digital Personhood and Artificial Intelligence</w:t>
      </w:r>
    </w:p>
    <w:p>
      <w:pPr>
        <w:spacing w:line="480" w:lineRule="auto" w:after="0"/>
      </w:pPr>
    </w:p>
    <w:p>
      <w:pPr>
        <w:spacing w:line="480" w:lineRule="auto" w:after="0"/>
        <w:ind w:firstLine="720"/>
      </w:pPr>
      <w:r>
        <w:rPr>
          <w:sz w:val="24"/>
          <w:szCs w:val="24"/>
        </w:rPr>
        <w:t xml:space="preserve">The emergence of Generative Artificial Intelligence (GenAI), exemplified by large language models such as ChatGPT, represents perhaps the most profound challenge to academic identity since the invention of the printing press. GenAI disrupts fundamental assumptions about authorship, originality, expertise, and the nature of intellectual labour. If a machine can produce competent academic prose, generate literature reviews, analyse data, and even formulate research questions, then what remains distinctive about the academic's contribution?</w:t>
      </w:r>
    </w:p>
    <w:p>
      <w:pPr>
        <w:spacing w:line="480" w:lineRule="auto" w:after="0"/>
      </w:pPr>
    </w:p>
    <w:p>
      <w:pPr>
        <w:spacing w:line="480" w:lineRule="auto" w:after="0"/>
        <w:ind w:firstLine="720"/>
      </w:pPr>
      <w:r>
        <w:rPr>
          <w:sz w:val="24"/>
          <w:szCs w:val="24"/>
        </w:rPr>
        <w:t xml:space="preserve">For teaching identity, the implications are immediate and far-reaching. Traditional assessment practices - essays, examinations, dissertations - are predicated on the assumption that submitted work represents the authentic intellectual output of the student. GenAI undermines this assumption, requiring academics to rethink not only how they assess but what they teach and why. The academic's role shifts from transmitter of information (a function AI can perform) to cultivator of critical thinking, ethical reasoning, and the capacity for genuine intellectual creativity - qualities that, at present, remain distinctively human.</w:t>
      </w:r>
    </w:p>
    <w:p>
      <w:pPr>
        <w:spacing w:line="480" w:lineRule="auto" w:after="0"/>
      </w:pPr>
    </w:p>
    <w:p>
      <w:pPr>
        <w:spacing w:line="480" w:lineRule="auto" w:after="0"/>
        <w:ind w:firstLine="720"/>
      </w:pPr>
      <w:r>
        <w:rPr>
          <w:sz w:val="24"/>
          <w:szCs w:val="24"/>
        </w:rPr>
        <w:t xml:space="preserve">For research identity, GenAI raises questions about the nature of scholarly contribution. If AI tools can accelerate literature synthesis, identify patterns in large datasets, and even generate hypotheses, then the academic's value lies not in performing these tasks but in the higher-order functions of framing questions, evaluating evidence, exercising judgement, and situating findings within broader theoretical and ethical frameworks. Professional development must therefore prepare academics not merely to use AI tools efficiently but to articulate clearly what they - as human scholars - bring to the intellectual enterprise that AI cannot.</w:t>
      </w:r>
    </w:p>
    <w:p>
      <w:pPr>
        <w:spacing w:line="480" w:lineRule="auto" w:after="0"/>
      </w:pPr>
    </w:p>
    <w:p>
      <w:pPr>
        <w:spacing w:line="480" w:lineRule="auto" w:after="0"/>
        <w:ind w:firstLine="720"/>
      </w:pPr>
      <w:r>
        <w:rPr>
          <w:sz w:val="24"/>
          <w:szCs w:val="24"/>
        </w:rPr>
        <w:t xml:space="preserve">The challenge is not merely technical but existential. If the academic's identity has historically been built on the mastery of information, the ability to synthesise vast literatures, and the production of authoritative texts, then AI threatens the very foundations upon which scholarly self-understanding is constructed. The response cannot be defensive - a retreat into activities that AI cannot (yet) perform - but must be generative: a reimagination of the academic's role as fundamentally concerned with meaning-making, ethical judgement, relational pedagogy, and the cultivation of human capacities that remain beyond the reach of algorithmic intelligence. This requires a philosophical depth in professional development that goes far beyond instrumental skill-training. Table 4 systematises the impact of AI across the key dimensions of academic identity, mapping threats, opportunities, and recommended professional development responses for each. These challenges add a new dimension to the unbundling forces depicted in Figure 2, and demand an expansion of the T-shaped competencies visualised in Figure 3.</w:t>
      </w:r>
    </w:p>
    <w:p>
      <w:pPr>
        <w:spacing w:line="480" w:lineRule="auto" w:after="0"/>
      </w:pPr>
    </w:p>
    <w:p>
      <w:pPr>
        <w:spacing w:line="240" w:lineRule="auto" w:before="240" w:after="120"/>
      </w:pPr>
      <w:r>
        <w:rPr>
          <w:b/>
          <w:i/>
          <w:sz w:val="24"/>
          <w:szCs w:val="24"/>
        </w:rPr>
        <w:t xml:space="preserve">Table 4. Impact of Generative AI on Academic Identity Dimensions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60"/>
        <w:gridCol w:w="1560"/>
        <w:gridCol w:w="1560"/>
        <w:gridCol w:w="1560"/>
        <w:gridCol w:w="1560"/>
        <w:gridCol w:w="1560"/>
      </w:tblGrid>
      <w:tr>
        <w:tc>
          <w:tcPr>
            <w:tcW w:w="1560" w:type="dxa"/>
            <w:shd w:val="clear" w:color="auto" w:fill="D9E2F3"/>
          </w:tcPr>
          <w:p>
            <w:pPr>
              <w:spacing w:line="240" w:lineRule="auto" w:after="0"/>
            </w:pPr>
            <w:r>
              <w:rPr>
                <w:b/>
                <w:sz w:val="20"/>
                <w:szCs w:val="20"/>
              </w:rPr>
              <w:t xml:space="preserve">Identity Dimension</w:t>
            </w:r>
          </w:p>
        </w:tc>
        <w:tc>
          <w:tcPr>
            <w:tcW w:w="1560" w:type="dxa"/>
            <w:shd w:val="clear" w:color="auto" w:fill="D9E2F3"/>
          </w:tcPr>
          <w:p>
            <w:pPr>
              <w:spacing w:line="240" w:lineRule="auto" w:after="0"/>
            </w:pPr>
            <w:r>
              <w:rPr>
                <w:b/>
                <w:sz w:val="20"/>
                <w:szCs w:val="20"/>
              </w:rPr>
              <w:t xml:space="preserve">AI Challenge</w:t>
            </w:r>
          </w:p>
        </w:tc>
        <w:tc>
          <w:tcPr>
            <w:tcW w:w="1560" w:type="dxa"/>
            <w:shd w:val="clear" w:color="auto" w:fill="D9E2F3"/>
          </w:tcPr>
          <w:p>
            <w:pPr>
              <w:spacing w:line="240" w:lineRule="auto" w:after="0"/>
            </w:pPr>
            <w:r>
              <w:rPr>
                <w:b/>
                <w:sz w:val="20"/>
                <w:szCs w:val="20"/>
              </w:rPr>
              <w:t xml:space="preserve">Threat to Identity</w:t>
            </w:r>
          </w:p>
        </w:tc>
        <w:tc>
          <w:tcPr>
            <w:tcW w:w="1560" w:type="dxa"/>
            <w:shd w:val="clear" w:color="auto" w:fill="D9E2F3"/>
          </w:tcPr>
          <w:p>
            <w:pPr>
              <w:spacing w:line="240" w:lineRule="auto" w:after="0"/>
            </w:pPr>
            <w:r>
              <w:rPr>
                <w:b/>
                <w:sz w:val="20"/>
                <w:szCs w:val="20"/>
              </w:rPr>
              <w:t xml:space="preserve">Opportunity for Identity</w:t>
            </w:r>
          </w:p>
        </w:tc>
        <w:tc>
          <w:tcPr>
            <w:tcW w:w="1560" w:type="dxa"/>
            <w:shd w:val="clear" w:color="auto" w:fill="D9E2F3"/>
          </w:tcPr>
          <w:p>
            <w:pPr>
              <w:spacing w:line="240" w:lineRule="auto" w:after="0"/>
            </w:pPr>
            <w:r>
              <w:rPr>
                <w:b/>
                <w:sz w:val="20"/>
                <w:szCs w:val="20"/>
              </w:rPr>
              <w:t xml:space="preserve">PD Response Required</w:t>
            </w:r>
          </w:p>
        </w:tc>
        <w:tc>
          <w:tcPr>
            <w:tcW w:w="1560" w:type="dxa"/>
            <w:shd w:val="clear" w:color="auto" w:fill="D9E2F3"/>
          </w:tcPr>
          <w:p>
            <w:pPr>
              <w:spacing w:line="240" w:lineRule="auto" w:after="0"/>
            </w:pPr>
            <w:r>
              <w:rPr>
                <w:b/>
                <w:sz w:val="20"/>
                <w:szCs w:val="20"/>
              </w:rPr>
              <w:t xml:space="preserve">Source</w:t>
            </w:r>
          </w:p>
        </w:tc>
      </w:tr>
      <w:tr>
        <w:tc>
          <w:tcPr>
            <w:tcW w:w="1560" w:type="dxa"/>
          </w:tcPr>
          <w:p>
            <w:pPr>
              <w:spacing w:line="240" w:lineRule="auto" w:after="0"/>
            </w:pPr>
            <w:r>
              <w:rPr>
                <w:sz w:val="20"/>
                <w:szCs w:val="20"/>
              </w:rPr>
              <w:t xml:space="preserve">Teaching</w:t>
            </w:r>
          </w:p>
        </w:tc>
        <w:tc>
          <w:tcPr>
            <w:tcW w:w="1560" w:type="dxa"/>
          </w:tcPr>
          <w:p>
            <w:pPr>
              <w:spacing w:line="240" w:lineRule="auto" w:after="0"/>
            </w:pPr>
            <w:r>
              <w:rPr>
                <w:sz w:val="20"/>
                <w:szCs w:val="20"/>
              </w:rPr>
              <w:t xml:space="preserve">Automated content delivery</w:t>
            </w:r>
          </w:p>
        </w:tc>
        <w:tc>
          <w:tcPr>
            <w:tcW w:w="1560" w:type="dxa"/>
          </w:tcPr>
          <w:p>
            <w:pPr>
              <w:spacing w:line="240" w:lineRule="auto" w:after="0"/>
            </w:pPr>
            <w:r>
              <w:rPr>
                <w:sz w:val="20"/>
                <w:szCs w:val="20"/>
              </w:rPr>
              <w:t xml:space="preserve">Redundancy of information transmission role</w:t>
            </w:r>
          </w:p>
        </w:tc>
        <w:tc>
          <w:tcPr>
            <w:tcW w:w="1560" w:type="dxa"/>
          </w:tcPr>
          <w:p>
            <w:pPr>
              <w:spacing w:line="240" w:lineRule="auto" w:after="0"/>
            </w:pPr>
            <w:r>
              <w:rPr>
                <w:sz w:val="20"/>
                <w:szCs w:val="20"/>
              </w:rPr>
              <w:t xml:space="preserve">Shift to relational pedagogy and critical thinking</w:t>
            </w:r>
          </w:p>
        </w:tc>
        <w:tc>
          <w:tcPr>
            <w:tcW w:w="1560" w:type="dxa"/>
          </w:tcPr>
          <w:p>
            <w:pPr>
              <w:spacing w:line="240" w:lineRule="auto" w:after="0"/>
            </w:pPr>
            <w:r>
              <w:rPr>
                <w:sz w:val="20"/>
                <w:szCs w:val="20"/>
              </w:rPr>
              <w:t xml:space="preserve">AI literacy; assessment redesign training</w:t>
            </w:r>
          </w:p>
        </w:tc>
        <w:tc>
          <w:tcPr>
            <w:tcW w:w="1560" w:type="dxa"/>
          </w:tcPr>
          <w:p>
            <w:pPr>
              <w:spacing w:line="240" w:lineRule="auto" w:after="0"/>
            </w:pPr>
            <w:r>
              <w:rPr>
                <w:sz w:val="20"/>
                <w:szCs w:val="20"/>
              </w:rPr>
              <w:t xml:space="preserve">Dwivedi et al. [9]</w:t>
            </w:r>
          </w:p>
        </w:tc>
      </w:tr>
      <w:tr>
        <w:tc>
          <w:tcPr>
            <w:tcW w:w="1560" w:type="dxa"/>
          </w:tcPr>
          <w:p>
            <w:pPr>
              <w:spacing w:line="240" w:lineRule="auto" w:after="0"/>
            </w:pPr>
            <w:r>
              <w:rPr>
                <w:sz w:val="20"/>
                <w:szCs w:val="20"/>
              </w:rPr>
              <w:t xml:space="preserve">Research</w:t>
            </w:r>
          </w:p>
        </w:tc>
        <w:tc>
          <w:tcPr>
            <w:tcW w:w="1560" w:type="dxa"/>
          </w:tcPr>
          <w:p>
            <w:pPr>
              <w:spacing w:line="240" w:lineRule="auto" w:after="0"/>
            </w:pPr>
            <w:r>
              <w:rPr>
                <w:sz w:val="20"/>
                <w:szCs w:val="20"/>
              </w:rPr>
              <w:t xml:space="preserve">Literature synthesis by AI</w:t>
            </w:r>
          </w:p>
        </w:tc>
        <w:tc>
          <w:tcPr>
            <w:tcW w:w="1560" w:type="dxa"/>
          </w:tcPr>
          <w:p>
            <w:pPr>
              <w:spacing w:line="240" w:lineRule="auto" w:after="0"/>
            </w:pPr>
            <w:r>
              <w:rPr>
                <w:sz w:val="20"/>
                <w:szCs w:val="20"/>
              </w:rPr>
              <w:t xml:space="preserve">Devaluation of knowledge mastery</w:t>
            </w:r>
          </w:p>
        </w:tc>
        <w:tc>
          <w:tcPr>
            <w:tcW w:w="1560" w:type="dxa"/>
          </w:tcPr>
          <w:p>
            <w:pPr>
              <w:spacing w:line="240" w:lineRule="auto" w:after="0"/>
            </w:pPr>
            <w:r>
              <w:rPr>
                <w:sz w:val="20"/>
                <w:szCs w:val="20"/>
              </w:rPr>
              <w:t xml:space="preserve">Focus on question-framing and ethical judgement</w:t>
            </w:r>
          </w:p>
        </w:tc>
        <w:tc>
          <w:tcPr>
            <w:tcW w:w="1560" w:type="dxa"/>
          </w:tcPr>
          <w:p>
            <w:pPr>
              <w:spacing w:line="240" w:lineRule="auto" w:after="0"/>
            </w:pPr>
            <w:r>
              <w:rPr>
                <w:sz w:val="20"/>
                <w:szCs w:val="20"/>
              </w:rPr>
              <w:t xml:space="preserve">Research integrity training; AI-augmented methods</w:t>
            </w:r>
          </w:p>
        </w:tc>
        <w:tc>
          <w:tcPr>
            <w:tcW w:w="1560" w:type="dxa"/>
          </w:tcPr>
          <w:p>
            <w:pPr>
              <w:spacing w:line="240" w:lineRule="auto" w:after="0"/>
            </w:pPr>
            <w:r>
              <w:rPr>
                <w:sz w:val="20"/>
                <w:szCs w:val="20"/>
              </w:rPr>
              <w:t xml:space="preserve">Peseta et al. [8]</w:t>
            </w:r>
          </w:p>
        </w:tc>
      </w:tr>
      <w:tr>
        <w:tc>
          <w:tcPr>
            <w:tcW w:w="1560" w:type="dxa"/>
          </w:tcPr>
          <w:p>
            <w:pPr>
              <w:spacing w:line="240" w:lineRule="auto" w:after="0"/>
            </w:pPr>
            <w:r>
              <w:rPr>
                <w:sz w:val="20"/>
                <w:szCs w:val="20"/>
              </w:rPr>
              <w:t xml:space="preserve">Authorship</w:t>
            </w:r>
          </w:p>
        </w:tc>
        <w:tc>
          <w:tcPr>
            <w:tcW w:w="1560" w:type="dxa"/>
          </w:tcPr>
          <w:p>
            <w:pPr>
              <w:spacing w:line="240" w:lineRule="auto" w:after="0"/>
            </w:pPr>
            <w:r>
              <w:rPr>
                <w:sz w:val="20"/>
                <w:szCs w:val="20"/>
              </w:rPr>
              <w:t xml:space="preserve">AI-generated text</w:t>
            </w:r>
          </w:p>
        </w:tc>
        <w:tc>
          <w:tcPr>
            <w:tcW w:w="1560" w:type="dxa"/>
          </w:tcPr>
          <w:p>
            <w:pPr>
              <w:spacing w:line="240" w:lineRule="auto" w:after="0"/>
            </w:pPr>
            <w:r>
              <w:rPr>
                <w:sz w:val="20"/>
                <w:szCs w:val="20"/>
              </w:rPr>
              <w:t xml:space="preserve">Crisis of originality and attribution</w:t>
            </w:r>
          </w:p>
        </w:tc>
        <w:tc>
          <w:tcPr>
            <w:tcW w:w="1560" w:type="dxa"/>
          </w:tcPr>
          <w:p>
            <w:pPr>
              <w:spacing w:line="240" w:lineRule="auto" w:after="0"/>
            </w:pPr>
            <w:r>
              <w:rPr>
                <w:sz w:val="20"/>
                <w:szCs w:val="20"/>
              </w:rPr>
              <w:t xml:space="preserve">New collaborative human-AI scholarship models</w:t>
            </w:r>
          </w:p>
        </w:tc>
        <w:tc>
          <w:tcPr>
            <w:tcW w:w="1560" w:type="dxa"/>
          </w:tcPr>
          <w:p>
            <w:pPr>
              <w:spacing w:line="240" w:lineRule="auto" w:after="0"/>
            </w:pPr>
            <w:r>
              <w:rPr>
                <w:sz w:val="20"/>
                <w:szCs w:val="20"/>
              </w:rPr>
              <w:t xml:space="preserve">Academic integrity policy development</w:t>
            </w:r>
          </w:p>
        </w:tc>
        <w:tc>
          <w:tcPr>
            <w:tcW w:w="1560" w:type="dxa"/>
          </w:tcPr>
          <w:p>
            <w:pPr>
              <w:spacing w:line="240" w:lineRule="auto" w:after="0"/>
            </w:pPr>
            <w:r>
              <w:rPr>
                <w:sz w:val="20"/>
                <w:szCs w:val="20"/>
              </w:rPr>
              <w:t xml:space="preserve">Dwivedi et al. [9]</w:t>
            </w:r>
          </w:p>
        </w:tc>
      </w:tr>
      <w:tr>
        <w:tc>
          <w:tcPr>
            <w:tcW w:w="1560" w:type="dxa"/>
          </w:tcPr>
          <w:p>
            <w:pPr>
              <w:spacing w:line="240" w:lineRule="auto" w:after="0"/>
            </w:pPr>
            <w:r>
              <w:rPr>
                <w:sz w:val="20"/>
                <w:szCs w:val="20"/>
              </w:rPr>
              <w:t xml:space="preserve">Assessment</w:t>
            </w:r>
          </w:p>
        </w:tc>
        <w:tc>
          <w:tcPr>
            <w:tcW w:w="1560" w:type="dxa"/>
          </w:tcPr>
          <w:p>
            <w:pPr>
              <w:spacing w:line="240" w:lineRule="auto" w:after="0"/>
            </w:pPr>
            <w:r>
              <w:rPr>
                <w:sz w:val="20"/>
                <w:szCs w:val="20"/>
              </w:rPr>
              <w:t xml:space="preserve">Student use of GenAI</w:t>
            </w:r>
          </w:p>
        </w:tc>
        <w:tc>
          <w:tcPr>
            <w:tcW w:w="1560" w:type="dxa"/>
          </w:tcPr>
          <w:p>
            <w:pPr>
              <w:spacing w:line="240" w:lineRule="auto" w:after="0"/>
            </w:pPr>
            <w:r>
              <w:rPr>
                <w:sz w:val="20"/>
                <w:szCs w:val="20"/>
              </w:rPr>
              <w:t xml:space="preserve">Undermined evaluation validity</w:t>
            </w:r>
          </w:p>
        </w:tc>
        <w:tc>
          <w:tcPr>
            <w:tcW w:w="1560" w:type="dxa"/>
          </w:tcPr>
          <w:p>
            <w:pPr>
              <w:spacing w:line="240" w:lineRule="auto" w:after="0"/>
            </w:pPr>
            <w:r>
              <w:rPr>
                <w:sz w:val="20"/>
                <w:szCs w:val="20"/>
              </w:rPr>
              <w:t xml:space="preserve">Authentic assessment innovation</w:t>
            </w:r>
          </w:p>
        </w:tc>
        <w:tc>
          <w:tcPr>
            <w:tcW w:w="1560" w:type="dxa"/>
          </w:tcPr>
          <w:p>
            <w:pPr>
              <w:spacing w:line="240" w:lineRule="auto" w:after="0"/>
            </w:pPr>
            <w:r>
              <w:rPr>
                <w:sz w:val="20"/>
                <w:szCs w:val="20"/>
              </w:rPr>
              <w:t xml:space="preserve">Assessment design workshops; process-based evaluation</w:t>
            </w:r>
          </w:p>
        </w:tc>
        <w:tc>
          <w:tcPr>
            <w:tcW w:w="1560" w:type="dxa"/>
          </w:tcPr>
          <w:p>
            <w:pPr>
              <w:spacing w:line="240" w:lineRule="auto" w:after="0"/>
            </w:pPr>
            <w:r>
              <w:rPr>
                <w:sz w:val="20"/>
                <w:szCs w:val="20"/>
              </w:rPr>
              <w:t xml:space="preserve">Fanghanel [10]</w:t>
            </w:r>
          </w:p>
        </w:tc>
      </w:tr>
      <w:tr>
        <w:tc>
          <w:tcPr>
            <w:tcW w:w="1560" w:type="dxa"/>
          </w:tcPr>
          <w:p>
            <w:pPr>
              <w:spacing w:line="240" w:lineRule="auto" w:after="0"/>
            </w:pPr>
            <w:r>
              <w:rPr>
                <w:sz w:val="20"/>
                <w:szCs w:val="20"/>
              </w:rPr>
              <w:t xml:space="preserve">Expertise</w:t>
            </w:r>
          </w:p>
        </w:tc>
        <w:tc>
          <w:tcPr>
            <w:tcW w:w="1560" w:type="dxa"/>
          </w:tcPr>
          <w:p>
            <w:pPr>
              <w:spacing w:line="240" w:lineRule="auto" w:after="0"/>
            </w:pPr>
            <w:r>
              <w:rPr>
                <w:sz w:val="20"/>
                <w:szCs w:val="20"/>
              </w:rPr>
              <w:t xml:space="preserve">Democratised knowledge access</w:t>
            </w:r>
          </w:p>
        </w:tc>
        <w:tc>
          <w:tcPr>
            <w:tcW w:w="1560" w:type="dxa"/>
          </w:tcPr>
          <w:p>
            <w:pPr>
              <w:spacing w:line="240" w:lineRule="auto" w:after="0"/>
            </w:pPr>
            <w:r>
              <w:rPr>
                <w:sz w:val="20"/>
                <w:szCs w:val="20"/>
              </w:rPr>
              <w:t xml:space="preserve">Erosion of authority claims</w:t>
            </w:r>
          </w:p>
        </w:tc>
        <w:tc>
          <w:tcPr>
            <w:tcW w:w="1560" w:type="dxa"/>
          </w:tcPr>
          <w:p>
            <w:pPr>
              <w:spacing w:line="240" w:lineRule="auto" w:after="0"/>
            </w:pPr>
            <w:r>
              <w:rPr>
                <w:sz w:val="20"/>
                <w:szCs w:val="20"/>
              </w:rPr>
              <w:t xml:space="preserve">Public engagement; meaning-making role</w:t>
            </w:r>
          </w:p>
        </w:tc>
        <w:tc>
          <w:tcPr>
            <w:tcW w:w="1560" w:type="dxa"/>
          </w:tcPr>
          <w:p>
            <w:pPr>
              <w:spacing w:line="240" w:lineRule="auto" w:after="0"/>
            </w:pPr>
            <w:r>
              <w:rPr>
                <w:sz w:val="20"/>
                <w:szCs w:val="20"/>
              </w:rPr>
              <w:t xml:space="preserve">Communication skills; philosophical depth</w:t>
            </w:r>
          </w:p>
        </w:tc>
        <w:tc>
          <w:tcPr>
            <w:tcW w:w="1560" w:type="dxa"/>
          </w:tcPr>
          <w:p>
            <w:pPr>
              <w:spacing w:line="240" w:lineRule="auto" w:after="0"/>
            </w:pPr>
            <w:r>
              <w:rPr>
                <w:sz w:val="20"/>
                <w:szCs w:val="20"/>
              </w:rPr>
              <w:t xml:space="preserve">Barnett [1]</w:t>
            </w:r>
          </w:p>
        </w:tc>
      </w:tr>
    </w:tbl>
    <w:p/>
    <w:p>
      <w:pPr>
        <w:spacing w:line="480" w:lineRule="auto" w:after="0"/>
      </w:pPr>
    </w:p>
    <w:p>
      <w:pPr>
        <w:spacing w:line="480" w:lineRule="auto" w:before="240" w:after="120"/>
      </w:pPr>
      <w:r>
        <w:rPr>
          <w:b/>
          <w:i/>
          <w:sz w:val="24"/>
          <w:szCs w:val="24"/>
        </w:rPr>
        <w:t xml:space="preserve">Global Citizenship and Social Justice</w:t>
      </w:r>
    </w:p>
    <w:p>
      <w:pPr>
        <w:spacing w:line="480" w:lineRule="auto" w:after="0"/>
      </w:pPr>
    </w:p>
    <w:p>
      <w:pPr>
        <w:spacing w:line="480" w:lineRule="auto" w:after="0"/>
        <w:ind w:firstLine="720"/>
      </w:pPr>
      <w:r>
        <w:rPr>
          <w:sz w:val="24"/>
          <w:szCs w:val="24"/>
        </w:rPr>
        <w:t xml:space="preserve">The role of the academic as a public intellectual has a long and contested history. From the Dreyfus affair to the anti-apartheid movement, academics have periodically claimed a special authority to speak truth to power, grounded in their expertise, independence, and institutional protection. In the contemporary context, this public role is both more urgent and more fraught. Climate change, global pandemics, rising inequality, forced migration, and the resurgence of authoritarianism all demand scholarly engagement beyond the academy. Yet the politicisation of expertise, the crisis of trust in institutions, and the weaponisation of "cancel culture" narratives make public engagement risky and contested.</w:t>
      </w:r>
    </w:p>
    <w:p>
      <w:pPr>
        <w:spacing w:line="480" w:lineRule="auto" w:after="0"/>
      </w:pPr>
    </w:p>
    <w:p>
      <w:pPr>
        <w:spacing w:line="480" w:lineRule="auto" w:after="0"/>
        <w:ind w:firstLine="720"/>
      </w:pPr>
      <w:r>
        <w:rPr>
          <w:sz w:val="24"/>
          <w:szCs w:val="24"/>
        </w:rPr>
        <w:t xml:space="preserve">Academic identity in the twenty-first century must therefore grapple with questions of social responsibility. What obligations does the scholar have to the communities in which they are embedded? How should academic work be accountable to those affected by its consequences? How can academics contribute to social justice without compromising their commitment to evidence, rigour, and intellectual honesty? These are not merely ethical questions but identity questions: they determine what kind of academic one aspires to be and what kind of university one works to create. The professional development responses outlined in Table 4 must therefore be expanded beyond technical AI literacy to encompass the ethical and civic dimensions of the academic vocation.</w:t>
      </w:r>
    </w:p>
    <w:p>
      <w:pPr>
        <w:spacing w:line="480" w:lineRule="auto" w:after="0"/>
      </w:pPr>
    </w:p>
    <w:p>
      <w:pPr>
        <w:spacing w:line="480" w:lineRule="auto" w:after="0"/>
        <w:ind w:firstLine="720"/>
      </w:pPr>
      <w:r>
        <w:rPr>
          <w:sz w:val="24"/>
          <w:szCs w:val="24"/>
        </w:rPr>
        <w:t xml:space="preserve">The concept of "engaged scholarship" offers one framework for integrating social responsibility into academic identity. An expanded definition of scholarship - encompassing discovery, integration, application, and teaching - provides a basis for valuing diverse forms of intellectual contribution and recognising that scholarship is most meaningful when it connects to the needs and aspirations of broader communities. Professional development that supports engaged scholarship must help academics to build partnerships beyond the academy, to communicate their work to non-specialist audiences, and to navigate the political complexities of public engagement.</w:t>
      </w:r>
    </w:p>
    <w:p>
      <w:pPr>
        <w:spacing w:line="480" w:lineRule="auto" w:after="0"/>
      </w:pPr>
    </w:p>
    <w:p>
      <w:pPr>
        <w:spacing w:line="480" w:lineRule="auto" w:before="240" w:after="120"/>
      </w:pPr>
      <w:r>
        <w:rPr>
          <w:b/>
          <w:i/>
          <w:sz w:val="24"/>
          <w:szCs w:val="24"/>
        </w:rPr>
        <w:t xml:space="preserve">Wellbeing and Resistance</w:t>
      </w:r>
    </w:p>
    <w:p>
      <w:pPr>
        <w:spacing w:line="480" w:lineRule="auto" w:after="0"/>
      </w:pPr>
    </w:p>
    <w:p>
      <w:pPr>
        <w:spacing w:line="480" w:lineRule="auto" w:after="0"/>
        <w:ind w:firstLine="720"/>
      </w:pPr>
      <w:r>
        <w:rPr>
          <w:sz w:val="24"/>
          <w:szCs w:val="24"/>
        </w:rPr>
        <w:t xml:space="preserve">The mental health crisis in academia has been extensively documented. Studies consistently report high rates of anxiety, depression, burnout, and work-life conflict among academic staff, with early career researchers and those on precarious contracts particularly affected. The causes are structural: excessive workloads, job insecurity, performance pressure, isolation, and the erosion of boundaries between work and personal life (exacerbated by digital technologies that enable and demand constant availability).</w:t>
      </w:r>
    </w:p>
    <w:p>
      <w:pPr>
        <w:spacing w:line="480" w:lineRule="auto" w:after="0"/>
      </w:pPr>
    </w:p>
    <w:p>
      <w:pPr>
        <w:spacing w:line="480" w:lineRule="auto" w:after="0"/>
        <w:ind w:firstLine="720"/>
      </w:pPr>
      <w:r>
        <w:rPr>
          <w:sz w:val="24"/>
          <w:szCs w:val="24"/>
        </w:rPr>
        <w:t xml:space="preserve">In this context, professional development cannot be conceived solely as an instrument of productivity enhancement. It must also serve as a form of resistance against the burnout culture that pervades contemporary academia. The concept of "slow scholarship" - a deliberate rejection of the acceleration and intensification of academic work in favour of careful, reflective, relational practice - offers an alternative vision of professional development as care. Slow scholarship does not mean disengagement or reduced productivity; rather, it means choosing depth over breadth, quality over quantity, and sustainability over short-term output maximisation.</w:t>
      </w:r>
    </w:p>
    <w:p>
      <w:pPr>
        <w:spacing w:line="480" w:lineRule="auto" w:after="0"/>
      </w:pPr>
    </w:p>
    <w:p>
      <w:pPr>
        <w:spacing w:line="480" w:lineRule="auto" w:after="0"/>
        <w:ind w:firstLine="720"/>
      </w:pPr>
      <w:r>
        <w:rPr>
          <w:sz w:val="24"/>
          <w:szCs w:val="24"/>
        </w:rPr>
        <w:t xml:space="preserve">Building wellbeing into one's professional identity requires both individual strategies (boundary-setting, mindfulness, physical activity, creative outlets) and collective advocacy for structural change (workload caps, secure employment, sabbatical provision, mental health support). Professional development programmes that address wellbeing in isolation from structural conditions risk individualising what is fundamentally a systemic problem. The challenge is to equip academics with personal resilience while simultaneously empowering them to advocate for institutional cultures that do not require heroic individual resilience as the price of participation.</w:t>
      </w:r>
    </w:p>
    <w:p>
      <w:pPr>
        <w:spacing w:line="480" w:lineRule="auto" w:after="0"/>
      </w:pPr>
    </w:p>
    <w:p>
      <w:pPr>
        <w:spacing w:line="480" w:lineRule="auto" w:before="240" w:after="120"/>
      </w:pPr>
      <w:r>
        <w:rPr>
          <w:b/>
          <w:i/>
          <w:sz w:val="24"/>
          <w:szCs w:val="24"/>
        </w:rPr>
        <w:t xml:space="preserve">The New Collegiality</w:t>
      </w:r>
    </w:p>
    <w:p>
      <w:pPr>
        <w:spacing w:line="480" w:lineRule="auto" w:after="0"/>
      </w:pPr>
    </w:p>
    <w:p>
      <w:pPr>
        <w:spacing w:line="480" w:lineRule="auto" w:after="0"/>
        <w:ind w:firstLine="720"/>
      </w:pPr>
      <w:r>
        <w:rPr>
          <w:sz w:val="24"/>
          <w:szCs w:val="24"/>
        </w:rPr>
        <w:t xml:space="preserve">If the fracturing of academic identity described in Section 1 represents the problem, and the strategies outlined in Section 3 represent individual responses, then the reconstruction of academic community represents the collective solution. The future of academic identity lies not in isolated individual adaptation but in the creation of new forms of collegiality appropriate to the networked, globalised, post-digital university.</w:t>
      </w:r>
    </w:p>
    <w:p>
      <w:pPr>
        <w:spacing w:line="480" w:lineRule="auto" w:after="0"/>
      </w:pPr>
    </w:p>
    <w:p>
      <w:pPr>
        <w:spacing w:line="480" w:lineRule="auto" w:after="0"/>
        <w:ind w:firstLine="720"/>
      </w:pPr>
      <w:r>
        <w:rPr>
          <w:sz w:val="24"/>
          <w:szCs w:val="24"/>
        </w:rPr>
        <w:t xml:space="preserve">Traditional collegiality was local, face-to-face, and often exclusive - defined by departmental boundaries, disciplinary norms, and implicit hierarchies of seniority and status. The new collegiality must be more expansive: crossing institutional, disciplinary, and national boundaries; embracing diversity of career stage, employment status, and scholarly perspective; and leveraging digital technologies to create communities that are both virtual and embodied, global and local.</w:t>
      </w:r>
    </w:p>
    <w:p>
      <w:pPr>
        <w:spacing w:line="480" w:lineRule="auto" w:after="0"/>
      </w:pPr>
    </w:p>
    <w:p>
      <w:pPr>
        <w:spacing w:line="480" w:lineRule="auto" w:after="0"/>
        <w:ind w:firstLine="720"/>
      </w:pPr>
      <w:r>
        <w:rPr>
          <w:sz w:val="24"/>
          <w:szCs w:val="24"/>
        </w:rPr>
        <w:t xml:space="preserve">Crucially, the new collegiality must be mutualistic rather than competitive. The dominant culture of academic competition - for jobs, grants, publications, and prestige - has created an environment in which colleagues are simultaneously collaborators and rivals. A mutualistic model reconceives professional development as a shared, co-created resource: writing groups that support each other's productivity; peer observation schemes that enhance teaching practice; reading circles that deepen theoretical understanding; and advocacy networks that campaign for better working conditions. In this model, professional development is not something done to or for individual academics by institutional programmes; it is something that academic communities create together, in the service of shared goals.</w:t>
      </w:r>
    </w:p>
    <w:p>
      <w:pPr>
        <w:spacing w:line="480" w:lineRule="auto" w:after="0"/>
      </w:pPr>
    </w:p>
    <w:p>
      <w:pPr>
        <w:spacing w:line="480" w:lineRule="auto" w:after="0"/>
        <w:ind w:firstLine="720"/>
      </w:pPr>
      <w:r>
        <w:rPr>
          <w:sz w:val="24"/>
          <w:szCs w:val="24"/>
        </w:rPr>
        <w:t xml:space="preserve">The future of academic identity lies not in clinging to the past - the autonomous scholar in the ivory tower - nor in uncritically embracing the present - the entrepreneurial, metrics-driven, perpetually optimising academic. It lies in collective reimagination: the creation of academic cultures in which intellectual freedom, critical inquiry, social responsibility, and mutual care are not competing values but complementary dimensions of a vocation that remains, at its best, one of the most meaningful forms of human work.</w:t>
      </w:r>
    </w:p>
    <w:p>
      <w:pPr>
        <w:spacing w:line="480" w:lineRule="auto" w:after="0"/>
      </w:pPr>
    </w:p>
    <w:p>
      <w:pPr>
        <w:spacing w:line="480" w:lineRule="auto" w:after="0"/>
        <w:ind w:firstLine="720"/>
      </w:pPr>
      <w:r>
        <w:rPr>
          <w:sz w:val="24"/>
          <w:szCs w:val="24"/>
        </w:rPr>
        <w:t xml:space="preserve">This reimagination requires institutional support as well as individual commitment. Universities must create structural conditions that enable rather than hinder collective professional development: protected time for scholarly community-building; recognition and reward for mentoring, service, and collegial activities; investment in professional development programmes that are co-designed with academics rather than imposed upon them; and governance structures that give academics genuine voice in shaping the conditions of their work. Without such institutional commitment, the burden of identity construction falls entirely on individuals, reproducing the very inequalities and exhaustions that collective approaches seek to address. Figure 4 illustrates this post-digital academic ecosystem, showing how the new collegiality functions as a hub connecting diverse elements - from AI literacy and slow scholarship to peer mentoring and advocacy networks - into an integrated, mutualistic system. As Table 3 demonstrates, many of the professional development activities that feed this ecosystem are already embedded in everyday academic practice; what is needed is their conscious integration into a collective framework as envisioned in Figure 4.</w:t>
      </w:r>
    </w:p>
    <w:p>
      <w:pPr>
        <w:spacing w:line="480" w:lineRule="auto" w:after="0"/>
      </w:pPr>
    </w:p>
    <w:p>
      <w:pPr>
        <w:jc w:val="center"/>
        <w:spacing w:before="120" w:after="120"/>
      </w:pPr>
      <w:r>
        <w:drawing>
          <wp:inline xmlns:wp="http://schemas.openxmlformats.org/drawingml/2006/wordprocessingDrawing" distT="0" distB="0" distL="0" distR="0">
            <wp:extent cx="5029200" cy="3352800"/>
            <wp:docPr id="1" name="Figure_4_Academic_Ecosystem.png"/>
            <a:graphic xmlns:a="http://schemas.openxmlformats.org/drawingml/2006/main">
              <a:graphicData uri="http://schemas.openxmlformats.org/drawingml/2006/picture">
                <pic:pic xmlns:pic="http://schemas.openxmlformats.org/drawingml/2006/picture">
                  <pic:nvPicPr>
                    <pic:cNvPr id="0" name="Figure_4_Academic_Ecosystem.png"/>
                    <pic:cNvPicPr/>
                  </pic:nvPicPr>
                  <pic:blipFill>
                    <a:blip xmlns:r="http://schemas.openxmlformats.org/officeDocument/2006/relationships" r:embed="rId104"/>
                    <a:stretch>
                      <a:fillRect/>
                    </a:stretch>
                  </pic:blipFill>
                  <pic:spPr>
                    <a:xfrm>
                      <a:off x="0" y="0"/>
                      <a:ext cx="5029200" cy="3352800"/>
                    </a:xfrm>
                    <a:prstGeom prst="rect">
                      <a:avLst/>
                    </a:prstGeom>
                  </pic:spPr>
                </pic:pic>
              </a:graphicData>
            </a:graphic>
          </wp:inline>
        </w:drawing>
      </w:r>
    </w:p>
    <w:p>
      <w:pPr>
        <w:spacing w:line="480" w:lineRule="auto" w:after="120"/>
        <w:jc w:val="center"/>
      </w:pPr>
      <w:r>
        <w:rPr>
          <w:i/>
          <w:sz w:val="24"/>
          <w:szCs w:val="24"/>
        </w:rPr>
        <w:t xml:space="preserve">Figure 4. The Post-Digital Academic Ecosystem: From Individual Survival to Collective Reimagination. The central node of "New Collegiality" connects eight elements of the future academic environment into a mutualistic network. This model synthesises the identity challenges identified throughout the chapter (see Table 1 and Figure 2) with the development strategies presented in Table 3 and Figure 3. Synthesised from Boyer [85], Mountz et al. [7], and Peseta et al. [8].</w:t>
      </w:r>
    </w:p>
    <w:p>
      <w:pPr>
        <w:spacing w:line="480" w:lineRule="auto" w:after="0"/>
      </w:pPr>
    </w:p>
    <w:p>
      <w:pPr>
        <w:spacing w:line="480" w:lineRule="auto" w:after="0"/>
      </w:pPr>
    </w:p>
    <w:p>
      <w:pPr>
        <w:spacing w:line="480" w:lineRule="auto" w:before="240" w:after="120"/>
      </w:pPr>
      <w:r>
        <w:rPr>
          <w:b/>
          <w:sz w:val="28"/>
          <w:szCs w:val="28"/>
        </w:rPr>
        <w:t xml:space="preserve">Conclusion</w:t>
      </w:r>
    </w:p>
    <w:p>
      <w:pPr>
        <w:spacing w:line="480" w:lineRule="auto" w:after="0"/>
      </w:pPr>
    </w:p>
    <w:p>
      <w:pPr>
        <w:spacing w:line="480" w:lineRule="auto" w:after="0"/>
        <w:ind w:firstLine="720"/>
      </w:pPr>
      <w:r>
        <w:rPr>
          <w:sz w:val="24"/>
          <w:szCs w:val="24"/>
        </w:rPr>
        <w:t xml:space="preserve">This chapter has argued that academic identity and professional development are not separate phenomena but are deeply interwoven: identity shapes the professional development activities that academics choose and value, while professional development activities, in turn, reshape identity over time. In the boundaryless university of the twenty-first century, where traditional sources of identity - the discipline, the institution, the tenure track - are weakened or transformed, academics must become active agents of their own identity construction.</w:t>
      </w:r>
    </w:p>
    <w:p>
      <w:pPr>
        <w:spacing w:line="480" w:lineRule="auto" w:after="0"/>
      </w:pPr>
    </w:p>
    <w:p>
      <w:pPr>
        <w:spacing w:line="480" w:lineRule="auto" w:after="0"/>
        <w:ind w:firstLine="720"/>
      </w:pPr>
      <w:r>
        <w:rPr>
          <w:sz w:val="24"/>
          <w:szCs w:val="24"/>
        </w:rPr>
        <w:t xml:space="preserve">The implications of this argument extend beyond individual academics to institutional leaders, policymakers, and professional development practitioners. If identity and development are constitutive of one another, then professional development programmes cannot be designed in isolation from questions of identity, meaning, and purpose. They must engage with the whole academic person - their values, their vulnerabilities, their aspirations, and their sense of belonging - rather than treating development as a merely technical matter of skill acquisition. Institutions that recognise this will be better positioned to attract, retain, and support the diverse academic workforce that the twenty-first century university requires.</w:t>
      </w:r>
    </w:p>
    <w:p>
      <w:pPr>
        <w:spacing w:line="480" w:lineRule="auto" w:after="0"/>
      </w:pPr>
    </w:p>
    <w:p>
      <w:pPr>
        <w:spacing w:line="480" w:lineRule="auto" w:after="0"/>
        <w:ind w:firstLine="720"/>
      </w:pPr>
      <w:r>
        <w:rPr>
          <w:sz w:val="24"/>
          <w:szCs w:val="24"/>
        </w:rPr>
        <w:t xml:space="preserve">The chapter has traced the fracturing of the traditional academic self under the pressures of unbundling, managerialism, and interdisciplinarity (as mapped in Table 1 and Figure 2), showing how these forces create not a void but a collision of competing identities. It has examined the internal psychological landscape (summarised in Table 2), highlighting the importance of values alignment, self-efficacy, authenticity, and emotional resilience. It has offered practical strategies for adaptive growth - the T-shaped academic (Figure 3), strategic networking, informal learning (Table 3), and output diversification - that treat career development as an intentional, evidence-based practice. And it has looked to the horizon (Table 4 and Figure 4), exploring how AI, social justice imperatives, wellbeing concerns, and new forms of collegiality are reshaping the possibilities for academic identity in the post-digital age.</w:t>
      </w:r>
    </w:p>
    <w:p>
      <w:pPr>
        <w:spacing w:line="480" w:lineRule="auto" w:after="0"/>
      </w:pPr>
    </w:p>
    <w:p>
      <w:pPr>
        <w:spacing w:line="480" w:lineRule="auto" w:after="0"/>
        <w:ind w:firstLine="720"/>
      </w:pPr>
      <w:r>
        <w:rPr>
          <w:sz w:val="24"/>
          <w:szCs w:val="24"/>
        </w:rPr>
        <w:t xml:space="preserve">The final challenge, and the one with which this chapter closes, is the recognition that professional development cannot remain an individual survival strategy. If it is to be transformative rather than merely adaptive, it must become a collective vocation - a shared project of reimagining what it means to be an academic in a world that desperately needs the knowledge, critical thinking, and ethical commitment that the academy, at its best, provides. The boundaryless university is not merely a threat to academic identity; it is an invitation to reinvent it. The question is not whether academic identity will change - it already has - but whether academics will be passive recipients of that change or active architects of a future that honours both their intellectual traditions and their social responsibilities.</w:t>
      </w:r>
    </w:p>
    <w:p>
      <w:pPr>
        <w:spacing w:line="480" w:lineRule="auto" w:after="0"/>
      </w:pPr>
    </w:p>
    <w:p>
      <w:pPr>
        <w:spacing w:line="480" w:lineRule="auto" w:after="0"/>
      </w:pPr>
    </w:p>
    <w:p>
      <w:pPr>
        <w:spacing w:line="480" w:lineRule="auto" w:before="240" w:after="120"/>
      </w:pPr>
      <w:r>
        <w:rPr>
          <w:b/>
          <w:sz w:val="28"/>
          <w:szCs w:val="28"/>
        </w:rPr>
        <w:t xml:space="preserve">References</w:t>
      </w:r>
    </w:p>
    <w:p>
      <w:pPr>
        <w:spacing w:line="480" w:lineRule="auto" w:after="0"/>
      </w:pPr>
    </w:p>
    <w:p>
      <w:pPr>
        <w:spacing w:line="480" w:lineRule="auto" w:after="0"/>
        <w:ind w:firstLine="720"/>
      </w:pPr>
      <w:r>
        <w:rPr>
          <w:sz w:val="24"/>
          <w:szCs w:val="24"/>
        </w:rPr>
        <w:t xml:space="preserve">[1] Barnett, R. (2000). Realizing the University in an Age of Supercomplexity. Open University Press.</w:t>
      </w:r>
    </w:p>
    <w:p>
      <w:pPr>
        <w:spacing w:line="480" w:lineRule="auto" w:after="0"/>
      </w:pPr>
    </w:p>
    <w:p>
      <w:pPr>
        <w:spacing w:line="480" w:lineRule="auto" w:after="0"/>
        <w:ind w:firstLine="720"/>
      </w:pPr>
      <w:r>
        <w:rPr>
          <w:sz w:val="24"/>
          <w:szCs w:val="24"/>
        </w:rPr>
        <w:t xml:space="preserve">[2] Marginson, S. (2016). The worldwide trend to high participation higher education: Dynamics of social stratification in inclusive systems. Higher Education, 72(4), 413-434.</w:t>
      </w:r>
    </w:p>
    <w:p>
      <w:pPr>
        <w:spacing w:line="480" w:lineRule="auto" w:after="0"/>
      </w:pPr>
    </w:p>
    <w:p>
      <w:pPr>
        <w:spacing w:line="480" w:lineRule="auto" w:after="0"/>
        <w:ind w:firstLine="720"/>
      </w:pPr>
      <w:r>
        <w:rPr>
          <w:sz w:val="24"/>
          <w:szCs w:val="24"/>
        </w:rPr>
        <w:t xml:space="preserve">[3] Arthur, M. B., &amp; Rousseau, D. M. (1996). The Boundaryless Career: A New Employment Principle for a New Organizational Era. Oxford University Press.</w:t>
      </w:r>
    </w:p>
    <w:p>
      <w:pPr>
        <w:spacing w:line="480" w:lineRule="auto" w:after="0"/>
      </w:pPr>
    </w:p>
    <w:p>
      <w:pPr>
        <w:spacing w:line="480" w:lineRule="auto" w:after="0"/>
        <w:ind w:firstLine="720"/>
      </w:pPr>
      <w:r>
        <w:rPr>
          <w:sz w:val="24"/>
          <w:szCs w:val="24"/>
        </w:rPr>
        <w:t xml:space="preserve">[4] Henkel, M. (2000). Academic Identities and Policy Change in Higher Education. Jessica Kingsley Publishers.</w:t>
      </w:r>
    </w:p>
    <w:p>
      <w:pPr>
        <w:spacing w:line="480" w:lineRule="auto" w:after="0"/>
      </w:pPr>
    </w:p>
    <w:p>
      <w:pPr>
        <w:spacing w:line="480" w:lineRule="auto" w:after="0"/>
        <w:ind w:firstLine="720"/>
      </w:pPr>
      <w:r>
        <w:rPr>
          <w:sz w:val="24"/>
          <w:szCs w:val="24"/>
        </w:rPr>
        <w:t xml:space="preserve">[5] Clegg, S. (2008). Academic identities under threat? British Educational Research Journal, 34(3), 329-345.</w:t>
      </w:r>
    </w:p>
    <w:p>
      <w:pPr>
        <w:spacing w:line="480" w:lineRule="auto" w:after="0"/>
      </w:pPr>
    </w:p>
    <w:p>
      <w:pPr>
        <w:spacing w:line="480" w:lineRule="auto" w:after="0"/>
        <w:ind w:firstLine="720"/>
      </w:pPr>
      <w:r>
        <w:rPr>
          <w:sz w:val="24"/>
          <w:szCs w:val="24"/>
        </w:rPr>
        <w:t xml:space="preserve">[6] Macfarlane, B. (2011). The morphing of academic practice: Unbundling and the rise of the para-academic. Higher Education Quarterly, 65(1), 59-73.</w:t>
      </w:r>
    </w:p>
    <w:p>
      <w:pPr>
        <w:spacing w:line="480" w:lineRule="auto" w:after="0"/>
      </w:pPr>
    </w:p>
    <w:p>
      <w:pPr>
        <w:spacing w:line="480" w:lineRule="auto" w:after="0"/>
        <w:ind w:firstLine="720"/>
      </w:pPr>
      <w:r>
        <w:rPr>
          <w:sz w:val="24"/>
          <w:szCs w:val="24"/>
        </w:rPr>
        <w:t xml:space="preserve">[7] Kinman, G., &amp; Wray, S. (2013). Higher Stress: A Survey of Stress and Well-Being among Staff in Higher Education. University and College Union.</w:t>
      </w:r>
    </w:p>
    <w:p>
      <w:pPr>
        <w:spacing w:line="480" w:lineRule="auto" w:after="0"/>
      </w:pPr>
    </w:p>
    <w:p>
      <w:pPr>
        <w:spacing w:line="480" w:lineRule="auto" w:after="0"/>
        <w:ind w:firstLine="720"/>
      </w:pPr>
      <w:r>
        <w:rPr>
          <w:sz w:val="24"/>
          <w:szCs w:val="24"/>
        </w:rPr>
        <w:t xml:space="preserve">[8] Peseta, T., Barrie, S., &amp; McLean, J. (2022). Academic Development in a Changing Higher Education Landscape. Springer.</w:t>
      </w:r>
    </w:p>
    <w:p>
      <w:pPr>
        <w:spacing w:line="480" w:lineRule="auto" w:after="0"/>
      </w:pPr>
    </w:p>
    <w:p>
      <w:pPr>
        <w:spacing w:line="480" w:lineRule="auto" w:after="0"/>
        <w:ind w:firstLine="720"/>
      </w:pPr>
      <w:r>
        <w:rPr>
          <w:sz w:val="24"/>
          <w:szCs w:val="24"/>
        </w:rPr>
        <w:t xml:space="preserve">[9] Dwivedi, Y. K., Kshetri, N., Hughes, L., et al. (2023). Opinion paper: "So what if ChatGPT wrote it?" Multidisciplinary perspectives on opportunities, challenges and implications of generative conversational AI for research, practice and policy. International Journal of Information Management, 71, 102642.</w:t>
      </w:r>
    </w:p>
    <w:p>
      <w:pPr>
        <w:spacing w:line="480" w:lineRule="auto" w:after="0"/>
      </w:pPr>
    </w:p>
    <w:p>
      <w:pPr>
        <w:spacing w:line="480" w:lineRule="auto" w:after="0"/>
        <w:ind w:firstLine="720"/>
      </w:pPr>
      <w:r>
        <w:rPr>
          <w:sz w:val="24"/>
          <w:szCs w:val="24"/>
        </w:rPr>
        <w:t xml:space="preserve">[10] Fanghanel, J. (2012). Being an Academic. Routledge.</w:t>
      </w:r>
    </w:p>
    <w:p>
      <w:pPr>
        <w:spacing w:line="480" w:lineRule="auto" w:after="0"/>
      </w:pPr>
    </w:p>
    <w:p>
      <w:pPr>
        <w:spacing w:line="480" w:lineRule="auto" w:after="0"/>
        <w:ind w:firstLine="720"/>
      </w:pPr>
      <w:r>
        <w:rPr>
          <w:sz w:val="24"/>
          <w:szCs w:val="24"/>
        </w:rPr>
        <w:t xml:space="preserve">[11] Billot, J. (2010). The imagined and the real: Identifying the tensions for academic identity. Higher Education Research and Development, 29(6), 709-721.</w:t>
      </w:r>
    </w:p>
    <w:p>
      <w:pPr>
        <w:spacing w:line="480" w:lineRule="auto" w:after="0"/>
      </w:pPr>
    </w:p>
    <w:p>
      <w:pPr>
        <w:spacing w:line="480" w:lineRule="auto" w:after="0"/>
        <w:ind w:firstLine="720"/>
      </w:pPr>
      <w:r>
        <w:rPr>
          <w:sz w:val="24"/>
          <w:szCs w:val="24"/>
        </w:rPr>
        <w:t xml:space="preserve">[12] Trede, F., Macklin, R., &amp; Bridges, D. (2012). Professional identity development: A review of the higher education literature. Studies in Higher Education, 37(3), 365-384.</w:t>
      </w:r>
    </w:p>
    <w:p>
      <w:pPr>
        <w:spacing w:line="480" w:lineRule="auto" w:after="0"/>
      </w:pPr>
    </w:p>
    <w:p>
      <w:pPr>
        <w:spacing w:line="480" w:lineRule="auto" w:after="0"/>
        <w:ind w:firstLine="720"/>
      </w:pPr>
      <w:r>
        <w:rPr>
          <w:sz w:val="24"/>
          <w:szCs w:val="24"/>
        </w:rPr>
        <w:t xml:space="preserve">[13] Nixon, J. (2008). Towards the Virtuous University: The Moral Bases of Academic Practice. Routledge.</w:t>
      </w:r>
    </w:p>
    <w:p>
      <w:pPr>
        <w:spacing w:line="480" w:lineRule="auto" w:after="0"/>
      </w:pPr>
    </w:p>
    <w:p>
      <w:pPr>
        <w:spacing w:line="480" w:lineRule="auto" w:after="0"/>
        <w:ind w:firstLine="720"/>
      </w:pPr>
      <w:r>
        <w:rPr>
          <w:sz w:val="24"/>
          <w:szCs w:val="24"/>
        </w:rPr>
        <w:t xml:space="preserve">[14] Ruegg, W. (Ed.). (1992). A History of the University in Europe: Volume 1, Universities in the Middle Ages. Cambridge University Press.</w:t>
      </w:r>
    </w:p>
    <w:p>
      <w:pPr>
        <w:spacing w:line="480" w:lineRule="auto" w:after="0"/>
      </w:pPr>
    </w:p>
    <w:p>
      <w:pPr>
        <w:spacing w:line="480" w:lineRule="auto" w:after="0"/>
        <w:ind w:firstLine="720"/>
      </w:pPr>
      <w:r>
        <w:rPr>
          <w:sz w:val="24"/>
          <w:szCs w:val="24"/>
        </w:rPr>
        <w:t xml:space="preserve">[15] Cobban, A. B. (1999). English University Life in the Middle Ages. UCL Press.</w:t>
      </w:r>
    </w:p>
    <w:p>
      <w:pPr>
        <w:spacing w:line="480" w:lineRule="auto" w:after="0"/>
      </w:pPr>
    </w:p>
    <w:p>
      <w:pPr>
        <w:spacing w:line="480" w:lineRule="auto" w:after="0"/>
      </w:pPr>
    </w:p>
    <w:p>
      <w:pPr>
        <w:spacing w:line="480" w:lineRule="auto" w:after="0"/>
        <w:ind w:firstLine="720"/>
      </w:pPr>
      <w:r>
        <w:rPr>
          <w:sz w:val="24"/>
          <w:szCs w:val="24"/>
        </w:rPr>
        <w:t xml:space="preserve">[16] Clark, W. (2006). Academic Charisma and the Origins of the Research University. University of Chicago Press.</w:t>
      </w:r>
    </w:p>
    <w:p>
      <w:pPr>
        <w:spacing w:line="480" w:lineRule="auto" w:after="0"/>
      </w:pPr>
    </w:p>
    <w:p>
      <w:pPr>
        <w:spacing w:line="480" w:lineRule="auto" w:after="0"/>
        <w:ind w:firstLine="720"/>
      </w:pPr>
      <w:r>
        <w:rPr>
          <w:sz w:val="24"/>
          <w:szCs w:val="24"/>
        </w:rPr>
        <w:t xml:space="preserve">[17] Altbach, P. G. (2001). Academic freedom: International realities and challenges. Higher Education, 41(1-2), 205-219.</w:t>
      </w:r>
    </w:p>
    <w:p>
      <w:pPr>
        <w:spacing w:line="480" w:lineRule="auto" w:after="0"/>
      </w:pPr>
    </w:p>
    <w:p>
      <w:pPr>
        <w:spacing w:line="480" w:lineRule="auto" w:after="0"/>
        <w:ind w:firstLine="720"/>
      </w:pPr>
      <w:r>
        <w:rPr>
          <w:sz w:val="24"/>
          <w:szCs w:val="24"/>
        </w:rPr>
        <w:t xml:space="preserve">[18] Trow, M. (1973). Problems in the Transition from Elite to Mass Higher Education. Carnegie Commission on Higher Education.</w:t>
      </w:r>
    </w:p>
    <w:p>
      <w:pPr>
        <w:spacing w:line="480" w:lineRule="auto" w:after="0"/>
      </w:pPr>
    </w:p>
    <w:p>
      <w:pPr>
        <w:spacing w:line="480" w:lineRule="auto" w:after="0"/>
        <w:ind w:firstLine="720"/>
      </w:pPr>
      <w:r>
        <w:rPr>
          <w:sz w:val="24"/>
          <w:szCs w:val="24"/>
        </w:rPr>
        <w:t xml:space="preserve">[19] Scott, P. (1995). The Meanings of Mass Higher Education. Open University Press.</w:t>
      </w:r>
    </w:p>
    <w:p>
      <w:pPr>
        <w:spacing w:line="480" w:lineRule="auto" w:after="0"/>
      </w:pPr>
    </w:p>
    <w:p>
      <w:pPr>
        <w:spacing w:line="480" w:lineRule="auto" w:after="0"/>
        <w:ind w:firstLine="720"/>
      </w:pPr>
      <w:r>
        <w:rPr>
          <w:sz w:val="24"/>
          <w:szCs w:val="24"/>
        </w:rPr>
        <w:t xml:space="preserve">[20] Deem, R., Hillyard, S., &amp; Reed, M. (2007). Knowledge, Higher Education, and the New Managerialism: The Changing Management of UK Universities. Oxford University Press.</w:t>
      </w:r>
    </w:p>
    <w:p>
      <w:pPr>
        <w:spacing w:line="480" w:lineRule="auto" w:after="0"/>
      </w:pPr>
    </w:p>
    <w:p>
      <w:pPr>
        <w:spacing w:line="480" w:lineRule="auto" w:after="0"/>
        <w:ind w:firstLine="720"/>
      </w:pPr>
      <w:r>
        <w:rPr>
          <w:sz w:val="24"/>
          <w:szCs w:val="24"/>
        </w:rPr>
        <w:t xml:space="preserve">[21] Collini, S. (2012). What Are Universities For? Penguin Books.</w:t>
      </w:r>
    </w:p>
    <w:p>
      <w:pPr>
        <w:spacing w:line="480" w:lineRule="auto" w:after="0"/>
      </w:pPr>
    </w:p>
    <w:p>
      <w:pPr>
        <w:spacing w:line="480" w:lineRule="auto" w:after="0"/>
        <w:ind w:firstLine="720"/>
      </w:pPr>
      <w:r>
        <w:rPr>
          <w:sz w:val="24"/>
          <w:szCs w:val="24"/>
        </w:rPr>
        <w:t xml:space="preserve">[22] Barnett, R. (2011). Being a University. Routledge.</w:t>
      </w:r>
    </w:p>
    <w:p>
      <w:pPr>
        <w:spacing w:line="480" w:lineRule="auto" w:after="0"/>
      </w:pPr>
    </w:p>
    <w:p>
      <w:pPr>
        <w:spacing w:line="480" w:lineRule="auto" w:after="0"/>
        <w:ind w:firstLine="720"/>
      </w:pPr>
      <w:r>
        <w:rPr>
          <w:sz w:val="24"/>
          <w:szCs w:val="24"/>
        </w:rPr>
        <w:t xml:space="preserve">[23] Teichler, U. (2017). Internationalisation trends in higher education and the changing role of international student mobility. Journal of International Mobility, 5(1), 177-216.</w:t>
      </w:r>
    </w:p>
    <w:p>
      <w:pPr>
        <w:spacing w:line="480" w:lineRule="auto" w:after="0"/>
      </w:pPr>
    </w:p>
    <w:p>
      <w:pPr>
        <w:spacing w:line="480" w:lineRule="auto" w:after="0"/>
        <w:ind w:firstLine="720"/>
      </w:pPr>
      <w:r>
        <w:rPr>
          <w:sz w:val="24"/>
          <w:szCs w:val="24"/>
        </w:rPr>
        <w:t xml:space="preserve">[24] Macfarlane, B. (2011). The morphing of academic practice: Unbundling and the rise of the para-academic. Higher Education Quarterly, 65(1), 59-73.</w:t>
      </w:r>
    </w:p>
    <w:p>
      <w:pPr>
        <w:spacing w:line="480" w:lineRule="auto" w:after="0"/>
      </w:pPr>
    </w:p>
    <w:p>
      <w:pPr>
        <w:spacing w:line="480" w:lineRule="auto" w:after="0"/>
        <w:ind w:firstLine="720"/>
      </w:pPr>
      <w:r>
        <w:rPr>
          <w:sz w:val="24"/>
          <w:szCs w:val="24"/>
        </w:rPr>
        <w:t xml:space="preserve">[25] Kezar, A., &amp; Maxey, D. (2013). The changing academic workforce. Trusteeship, 21(3), 15-21.</w:t>
      </w:r>
    </w:p>
    <w:p>
      <w:pPr>
        <w:spacing w:line="480" w:lineRule="auto" w:after="0"/>
      </w:pPr>
    </w:p>
    <w:p>
      <w:pPr>
        <w:spacing w:line="480" w:lineRule="auto" w:after="0"/>
        <w:ind w:firstLine="720"/>
      </w:pPr>
      <w:r>
        <w:rPr>
          <w:sz w:val="24"/>
          <w:szCs w:val="24"/>
        </w:rPr>
        <w:t xml:space="preserve">[26] Kimber, M. (2003). The tenured "core" and the tenuous "periphery": The casualisation of academic work in Australian universities. Journal of Higher Education Policy and Management, 25(1), 41-50.</w:t>
      </w:r>
    </w:p>
    <w:p>
      <w:pPr>
        <w:spacing w:line="480" w:lineRule="auto" w:after="0"/>
      </w:pPr>
    </w:p>
    <w:p>
      <w:pPr>
        <w:spacing w:line="480" w:lineRule="auto" w:after="0"/>
        <w:ind w:firstLine="720"/>
      </w:pPr>
      <w:r>
        <w:rPr>
          <w:sz w:val="24"/>
          <w:szCs w:val="24"/>
        </w:rPr>
        <w:t xml:space="preserve">[27] Christensen, C. M., &amp; Eyring, H. J. (2011). The Innovative University: Changing the DNA of Higher Education from the Inside Out. Jossey-Bass.</w:t>
      </w:r>
    </w:p>
    <w:p>
      <w:pPr>
        <w:spacing w:line="480" w:lineRule="auto" w:after="0"/>
      </w:pPr>
    </w:p>
    <w:p>
      <w:pPr>
        <w:spacing w:line="480" w:lineRule="auto" w:after="0"/>
        <w:ind w:firstLine="720"/>
      </w:pPr>
      <w:r>
        <w:rPr>
          <w:sz w:val="24"/>
          <w:szCs w:val="24"/>
        </w:rPr>
        <w:t xml:space="preserve">[28] Selwyn, N. (2014). Digital Technology and the Contemporary University: Degrees of Digitization. Routledge.</w:t>
      </w:r>
    </w:p>
    <w:p>
      <w:pPr>
        <w:spacing w:line="480" w:lineRule="auto" w:after="0"/>
      </w:pPr>
    </w:p>
    <w:p>
      <w:pPr>
        <w:spacing w:line="480" w:lineRule="auto" w:after="0"/>
        <w:ind w:firstLine="720"/>
      </w:pPr>
      <w:r>
        <w:rPr>
          <w:sz w:val="24"/>
          <w:szCs w:val="24"/>
        </w:rPr>
        <w:t xml:space="preserve">[29] Ginsberg, B. (2011). The Fall of the Faculty: The Rise of the All-Administrative University and Why It Matters. Oxford University Press.</w:t>
      </w:r>
    </w:p>
    <w:p>
      <w:pPr>
        <w:spacing w:line="480" w:lineRule="auto" w:after="0"/>
      </w:pPr>
    </w:p>
    <w:p>
      <w:pPr>
        <w:spacing w:line="480" w:lineRule="auto" w:after="0"/>
        <w:ind w:firstLine="720"/>
      </w:pPr>
      <w:r>
        <w:rPr>
          <w:sz w:val="24"/>
          <w:szCs w:val="24"/>
        </w:rPr>
        <w:t xml:space="preserve">[30] Whitchurch, C. (2013). Reconstructing Identities in Higher Education: The Rise of Third Space Professionals. Routledge.</w:t>
      </w:r>
    </w:p>
    <w:p>
      <w:pPr>
        <w:spacing w:line="480" w:lineRule="auto" w:after="0"/>
      </w:pPr>
    </w:p>
    <w:p>
      <w:pPr>
        <w:spacing w:line="480" w:lineRule="auto" w:after="0"/>
        <w:ind w:firstLine="720"/>
      </w:pPr>
      <w:r>
        <w:rPr>
          <w:sz w:val="24"/>
          <w:szCs w:val="24"/>
        </w:rPr>
        <w:t xml:space="preserve">[31] Deem, R., &amp; Brehony, K. J. (2005). Management as ideology: The case of "new managerialism" in higher education. Oxford Review of Education, 31(2), 217-235.</w:t>
      </w:r>
    </w:p>
    <w:p>
      <w:pPr>
        <w:spacing w:line="480" w:lineRule="auto" w:after="0"/>
      </w:pPr>
    </w:p>
    <w:p>
      <w:pPr>
        <w:spacing w:line="480" w:lineRule="auto" w:after="0"/>
        <w:ind w:firstLine="720"/>
      </w:pPr>
      <w:r>
        <w:rPr>
          <w:sz w:val="24"/>
          <w:szCs w:val="24"/>
        </w:rPr>
        <w:t xml:space="preserve">[32] Burrows, R. (2012). Living with the h-index? Metric assemblages in the contemporary academy. The Sociological Review, 60(2), 355-372.</w:t>
      </w:r>
    </w:p>
    <w:p>
      <w:pPr>
        <w:spacing w:line="480" w:lineRule="auto" w:after="0"/>
      </w:pPr>
    </w:p>
    <w:p>
      <w:pPr>
        <w:spacing w:line="480" w:lineRule="auto" w:after="0"/>
        <w:ind w:firstLine="720"/>
      </w:pPr>
      <w:r>
        <w:rPr>
          <w:sz w:val="24"/>
          <w:szCs w:val="24"/>
        </w:rPr>
        <w:t xml:space="preserve">[33] Espeland, W. N., &amp; Sauder, M. (2016). Engines of Anxiety: Academic Rankings, Reputation, and Accountability. Russell Sage Foundation.</w:t>
      </w:r>
    </w:p>
    <w:p>
      <w:pPr>
        <w:spacing w:line="480" w:lineRule="auto" w:after="0"/>
      </w:pPr>
    </w:p>
    <w:p>
      <w:pPr>
        <w:spacing w:line="480" w:lineRule="auto" w:after="0"/>
        <w:ind w:firstLine="720"/>
      </w:pPr>
      <w:r>
        <w:rPr>
          <w:sz w:val="24"/>
          <w:szCs w:val="24"/>
        </w:rPr>
        <w:t xml:space="preserve">[34] Muller, J. Z. (2018). The Tyranny of Metrics. Princeton University Press.</w:t>
      </w:r>
    </w:p>
    <w:p>
      <w:pPr>
        <w:spacing w:line="480" w:lineRule="auto" w:after="0"/>
      </w:pPr>
    </w:p>
    <w:p>
      <w:pPr>
        <w:spacing w:line="480" w:lineRule="auto" w:after="0"/>
        <w:ind w:firstLine="720"/>
      </w:pPr>
      <w:r>
        <w:rPr>
          <w:sz w:val="24"/>
          <w:szCs w:val="24"/>
        </w:rPr>
        <w:t xml:space="preserve">[35] Shore, C., &amp; Wright, S. (2015). Governing by numbers: Audit culture, rankings and the new world order. Social Anthropology, 23(1), 22-28.</w:t>
      </w:r>
    </w:p>
    <w:p>
      <w:pPr>
        <w:spacing w:line="480" w:lineRule="auto" w:after="0"/>
      </w:pPr>
    </w:p>
    <w:p>
      <w:pPr>
        <w:spacing w:line="480" w:lineRule="auto" w:after="0"/>
      </w:pPr>
    </w:p>
    <w:p>
      <w:pPr>
        <w:spacing w:line="480" w:lineRule="auto" w:after="0"/>
        <w:ind w:firstLine="720"/>
      </w:pPr>
      <w:r>
        <w:rPr>
          <w:sz w:val="24"/>
          <w:szCs w:val="24"/>
        </w:rPr>
        <w:t xml:space="preserve">[36] Coates, H., &amp; Goedegebuure, L. (2012). Recasting the academic workforce: Why the attractiveness of the academic profession needs to be increased and eight possible strategies for how to go about this from an Australian perspective. Higher Education, 64(6), 875-889.</w:t>
      </w:r>
    </w:p>
    <w:p>
      <w:pPr>
        <w:spacing w:line="480" w:lineRule="auto" w:after="0"/>
      </w:pPr>
    </w:p>
    <w:p>
      <w:pPr>
        <w:spacing w:line="480" w:lineRule="auto" w:after="0"/>
        <w:ind w:firstLine="720"/>
      </w:pPr>
      <w:r>
        <w:rPr>
          <w:sz w:val="24"/>
          <w:szCs w:val="24"/>
        </w:rPr>
        <w:t xml:space="preserve">[37] Ball, S. J. (2003). The teacher's soul and the terrors of performativity. Journal of Education Policy, 18(2), 215-228.</w:t>
      </w:r>
    </w:p>
    <w:p>
      <w:pPr>
        <w:spacing w:line="480" w:lineRule="auto" w:after="0"/>
      </w:pPr>
    </w:p>
    <w:p>
      <w:pPr>
        <w:spacing w:line="480" w:lineRule="auto" w:after="0"/>
        <w:ind w:firstLine="720"/>
      </w:pPr>
      <w:r>
        <w:rPr>
          <w:sz w:val="24"/>
          <w:szCs w:val="24"/>
        </w:rPr>
        <w:t xml:space="preserve">[38] Davies, B., &amp; Bansel, P. (2007). Neoliberalism and education. International Journal of Qualitative Studies in Education, 20(3), 247-259.</w:t>
      </w:r>
    </w:p>
    <w:p>
      <w:pPr>
        <w:spacing w:line="480" w:lineRule="auto" w:after="0"/>
      </w:pPr>
    </w:p>
    <w:p>
      <w:pPr>
        <w:spacing w:line="480" w:lineRule="auto" w:after="0"/>
        <w:ind w:firstLine="720"/>
      </w:pPr>
      <w:r>
        <w:rPr>
          <w:sz w:val="24"/>
          <w:szCs w:val="24"/>
        </w:rPr>
        <w:t xml:space="preserve">[39] Becher, T., &amp; Trowler, P. R. (2001). Academic Tribes and Territories: Intellectual Enquiry and the Culture of Disciplines (2nd ed.). Open University Press.</w:t>
      </w:r>
    </w:p>
    <w:p>
      <w:pPr>
        <w:spacing w:line="480" w:lineRule="auto" w:after="0"/>
      </w:pPr>
    </w:p>
    <w:p>
      <w:pPr>
        <w:spacing w:line="480" w:lineRule="auto" w:after="0"/>
        <w:ind w:firstLine="720"/>
      </w:pPr>
      <w:r>
        <w:rPr>
          <w:sz w:val="24"/>
          <w:szCs w:val="24"/>
        </w:rPr>
        <w:t xml:space="preserve">[40] Tight, M. (2015). Theory application in higher education research: The case of communities of practice. European Journal of Higher Education, 5(2), 111-126.</w:t>
      </w:r>
    </w:p>
    <w:p>
      <w:pPr>
        <w:spacing w:line="480" w:lineRule="auto" w:after="0"/>
      </w:pPr>
    </w:p>
    <w:p>
      <w:pPr>
        <w:spacing w:line="480" w:lineRule="auto" w:after="0"/>
        <w:ind w:firstLine="720"/>
      </w:pPr>
      <w:r>
        <w:rPr>
          <w:sz w:val="24"/>
          <w:szCs w:val="24"/>
        </w:rPr>
        <w:t xml:space="preserve">[41] Repko, A. F., &amp; Szostak, R. (2020). Interdisciplinary Research: Process and Theory (4th ed.). Sage Publications.</w:t>
      </w:r>
    </w:p>
    <w:p>
      <w:pPr>
        <w:spacing w:line="480" w:lineRule="auto" w:after="0"/>
      </w:pPr>
    </w:p>
    <w:p>
      <w:pPr>
        <w:spacing w:line="480" w:lineRule="auto" w:after="0"/>
        <w:ind w:firstLine="720"/>
      </w:pPr>
      <w:r>
        <w:rPr>
          <w:sz w:val="24"/>
          <w:szCs w:val="24"/>
        </w:rPr>
        <w:t xml:space="preserve">[42] Lyall, C., Bruce, A., Tait, J., &amp; Meagher, L. (2011). Interdisciplinary Research Journeys: Practical Strategies for Capturing Creativity. Bloomsbury Academic.</w:t>
      </w:r>
    </w:p>
    <w:p>
      <w:pPr>
        <w:spacing w:line="480" w:lineRule="auto" w:after="0"/>
      </w:pPr>
    </w:p>
    <w:p>
      <w:pPr>
        <w:spacing w:line="480" w:lineRule="auto" w:after="0"/>
        <w:ind w:firstLine="720"/>
      </w:pPr>
      <w:r>
        <w:rPr>
          <w:sz w:val="24"/>
          <w:szCs w:val="24"/>
        </w:rPr>
        <w:t xml:space="preserve">[43] Brew, A. (2006). Research and Teaching: Beyond the Divide. Palgrave Macmillan.</w:t>
      </w:r>
    </w:p>
    <w:p>
      <w:pPr>
        <w:spacing w:line="480" w:lineRule="auto" w:after="0"/>
      </w:pPr>
    </w:p>
    <w:p>
      <w:pPr>
        <w:spacing w:line="480" w:lineRule="auto" w:after="0"/>
        <w:ind w:firstLine="720"/>
      </w:pPr>
      <w:r>
        <w:rPr>
          <w:sz w:val="24"/>
          <w:szCs w:val="24"/>
        </w:rPr>
        <w:t xml:space="preserve">[44] Taylor, P. (2008). Being an academic today. In R. Bentley, A. Habib, &amp; F. Morrow (Eds.), Academic Freedom, Institutional Autonomy and the Corporatised University (pp. 27-39). Council on Higher Education, South Africa.</w:t>
      </w:r>
    </w:p>
    <w:p>
      <w:pPr>
        <w:spacing w:line="480" w:lineRule="auto" w:after="0"/>
      </w:pPr>
    </w:p>
    <w:p>
      <w:pPr>
        <w:spacing w:line="480" w:lineRule="auto" w:after="0"/>
        <w:ind w:firstLine="720"/>
      </w:pPr>
      <w:r>
        <w:rPr>
          <w:sz w:val="24"/>
          <w:szCs w:val="24"/>
        </w:rPr>
        <w:t xml:space="preserve">[45] Archer, L. (2008). Younger academics' constructions of "authenticity", "success" and professional identity. Studies in Higher Education, 33(4), 385-403.</w:t>
      </w:r>
    </w:p>
    <w:p>
      <w:pPr>
        <w:spacing w:line="480" w:lineRule="auto" w:after="0"/>
      </w:pPr>
    </w:p>
    <w:p>
      <w:pPr>
        <w:spacing w:line="480" w:lineRule="auto" w:after="0"/>
        <w:ind w:firstLine="720"/>
      </w:pPr>
      <w:r>
        <w:rPr>
          <w:sz w:val="24"/>
          <w:szCs w:val="24"/>
        </w:rPr>
        <w:t xml:space="preserve">[46] Ylijoki, O.-H., &amp; Ursin, J. (2013). The construction of academic identity in the changes of Finnish higher education. Studies in Higher Education, 38(8), 1135-1149.</w:t>
      </w:r>
    </w:p>
    <w:p>
      <w:pPr>
        <w:spacing w:line="480" w:lineRule="auto" w:after="0"/>
      </w:pPr>
    </w:p>
    <w:p>
      <w:pPr>
        <w:spacing w:line="480" w:lineRule="auto" w:after="0"/>
        <w:ind w:firstLine="720"/>
      </w:pPr>
      <w:r>
        <w:rPr>
          <w:sz w:val="24"/>
          <w:szCs w:val="24"/>
        </w:rPr>
        <w:t xml:space="preserve">[47] Ryan, R. M., &amp; Deci, E. L. (2000). Self-determination theory and the facilitation of intrinsic motivation, social development, and well-being. American Psychologist, 55(1), 68-78.</w:t>
      </w:r>
    </w:p>
    <w:p>
      <w:pPr>
        <w:spacing w:line="480" w:lineRule="auto" w:after="0"/>
      </w:pPr>
    </w:p>
    <w:p>
      <w:pPr>
        <w:spacing w:line="480" w:lineRule="auto" w:after="0"/>
        <w:ind w:firstLine="720"/>
      </w:pPr>
      <w:r>
        <w:rPr>
          <w:sz w:val="24"/>
          <w:szCs w:val="24"/>
        </w:rPr>
        <w:t xml:space="preserve">[48] Watermeyer, R. (2019). Competitive Accountability in Academic Life: The Struggle for Social Impact and Public Engagement in Higher Education. Edward Elgar Publishing.</w:t>
      </w:r>
    </w:p>
    <w:p>
      <w:pPr>
        <w:spacing w:line="480" w:lineRule="auto" w:after="0"/>
      </w:pPr>
    </w:p>
    <w:p>
      <w:pPr>
        <w:spacing w:line="480" w:lineRule="auto" w:after="0"/>
        <w:ind w:firstLine="720"/>
      </w:pPr>
      <w:r>
        <w:rPr>
          <w:sz w:val="24"/>
          <w:szCs w:val="24"/>
        </w:rPr>
        <w:t xml:space="preserve">[49] Stern, N. (2016). Building on Success and Learning from Experience: An Independent Review of the Research Excellence Framework. Department for Business, Energy and Industrial Strategy.</w:t>
      </w:r>
    </w:p>
    <w:p>
      <w:pPr>
        <w:spacing w:line="480" w:lineRule="auto" w:after="0"/>
      </w:pPr>
    </w:p>
    <w:p>
      <w:pPr>
        <w:spacing w:line="480" w:lineRule="auto" w:after="0"/>
        <w:ind w:firstLine="720"/>
      </w:pPr>
      <w:r>
        <w:rPr>
          <w:sz w:val="24"/>
          <w:szCs w:val="24"/>
        </w:rPr>
        <w:t xml:space="preserve">[50] Winter, R. (2009). Academic manager or managed academic? Academic identity schisms in higher education. Journal of Higher Education Policy and Management, 31(2), 121-131.</w:t>
      </w:r>
    </w:p>
    <w:p>
      <w:pPr>
        <w:spacing w:line="480" w:lineRule="auto" w:after="0"/>
      </w:pPr>
    </w:p>
    <w:p>
      <w:pPr>
        <w:spacing w:line="480" w:lineRule="auto" w:after="0"/>
        <w:ind w:firstLine="720"/>
      </w:pPr>
      <w:r>
        <w:rPr>
          <w:sz w:val="24"/>
          <w:szCs w:val="24"/>
        </w:rPr>
        <w:t xml:space="preserve">[51] Harris, S. (2005). Rethinking academic identities in neo-liberal times. Teaching in Higher Education, 10(4), 421-433.</w:t>
      </w:r>
    </w:p>
    <w:p>
      <w:pPr>
        <w:spacing w:line="480" w:lineRule="auto" w:after="0"/>
      </w:pPr>
    </w:p>
    <w:p>
      <w:pPr>
        <w:spacing w:line="480" w:lineRule="auto" w:after="0"/>
        <w:ind w:firstLine="720"/>
      </w:pPr>
      <w:r>
        <w:rPr>
          <w:sz w:val="24"/>
          <w:szCs w:val="24"/>
        </w:rPr>
        <w:t xml:space="preserve">[52] Fitzmaurice, M. (2013). Constructing professional identity as a new academic: A moral endeavour. Studies in Higher Education, 38(4), 613-622.</w:t>
      </w:r>
    </w:p>
    <w:p>
      <w:pPr>
        <w:spacing w:line="480" w:lineRule="auto" w:after="0"/>
      </w:pPr>
    </w:p>
    <w:p>
      <w:pPr>
        <w:spacing w:line="480" w:lineRule="auto" w:after="0"/>
      </w:pPr>
    </w:p>
    <w:p>
      <w:pPr>
        <w:spacing w:line="480" w:lineRule="auto" w:after="0"/>
        <w:ind w:firstLine="720"/>
      </w:pPr>
      <w:r>
        <w:rPr>
          <w:sz w:val="24"/>
          <w:szCs w:val="24"/>
        </w:rPr>
        <w:t xml:space="preserve">[53] Bandura, A. (1997). Self-Efficacy: The Exercise of Control. W.H. Freeman.</w:t>
      </w:r>
    </w:p>
    <w:p>
      <w:pPr>
        <w:spacing w:line="480" w:lineRule="auto" w:after="0"/>
      </w:pPr>
    </w:p>
    <w:p>
      <w:pPr>
        <w:spacing w:line="480" w:lineRule="auto" w:after="0"/>
        <w:ind w:firstLine="720"/>
      </w:pPr>
      <w:r>
        <w:rPr>
          <w:sz w:val="24"/>
          <w:szCs w:val="24"/>
        </w:rPr>
        <w:t xml:space="preserve">[54] Hemmings, B., &amp; Kay, R. (2010). University lecturer publication output: Qualifications, time and confidence count. Journal of Higher Education Policy and Management, 32(2), 185-197.</w:t>
      </w:r>
    </w:p>
    <w:p>
      <w:pPr>
        <w:spacing w:line="480" w:lineRule="auto" w:after="0"/>
      </w:pPr>
    </w:p>
    <w:p>
      <w:pPr>
        <w:spacing w:line="480" w:lineRule="auto" w:after="0"/>
        <w:ind w:firstLine="720"/>
      </w:pPr>
      <w:r>
        <w:rPr>
          <w:sz w:val="24"/>
          <w:szCs w:val="24"/>
        </w:rPr>
        <w:t xml:space="preserve">[55] Parkman, A. (2016). The imposter phenomenon in higher education: Incidence and impact. Journal of Higher Education Theory and Practice, 16(1), 51-60.</w:t>
      </w:r>
    </w:p>
    <w:p>
      <w:pPr>
        <w:spacing w:line="480" w:lineRule="auto" w:after="0"/>
      </w:pPr>
    </w:p>
    <w:p>
      <w:pPr>
        <w:spacing w:line="480" w:lineRule="auto" w:after="0"/>
        <w:ind w:firstLine="720"/>
      </w:pPr>
      <w:r>
        <w:rPr>
          <w:sz w:val="24"/>
          <w:szCs w:val="24"/>
        </w:rPr>
        <w:t xml:space="preserve">[56] Clance, P. R., &amp; Imes, S. A. (1978). The imposter phenomenon in high achieving women: Dynamics and therapeutic intervention. Psychotherapy: Theory, Research and Practice, 15(3), 241-247.</w:t>
      </w:r>
    </w:p>
    <w:p>
      <w:pPr>
        <w:spacing w:line="480" w:lineRule="auto" w:after="0"/>
      </w:pPr>
    </w:p>
    <w:p>
      <w:pPr>
        <w:spacing w:line="480" w:lineRule="auto" w:after="0"/>
        <w:ind w:firstLine="720"/>
      </w:pPr>
      <w:r>
        <w:rPr>
          <w:sz w:val="24"/>
          <w:szCs w:val="24"/>
        </w:rPr>
        <w:t xml:space="preserve">[57] Guthrie, S., Lichten, C. A., Van Belle, J., Ball, S., Knack, A., &amp; Hofman, J. (2017). Understanding Mental Health in the Research Environment: A Rapid Evidence Assessment. RAND Corporation.</w:t>
      </w:r>
    </w:p>
    <w:p>
      <w:pPr>
        <w:spacing w:line="480" w:lineRule="auto" w:after="0"/>
      </w:pPr>
    </w:p>
    <w:p>
      <w:pPr>
        <w:spacing w:line="480" w:lineRule="auto" w:after="0"/>
        <w:ind w:firstLine="720"/>
      </w:pPr>
      <w:r>
        <w:rPr>
          <w:sz w:val="24"/>
          <w:szCs w:val="24"/>
        </w:rPr>
        <w:t xml:space="preserve">[58] Wenger, E. (1998). Communities of Practice: Learning, Meaning, and Identity. Cambridge University Press.</w:t>
      </w:r>
    </w:p>
    <w:p>
      <w:pPr>
        <w:spacing w:line="480" w:lineRule="auto" w:after="0"/>
      </w:pPr>
    </w:p>
    <w:p>
      <w:pPr>
        <w:spacing w:line="480" w:lineRule="auto" w:after="0"/>
        <w:ind w:firstLine="720"/>
      </w:pPr>
      <w:r>
        <w:rPr>
          <w:sz w:val="24"/>
          <w:szCs w:val="24"/>
        </w:rPr>
        <w:t xml:space="preserve">[59] Hutchins, H. M., &amp; Rainbolt, H. (2017). What triggers imposter phenomenon among academic faculty? A critical incident study exploring antecedents, coping, and development opportunities. Human Resource Development International, 20(3), 194-214.</w:t>
      </w:r>
    </w:p>
    <w:p>
      <w:pPr>
        <w:spacing w:line="480" w:lineRule="auto" w:after="0"/>
      </w:pPr>
    </w:p>
    <w:p>
      <w:pPr>
        <w:spacing w:line="480" w:lineRule="auto" w:after="0"/>
        <w:ind w:firstLine="720"/>
      </w:pPr>
      <w:r>
        <w:rPr>
          <w:sz w:val="24"/>
          <w:szCs w:val="24"/>
        </w:rPr>
        <w:t xml:space="preserve">[60] Kelchtermans, G. (2009). Who I am in how I teach is the message: Self-understanding, vulnerability and reflection. Teachers and Teaching, 15(2), 257-272.</w:t>
      </w:r>
    </w:p>
    <w:p>
      <w:pPr>
        <w:spacing w:line="480" w:lineRule="auto" w:after="0"/>
      </w:pPr>
    </w:p>
    <w:p>
      <w:pPr>
        <w:spacing w:line="480" w:lineRule="auto" w:after="0"/>
        <w:ind w:firstLine="720"/>
      </w:pPr>
      <w:r>
        <w:rPr>
          <w:sz w:val="24"/>
          <w:szCs w:val="24"/>
        </w:rPr>
        <w:t xml:space="preserve">[61] Kreber, C. (2013). Authenticity in and through Teaching in Higher Education: The Transformative Potential of the Scholarship of Teaching. Routledge.</w:t>
      </w:r>
    </w:p>
    <w:p>
      <w:pPr>
        <w:spacing w:line="480" w:lineRule="auto" w:after="0"/>
      </w:pPr>
    </w:p>
    <w:p>
      <w:pPr>
        <w:spacing w:line="480" w:lineRule="auto" w:after="0"/>
        <w:ind w:firstLine="720"/>
      </w:pPr>
      <w:r>
        <w:rPr>
          <w:sz w:val="24"/>
          <w:szCs w:val="24"/>
        </w:rPr>
        <w:t xml:space="preserve">[62] Barnacle, R., &amp; Dall'Alba, G. (2011). Research degrees as professional education? Studies in Higher Education, 36(4), 459-470.</w:t>
      </w:r>
    </w:p>
    <w:p>
      <w:pPr>
        <w:spacing w:line="480" w:lineRule="auto" w:after="0"/>
      </w:pPr>
    </w:p>
    <w:p>
      <w:pPr>
        <w:spacing w:line="480" w:lineRule="auto" w:after="0"/>
        <w:ind w:firstLine="720"/>
      </w:pPr>
      <w:r>
        <w:rPr>
          <w:sz w:val="24"/>
          <w:szCs w:val="24"/>
        </w:rPr>
        <w:t xml:space="preserve">[63] Taylor, C. (1991). The Ethics of Authenticity. Harvard University Press.</w:t>
      </w:r>
    </w:p>
    <w:p>
      <w:pPr>
        <w:spacing w:line="480" w:lineRule="auto" w:after="0"/>
      </w:pPr>
    </w:p>
    <w:p>
      <w:pPr>
        <w:spacing w:line="480" w:lineRule="auto" w:after="0"/>
        <w:ind w:firstLine="720"/>
      </w:pPr>
      <w:r>
        <w:rPr>
          <w:sz w:val="24"/>
          <w:szCs w:val="24"/>
        </w:rPr>
        <w:t xml:space="preserve">[64] Veletsianos, G. (2016). Social Media in Academia: Networked Scholars. Routledge.</w:t>
      </w:r>
    </w:p>
    <w:p>
      <w:pPr>
        <w:spacing w:line="480" w:lineRule="auto" w:after="0"/>
      </w:pPr>
    </w:p>
    <w:p>
      <w:pPr>
        <w:spacing w:line="480" w:lineRule="auto" w:after="0"/>
        <w:ind w:firstLine="720"/>
      </w:pPr>
      <w:r>
        <w:rPr>
          <w:sz w:val="24"/>
          <w:szCs w:val="24"/>
        </w:rPr>
        <w:t xml:space="preserve">[65] Duffy, B. E., &amp; Pooley, J. D. (2019). Idols of promotion: The triumph of self-branding in an age of precarity. Journal of Communication, 69(1), 26-48.</w:t>
      </w:r>
    </w:p>
    <w:p>
      <w:pPr>
        <w:spacing w:line="480" w:lineRule="auto" w:after="0"/>
      </w:pPr>
    </w:p>
    <w:p>
      <w:pPr>
        <w:spacing w:line="480" w:lineRule="auto" w:after="0"/>
        <w:ind w:firstLine="720"/>
      </w:pPr>
      <w:r>
        <w:rPr>
          <w:sz w:val="24"/>
          <w:szCs w:val="24"/>
        </w:rPr>
        <w:t xml:space="preserve">[66] Lupton, D. (2014). "Feeling better connected": Academics' use of social media. Canberra: News and Media Research Centre, University of Canberra.</w:t>
      </w:r>
    </w:p>
    <w:p>
      <w:pPr>
        <w:spacing w:line="480" w:lineRule="auto" w:after="0"/>
      </w:pPr>
    </w:p>
    <w:p>
      <w:pPr>
        <w:spacing w:line="480" w:lineRule="auto" w:after="0"/>
        <w:ind w:firstLine="720"/>
      </w:pPr>
      <w:r>
        <w:rPr>
          <w:sz w:val="24"/>
          <w:szCs w:val="24"/>
        </w:rPr>
        <w:t xml:space="preserve">[67] Constanti, P., &amp; Gibbs, P. (2004). Higher education teachers and emotional labour. International Journal of Educational Management, 18(4), 243-249.</w:t>
      </w:r>
    </w:p>
    <w:p>
      <w:pPr>
        <w:spacing w:line="480" w:lineRule="auto" w:after="0"/>
      </w:pPr>
    </w:p>
    <w:p>
      <w:pPr>
        <w:spacing w:line="480" w:lineRule="auto" w:after="0"/>
        <w:ind w:firstLine="720"/>
      </w:pPr>
      <w:r>
        <w:rPr>
          <w:sz w:val="24"/>
          <w:szCs w:val="24"/>
        </w:rPr>
        <w:t xml:space="preserve">[68] Ogbonna, E., &amp; Harris, L. C. (2004). Work intensification and emotional labour among UK university lecturers: An exploratory study. Organization Studies, 25(7), 1185-1203.</w:t>
      </w:r>
    </w:p>
    <w:p>
      <w:pPr>
        <w:spacing w:line="480" w:lineRule="auto" w:after="0"/>
      </w:pPr>
    </w:p>
    <w:p>
      <w:pPr>
        <w:spacing w:line="480" w:lineRule="auto" w:after="0"/>
        <w:ind w:firstLine="720"/>
      </w:pPr>
      <w:r>
        <w:rPr>
          <w:sz w:val="24"/>
          <w:szCs w:val="24"/>
        </w:rPr>
        <w:t xml:space="preserve">[69] Bellas, M. L. (1999). Emotional labor in academia: The case of professors. The Annals of the American Academy of Political and Social Science, 561(1), 96-110.</w:t>
      </w:r>
    </w:p>
    <w:p>
      <w:pPr>
        <w:spacing w:line="480" w:lineRule="auto" w:after="0"/>
      </w:pPr>
    </w:p>
    <w:p>
      <w:pPr>
        <w:spacing w:line="480" w:lineRule="auto" w:after="0"/>
        <w:ind w:firstLine="720"/>
      </w:pPr>
      <w:r>
        <w:rPr>
          <w:sz w:val="24"/>
          <w:szCs w:val="24"/>
        </w:rPr>
        <w:t xml:space="preserve">[70] Acker, S., &amp; Armenti, C. (2004). Sleepless in academia. Gender and Education, 16(1), 3-24.</w:t>
      </w:r>
    </w:p>
    <w:p>
      <w:pPr>
        <w:spacing w:line="480" w:lineRule="auto" w:after="0"/>
      </w:pPr>
    </w:p>
    <w:p>
      <w:pPr>
        <w:spacing w:line="480" w:lineRule="auto" w:after="0"/>
        <w:ind w:firstLine="720"/>
      </w:pPr>
      <w:r>
        <w:rPr>
          <w:sz w:val="24"/>
          <w:szCs w:val="24"/>
        </w:rPr>
        <w:t xml:space="preserve">[71] Ahmed, S. (2012). On Being Included: Racism and Diversity in Institutional Life. Duke University Press.</w:t>
      </w:r>
    </w:p>
    <w:p>
      <w:pPr>
        <w:spacing w:line="480" w:lineRule="auto" w:after="0"/>
      </w:pPr>
    </w:p>
    <w:p>
      <w:pPr>
        <w:spacing w:line="480" w:lineRule="auto" w:after="0"/>
        <w:ind w:firstLine="720"/>
      </w:pPr>
      <w:r>
        <w:rPr>
          <w:sz w:val="24"/>
          <w:szCs w:val="24"/>
        </w:rPr>
        <w:t xml:space="preserve">[72] Lawless, B. (2018). Documenting a labor of love: Emotional labor as academic labor. Review of Communication, 18(1), 2-20.</w:t>
      </w:r>
    </w:p>
    <w:p>
      <w:pPr>
        <w:spacing w:line="480" w:lineRule="auto" w:after="0"/>
      </w:pPr>
    </w:p>
    <w:p>
      <w:pPr>
        <w:spacing w:line="480" w:lineRule="auto" w:after="0"/>
        <w:ind w:firstLine="720"/>
      </w:pPr>
      <w:r>
        <w:rPr>
          <w:sz w:val="24"/>
          <w:szCs w:val="24"/>
        </w:rPr>
        <w:t xml:space="preserve">[73] Leibowitz, B., Bozalek, V., van Schalkwyk, S., &amp; Winberg, C. (2015). Institutional context matters: The professional development of academics as teachers in South African higher education. Higher Education, 69(2), 315-330.</w:t>
      </w:r>
    </w:p>
    <w:p>
      <w:pPr>
        <w:spacing w:line="480" w:lineRule="auto" w:after="0"/>
      </w:pPr>
    </w:p>
    <w:p>
      <w:pPr>
        <w:spacing w:line="480" w:lineRule="auto" w:after="0"/>
      </w:pPr>
    </w:p>
    <w:p>
      <w:pPr>
        <w:spacing w:line="480" w:lineRule="auto" w:after="0"/>
        <w:ind w:firstLine="720"/>
      </w:pPr>
      <w:r>
        <w:rPr>
          <w:sz w:val="24"/>
          <w:szCs w:val="24"/>
        </w:rPr>
        <w:t xml:space="preserve">[74] Barile, S., Franco, G., Nota, G., &amp; Saviano, M. (2012). Structure and dynamics of a "T-shaped" knowledge: From individuals to cooperating communities of practice. Service Science, 4(2), 161-180.</w:t>
      </w:r>
    </w:p>
    <w:p>
      <w:pPr>
        <w:spacing w:line="480" w:lineRule="auto" w:after="0"/>
      </w:pPr>
    </w:p>
    <w:p>
      <w:pPr>
        <w:spacing w:line="480" w:lineRule="auto" w:after="0"/>
        <w:ind w:firstLine="720"/>
      </w:pPr>
      <w:r>
        <w:rPr>
          <w:sz w:val="24"/>
          <w:szCs w:val="24"/>
        </w:rPr>
        <w:t xml:space="preserve">[75] Boden, R., &amp; Nedeva, M. (2010). Employing discourse: Universities and graduate "employability." Journal of Education Policy, 25(1), 37-54.</w:t>
      </w:r>
    </w:p>
    <w:p>
      <w:pPr>
        <w:spacing w:line="480" w:lineRule="auto" w:after="0"/>
      </w:pPr>
    </w:p>
    <w:p>
      <w:pPr>
        <w:spacing w:line="480" w:lineRule="auto" w:after="0"/>
        <w:ind w:firstLine="720"/>
      </w:pPr>
      <w:r>
        <w:rPr>
          <w:sz w:val="24"/>
          <w:szCs w:val="24"/>
        </w:rPr>
        <w:t xml:space="preserve">[76] Frodeman, R. (Ed.). (2017). The Oxford Handbook of Interdisciplinarity (2nd ed.). Oxford University Press.</w:t>
      </w:r>
    </w:p>
    <w:p>
      <w:pPr>
        <w:spacing w:line="480" w:lineRule="auto" w:after="0"/>
      </w:pPr>
    </w:p>
    <w:p>
      <w:pPr>
        <w:spacing w:line="480" w:lineRule="auto" w:after="0"/>
        <w:ind w:firstLine="720"/>
      </w:pPr>
      <w:r>
        <w:rPr>
          <w:sz w:val="24"/>
          <w:szCs w:val="24"/>
        </w:rPr>
        <w:t xml:space="preserve">[77] McAlpine, L., &amp; Amundsen, C. (2018). Identity-Trajectories of Early Career Researchers: Unpacking the Post-PhD Experience. Palgrave Macmillan.</w:t>
      </w:r>
    </w:p>
    <w:p>
      <w:pPr>
        <w:spacing w:line="480" w:lineRule="auto" w:after="0"/>
      </w:pPr>
    </w:p>
    <w:p>
      <w:pPr>
        <w:spacing w:line="480" w:lineRule="auto" w:after="0"/>
        <w:ind w:firstLine="720"/>
      </w:pPr>
      <w:r>
        <w:rPr>
          <w:sz w:val="24"/>
          <w:szCs w:val="24"/>
        </w:rPr>
        <w:t xml:space="preserve">[78] Vitae. (2011). Researcher Development Framework. Careers Research and Advisory Centre.</w:t>
      </w:r>
    </w:p>
    <w:p>
      <w:pPr>
        <w:spacing w:line="480" w:lineRule="auto" w:after="0"/>
      </w:pPr>
    </w:p>
    <w:p>
      <w:pPr>
        <w:spacing w:line="480" w:lineRule="auto" w:after="0"/>
        <w:ind w:firstLine="720"/>
      </w:pPr>
      <w:r>
        <w:rPr>
          <w:sz w:val="24"/>
          <w:szCs w:val="24"/>
        </w:rPr>
        <w:t xml:space="preserve">[79] Sutherland, K. A. (2017). Constructions of success in academia: An early career perspective. Studies in Higher Education, 42(4), 743-759.</w:t>
      </w:r>
    </w:p>
    <w:p>
      <w:pPr>
        <w:spacing w:line="480" w:lineRule="auto" w:after="0"/>
      </w:pPr>
    </w:p>
    <w:p>
      <w:pPr>
        <w:spacing w:line="480" w:lineRule="auto" w:after="0"/>
        <w:ind w:firstLine="720"/>
      </w:pPr>
      <w:r>
        <w:rPr>
          <w:sz w:val="24"/>
          <w:szCs w:val="24"/>
        </w:rPr>
        <w:t xml:space="preserve">[80] Kemmis, S., Heikkinen, H. L. T., Fransson, G., Aspfors, J., &amp; Edwards-Groves, C. (2014). Mentoring of new teachers as a contested practice: Supervision, support and collaborative self-development. Teaching and Teacher Education, 43, 154-164.</w:t>
      </w:r>
    </w:p>
    <w:p>
      <w:pPr>
        <w:spacing w:line="480" w:lineRule="auto" w:after="0"/>
      </w:pPr>
    </w:p>
    <w:p>
      <w:pPr>
        <w:spacing w:line="480" w:lineRule="auto" w:after="0"/>
        <w:ind w:firstLine="720"/>
      </w:pPr>
      <w:r>
        <w:rPr>
          <w:sz w:val="24"/>
          <w:szCs w:val="24"/>
        </w:rPr>
        <w:t xml:space="preserve">[81] Enders, J., &amp; Kaulisch, M. (2006). The binding and unbinding of academic careers. In U. Teichler (Ed.), The Formative Years of Scholars (pp. 85-96). Portland Press.</w:t>
      </w:r>
    </w:p>
    <w:p>
      <w:pPr>
        <w:spacing w:line="480" w:lineRule="auto" w:after="0"/>
      </w:pPr>
    </w:p>
    <w:p>
      <w:pPr>
        <w:spacing w:line="480" w:lineRule="auto" w:after="0"/>
        <w:ind w:firstLine="720"/>
      </w:pPr>
      <w:r>
        <w:rPr>
          <w:sz w:val="24"/>
          <w:szCs w:val="24"/>
        </w:rPr>
        <w:t xml:space="preserve">[82] Laudel, G., &amp; Glaesser, J. (2008). From apprentice to colleague: The metamorphosis of early career researchers. Higher Education, 55(3), 387-406.</w:t>
      </w:r>
    </w:p>
    <w:p>
      <w:pPr>
        <w:spacing w:line="480" w:lineRule="auto" w:after="0"/>
      </w:pPr>
    </w:p>
    <w:p>
      <w:pPr>
        <w:spacing w:line="480" w:lineRule="auto" w:after="0"/>
        <w:ind w:firstLine="720"/>
      </w:pPr>
      <w:r>
        <w:rPr>
          <w:sz w:val="24"/>
          <w:szCs w:val="24"/>
        </w:rPr>
        <w:t xml:space="preserve">[83] Bataille, P., Le Feuvre, N., &amp; Kradolfer Morales, S. (2017). Should I stay or should I go? The effects of precariousness on the gendered experiences of young academics. In A. Aparna &amp; D. Neubauer (Eds.), Precarity and the Academic Profession (pp. 35-53). Routledge.</w:t>
      </w:r>
    </w:p>
    <w:p>
      <w:pPr>
        <w:spacing w:line="480" w:lineRule="auto" w:after="0"/>
      </w:pPr>
    </w:p>
    <w:p>
      <w:pPr>
        <w:spacing w:line="480" w:lineRule="auto" w:after="0"/>
        <w:ind w:firstLine="720"/>
      </w:pPr>
      <w:r>
        <w:rPr>
          <w:sz w:val="24"/>
          <w:szCs w:val="24"/>
        </w:rPr>
        <w:t xml:space="preserve">[84] Mullen, C. A., &amp; Klimaitis, C. C. (2021). Defining mentoring: A literature review of issues, types, and applications. Annals of the New York Academy of Sciences, 1483(1), 19-35.</w:t>
      </w:r>
    </w:p>
    <w:p>
      <w:pPr>
        <w:spacing w:line="480" w:lineRule="auto" w:after="0"/>
      </w:pPr>
    </w:p>
    <w:p>
      <w:pPr>
        <w:spacing w:line="480" w:lineRule="auto" w:after="0"/>
        <w:ind w:firstLine="720"/>
      </w:pPr>
      <w:r>
        <w:rPr>
          <w:sz w:val="24"/>
          <w:szCs w:val="24"/>
        </w:rPr>
        <w:t xml:space="preserve">[85] Boyer, E. L. (1996). The scholarship of engagement. Bulletin of the American Academy of Arts and Sciences, 49(7), 18-33.</w:t>
      </w:r>
    </w:p>
    <w:p>
      <w:pPr>
        <w:spacing w:line="480" w:lineRule="auto" w:after="0"/>
      </w:pPr>
    </w:p>
    <w:sectPr>
      <w:pgSz w:w="12240" w:h="15840"/>
      <w:pgMar w:top="1440" w:right="1440" w:bottom="1440" w:left="144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docDefaults>
  <w:style w:type="paragraph" w:default="1" w:styleId="Normal">
    <w:name w:val="Normal"/>
    <w:pPr>
      <w:spacing w:line="480" w:lineRule="auto" w:after="0"/>
    </w:pPr>
    <w:rPr>
      <w:rFonts w:ascii="Times New Roman" w:hAnsi="Times New Roman" w:cs="Times New Roman"/>
      <w:sz w:val="24"/>
      <w:szCs w:val="24"/>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01" Type="http://schemas.openxmlformats.org/officeDocument/2006/relationships/image" Target="media/Figure_1_Conceptual_Framework.png"/>
  <Relationship Id="rId102" Type="http://schemas.openxmlformats.org/officeDocument/2006/relationships/image" Target="media/Figure_2_Unbundling_Forces.png"/>
  <Relationship Id="rId103" Type="http://schemas.openxmlformats.org/officeDocument/2006/relationships/image" Target="media/Figure_3_T_Shaped_Academic.png"/>
  <Relationship Id="rId104" Type="http://schemas.openxmlformats.org/officeDocument/2006/relationships/image" Target="media/Figure_4_Academic_Ecosystem.png"/>
</Relationships>
</file>