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30"/>
          <w:szCs w:val="30"/>
        </w:rPr>
        <w:t xml:space="preserve">Comparative Analysis of Microstructural Evolution and Mechanical Properties of AISI Grade 440 Stainless Steel Welds Fabricated by Metal Inert Gas Welding Using Austenitic 309 L, Martensitic 410, and Super Duplex 2594 Filler Metals</w:t>
      </w:r>
    </w:p>
    <w:p/>
    <w:p>
      <w:pPr>
        <w:pStyle w:val="Heading1"/>
      </w:pPr>
      <w:r>
        <w:rPr>
          <w:b/>
          <w:sz w:val="28"/>
          <w:szCs w:val="28"/>
        </w:rPr>
        <w:t xml:space="preserve">Abstract</w:t>
      </w:r>
    </w:p>
    <w:p/>
    <w:p>
      <w:r>
        <w:t xml:space="preserve">The present work is aimed at studying the microstructural evolution, hardness distribution, impact toughness and fracture behaviour of multi-pass welded SS440 martensitic stainless steel using three different filler metals namely F309L, F410 and F2594. Cr and Ni equivalents were calculated to predict the metal constitution and solidification behaviour by the Schaeffler constitution diagram and pseudo-binary solidification diagram, respectively. The solidification mode for F309L was austenitic–ferritic (AF) mode with Creq/Nieq = 1.46; Creq/Nieq = 1.62 for F2594 solidified in ferritic–austenitic (FA) mode, and Creq/Nieq = 3.19 for F410 solidified fully ferritic (F) mode, and hence F410 weld metal was predominantly martensitic. Optical microscopy and SEM analysis of the cross-sections of the fusion zone (FZ) and heat affected zone (HAZ) revealed columnar dendrites, ferritic-austenitic duplex, martensitic regions and carbide and intermetallic precipitates. The formation of carbon supersaturated martensite resulted in the highest hardness of the weld zone (F410) of about 345-365 VHN, while the soft austenite dominated the weld zone hardness of F309L (195-220 VHN). The F2594 weld had intermediate hardness values of 285–310 VHN, and a balanced duplex microstructure. The Charpy impact test results showed that the toughness of the F2594 was greater than the base metal (FZ ~275 J, HAZ ~290 J). Results of fractographic analysis confirmed the occurrence of ductile microvoid coalescence fracture in F2594 welds, and quasi-cleavage brittle fracture in F410 due to martensitic structures. The results have confirmed that filler metal F2594 has the best toughness, moderate hardness and ductile fracture stability for welding work of SS440 material.</w:t>
      </w:r>
    </w:p>
    <w:p/>
    <w:p>
      <w:pPr>
        <w:pStyle w:val="Heading1"/>
      </w:pPr>
      <w:r>
        <w:rPr>
          <w:b/>
          <w:sz w:val="28"/>
          <w:szCs w:val="28"/>
        </w:rPr>
        <w:t xml:space="preserve">1. Introduction</w:t>
      </w:r>
    </w:p>
    <w:p/>
    <w:p>
      <w:r>
        <w:t xml:space="preserve">Martensitic stainless steels find their applications in engineering components which require high strength and wear resistance, good hardenability and moderate corrosion resistance. Due to these properties, they are widely used in the manufacturing of surgical instruments, valves, bearings, pump shafts, turbine components, hydraulic rams and many more applications [1,2]. AISI 440 stainless steel, due to its high carbon content and chromium content, exhibits excellent hardness, corrosion resistance and abrasion resistance after proper heat treatment [3]. Due to these properties AISI 440 steel is mostly preferred for engineering applications where superior wear resistance is required under corrosive environment [4,5]. In spite of possessing excellent tribological and mechanical properties, the welding of AISI 440 steel is challenging due to martensitic transformation characteristics as well as high carbon content. Rapid cooling at the time of welding boosts the formation of untempered martensite within the heat affected zone (HAZ) and fusion zone (FZ), as a result of which high residual stresses are induced which reduce toughness and increase the hardness. This increases the susceptibility of solidification cracking at the welded joint. In the case of AISI 440 steel, when the temperature is lowered fast, it transforms to martensite in a diffusion-less manner [6].</w:t>
      </w:r>
    </w:p>
    <w:p/>
    <w:p>
      <w:r>
        <w:t xml:space="preserve">This is preferable in obtaining high strength after proper heat treatment, but during welding, it poses difficulties. Fusion welding results in localized heating along with steep thermal gradients due to which a heterogeneous microstructural region is created which is referred to as the heat affected zone (HAZ). Also the areas which are near to the weld-line attain a temperature greater than the austenization limit resulting in grain expansion. After cooling, these coarsened regions become areas of higher hardness and lower ductility. These variations in the hardness increase the possibility of cold cracking [7,8]. Further, due to this heat cycle, some additional microstructural degradations happen in welding. Due to grain coarsening around the solidus temperature, there is a lowering down of the zone toughness of heat affected material [9]. Moreover, during heat treatments after welding or in multipass welds, there is formation of embrittling intermetallic phases such as sigma phase which also results in degradation of joint toughness [10]. Due to these metallurgical instabilities, welded joints become weaker and less stable as compared with the base metal, which is a serious problem in the structural integrity of AISI 440 in the long term. Hence, selection of a sturdy combination of base metal and filler is necessary in order to minimize cold cracking, ensure sufficient toughness as well as hardness control, and to achieve adequate corrosion resistance without any requirement of excessive preheat and post weld heat treatment [11,12].</w:t>
      </w:r>
    </w:p>
    <w:p/>
    <w:p>
      <w:r>
        <w:t xml:space="preserve">Metal inert gas (MIG) welding is extensively used in manufacturing due to its high deposition rate and its capacity to produce continuous welds along with good process control. However, in the case of MIG welding, high heat input along with rapid thermal cycles may considerably affect the solidification behaviour and mechanical performance of stainless steel welds. Also, there is a significant influence of welding parameters on weld performance. Metal inert gas (MIG) welding of martensitic steels poses serious problems because of their tendency for brittle phase formation, hydrogen induced cracking and excessive granular growth. Along with the welding parameters, the metallurgical characteristics and chemical composition of the filler materials play a significant role in determining the integrity, mechanical properties and microstructure of the final weld [12,13]. The selection of filler metal is very important in welding martensitic stainless steels because it influences solidification mode, dilution, phase transformation and microstructural development [2].</w:t>
      </w:r>
    </w:p>
    <w:p/>
    <w:p>
      <w:r>
        <w:t xml:space="preserve">In the current study, the effect of three different filler metals namely ER309L, ER2594 and ER410 is studied. Austenitic filler ER309L possesses good corrosion resistance and the capability to reduce cracking susceptibility, due to which it finds its applications in welding dissimilar stainless steels. Studies reveal that ER309L welds generally possess higher toughness at fusion zones in contrast to martensitic fillers, but due to dilution effects it may lead to microstructural heterogeneities at the interface [14,15]. When a martensitic material such as AISI 440 is welded with ER309L, it forms two-phase structures, normally austenite with little delta ferrite along with a narrow as well as partially diluted zone on the fusion front. This austenitic matrix prevents the formation of untempered martensite which is the major cause of cold cracking [16]. Martensitic stainless steel filler ER410 boosts ferritic and martensitic phases, which often results in greater hardness, but if welding takes place at improper parameters, it leads to potential micro cracking [17]. Moreover, during cooling, the formation of hard untempered martensite reduces ductility and toughness and increases the chances of weld cracking [18].</w:t>
      </w:r>
    </w:p>
    <w:p/>
    <w:p>
      <w:r>
        <w:t xml:space="preserve">Filler material ER2594 is a super duplex stainless steel that has received considerable attention because these fillers are specifically designed to produce a two-phase microstructure (austenite and ferrite). It provides a favourable combination of good toughness, high strength and excellent resistance to high corrosion cracking. But the properties and phase balance of super duplex welds are very sensitive to cooling rate, heat input and chemical dilution during welding [19,20]. The high chromium, molybdenum, nitrogen, and nickel contents of ER2594 contribute to its high pitting-resistance potential [21]. In spite of advances in welding metallurgy, fillers ER309L, ER410, and ER2594 are not compared systematically for MIG welding of AISI 440 grade under identical process parameters. The present study investigates the microstructure evolution as well as mechanical properties of AISI Grade 440 stainless steel welds using three fillers ER309L, ER410, and ER2594 filler metals. Characterization is done using metallographic examination, SEM, EDS, and XRD to evaluate the microstructural features, phase evolution, and elemental distribution in the weld region. The mechanical performance is assessed through hardness measurements and impact testing.</w:t>
      </w:r>
    </w:p>
    <w:p/>
    <w:p>
      <w:pPr>
        <w:pStyle w:val="Heading1"/>
      </w:pPr>
      <w:r>
        <w:rPr>
          <w:b/>
          <w:sz w:val="28"/>
          <w:szCs w:val="28"/>
        </w:rPr>
        <w:t xml:space="preserve">2. Materials and Methods</w:t>
      </w:r>
    </w:p>
    <w:p/>
    <w:p>
      <w:r>
        <w:t xml:space="preserve">To conduct the experimental investigation, American Iron and Steel Institute grade 440 martensitic stainless steel plates were used as the substrate with a size of 300 mm × 75 mm × 12 mm. Filler metals used were of three types: martensitic stainless steel 410, austenitic stainless steel 309L and super duplex stainless steel 2594. The diameter of the filler was chosen to be 1.2 mm to ensure compatibility with the MIG welding process. The austenitic 309L was chosen because it contains high nickel and chromium, due to which it possesses superior corrosion resistance and ductility. Martensitic filler 410 was selected due to its metallurgical compatibility with the base metal (martensitic AISI 440). Super duplex 2594 was selected due to its balanced ferritic-austenitic microstructure, resistance to pitting corrosion and great mechanical strength. Chemical compositions of base metal and filler metal are obtained by spectrographic analysis at IAHT Ludhiana and the results are shown in Table 1. Mechanical properties of base metals and filler material are mentioned in Table 2.</w:t>
      </w:r>
    </w:p>
    <w:p/>
    <w:p>
      <w:r>
        <w:rPr>
          <w:b/>
        </w:rPr>
        <w:t xml:space="preserve">Table 1.</w:t>
      </w:r>
      <w:r>
        <w:t xml:space="preserve"> Chemical composition (wt. %) of the base metal (SS440) and the filler metals (F309L, F410, F2594).</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w="1040" w:type="dxa"/>
            <w:shd w:val="clear" w:color="auto" w:fill="D9D9D9"/>
          </w:tcPr>
          <w:p>
            <w:pPr>
              <w:jc w:val="center"/>
            </w:pPr>
            <w:r>
              <w:rPr>
                <w:b/>
                <w:sz w:val="20"/>
              </w:rPr>
              <w:t xml:space="preserve">Material</w:t>
            </w:r>
          </w:p>
        </w:tc>
        <w:tc>
          <w:tcPr>
            <w:tcW w:w="1040" w:type="dxa"/>
            <w:shd w:val="clear" w:color="auto" w:fill="D9D9D9"/>
          </w:tcPr>
          <w:p>
            <w:pPr>
              <w:jc w:val="center"/>
            </w:pPr>
            <w:r>
              <w:rPr>
                <w:b/>
                <w:sz w:val="20"/>
              </w:rPr>
              <w:t xml:space="preserve">C</w:t>
            </w:r>
          </w:p>
        </w:tc>
        <w:tc>
          <w:tcPr>
            <w:tcW w:w="1040" w:type="dxa"/>
            <w:shd w:val="clear" w:color="auto" w:fill="D9D9D9"/>
          </w:tcPr>
          <w:p>
            <w:pPr>
              <w:jc w:val="center"/>
            </w:pPr>
            <w:r>
              <w:rPr>
                <w:b/>
                <w:sz w:val="20"/>
              </w:rPr>
              <w:t xml:space="preserve">Cr</w:t>
            </w:r>
          </w:p>
        </w:tc>
        <w:tc>
          <w:tcPr>
            <w:tcW w:w="1040" w:type="dxa"/>
            <w:shd w:val="clear" w:color="auto" w:fill="D9D9D9"/>
          </w:tcPr>
          <w:p>
            <w:pPr>
              <w:jc w:val="center"/>
            </w:pPr>
            <w:r>
              <w:rPr>
                <w:b/>
                <w:sz w:val="20"/>
              </w:rPr>
              <w:t xml:space="preserve">Ni</w:t>
            </w:r>
          </w:p>
        </w:tc>
        <w:tc>
          <w:tcPr>
            <w:tcW w:w="1040" w:type="dxa"/>
            <w:shd w:val="clear" w:color="auto" w:fill="D9D9D9"/>
          </w:tcPr>
          <w:p>
            <w:pPr>
              <w:jc w:val="center"/>
            </w:pPr>
            <w:r>
              <w:rPr>
                <w:b/>
                <w:sz w:val="20"/>
              </w:rPr>
              <w:t xml:space="preserve">Mo</w:t>
            </w:r>
          </w:p>
        </w:tc>
        <w:tc>
          <w:tcPr>
            <w:tcW w:w="1040" w:type="dxa"/>
            <w:shd w:val="clear" w:color="auto" w:fill="D9D9D9"/>
          </w:tcPr>
          <w:p>
            <w:pPr>
              <w:jc w:val="center"/>
            </w:pPr>
            <w:r>
              <w:rPr>
                <w:b/>
                <w:sz w:val="20"/>
              </w:rPr>
              <w:t xml:space="preserve">Mn</w:t>
            </w:r>
          </w:p>
        </w:tc>
        <w:tc>
          <w:tcPr>
            <w:tcW w:w="1040" w:type="dxa"/>
            <w:shd w:val="clear" w:color="auto" w:fill="D9D9D9"/>
          </w:tcPr>
          <w:p>
            <w:pPr>
              <w:jc w:val="center"/>
            </w:pPr>
            <w:r>
              <w:rPr>
                <w:b/>
                <w:sz w:val="20"/>
              </w:rPr>
              <w:t xml:space="preserve">Si</w:t>
            </w:r>
          </w:p>
        </w:tc>
        <w:tc>
          <w:tcPr>
            <w:tcW w:w="1040" w:type="dxa"/>
            <w:shd w:val="clear" w:color="auto" w:fill="D9D9D9"/>
          </w:tcPr>
          <w:p>
            <w:pPr>
              <w:jc w:val="center"/>
            </w:pPr>
            <w:r>
              <w:rPr>
                <w:b/>
                <w:sz w:val="20"/>
              </w:rPr>
              <w:t xml:space="preserve">N</w:t>
            </w:r>
          </w:p>
        </w:tc>
        <w:tc>
          <w:tcPr>
            <w:tcW w:w="1040" w:type="dxa"/>
            <w:shd w:val="clear" w:color="auto" w:fill="D9D9D9"/>
          </w:tcPr>
          <w:p>
            <w:pPr>
              <w:jc w:val="center"/>
            </w:pPr>
            <w:r>
              <w:rPr>
                <w:b/>
                <w:sz w:val="20"/>
              </w:rPr>
              <w:t xml:space="preserve">Fe</w:t>
            </w:r>
          </w:p>
        </w:tc>
      </w:tr>
      <w:tr>
        <w:tc>
          <w:tcPr>
            <w:tcW w:w="1040" w:type="dxa"/>
          </w:tcPr>
          <w:p>
            <w:pPr>
              <w:jc w:val="center"/>
            </w:pPr>
            <w:r>
              <w:rPr>
                <w:sz w:val="20"/>
              </w:rPr>
              <w:t xml:space="preserve">SS440 (base)</w:t>
            </w:r>
          </w:p>
        </w:tc>
        <w:tc>
          <w:tcPr>
            <w:tcW w:w="1040" w:type="dxa"/>
          </w:tcPr>
          <w:p>
            <w:pPr>
              <w:jc w:val="center"/>
            </w:pPr>
            <w:r>
              <w:rPr>
                <w:sz w:val="20"/>
              </w:rPr>
              <w:t xml:space="preserve">0.95</w:t>
            </w:r>
          </w:p>
        </w:tc>
        <w:tc>
          <w:tcPr>
            <w:tcW w:w="1040" w:type="dxa"/>
          </w:tcPr>
          <w:p>
            <w:pPr>
              <w:jc w:val="center"/>
            </w:pPr>
            <w:r>
              <w:rPr>
                <w:sz w:val="20"/>
              </w:rPr>
              <w:t xml:space="preserve">17.0</w:t>
            </w:r>
          </w:p>
        </w:tc>
        <w:tc>
          <w:tcPr>
            <w:tcW w:w="1040" w:type="dxa"/>
          </w:tcPr>
          <w:p>
            <w:pPr>
              <w:jc w:val="center"/>
            </w:pPr>
            <w:r>
              <w:rPr>
                <w:sz w:val="20"/>
              </w:rPr>
              <w:t xml:space="preserve">0.40</w:t>
            </w:r>
          </w:p>
        </w:tc>
        <w:tc>
          <w:tcPr>
            <w:tcW w:w="1040" w:type="dxa"/>
          </w:tcPr>
          <w:p>
            <w:pPr>
              <w:jc w:val="center"/>
            </w:pPr>
            <w:r>
              <w:rPr>
                <w:sz w:val="20"/>
              </w:rPr>
              <w:t xml:space="preserve">0.50</w:t>
            </w:r>
          </w:p>
        </w:tc>
        <w:tc>
          <w:tcPr>
            <w:tcW w:w="1040" w:type="dxa"/>
          </w:tcPr>
          <w:p>
            <w:pPr>
              <w:jc w:val="center"/>
            </w:pPr>
            <w:r>
              <w:rPr>
                <w:sz w:val="20"/>
              </w:rPr>
              <w:t xml:space="preserve">0.80</w:t>
            </w:r>
          </w:p>
        </w:tc>
        <w:tc>
          <w:tcPr>
            <w:tcW w:w="1040" w:type="dxa"/>
          </w:tcPr>
          <w:p>
            <w:pPr>
              <w:jc w:val="center"/>
            </w:pPr>
            <w:r>
              <w:rPr>
                <w:sz w:val="20"/>
              </w:rPr>
              <w:t xml:space="preserve">0.60</w:t>
            </w:r>
          </w:p>
        </w:tc>
        <w:tc>
          <w:tcPr>
            <w:tcW w:w="1040" w:type="dxa"/>
          </w:tcPr>
          <w:p>
            <w:pPr>
              <w:jc w:val="center"/>
            </w:pPr>
            <w:r>
              <w:rPr>
                <w:sz w:val="20"/>
              </w:rPr>
              <w:t xml:space="preserve">—</w:t>
            </w:r>
          </w:p>
        </w:tc>
        <w:tc>
          <w:tcPr>
            <w:tcW w:w="1040" w:type="dxa"/>
          </w:tcPr>
          <w:p>
            <w:pPr>
              <w:jc w:val="center"/>
            </w:pPr>
            <w:r>
              <w:rPr>
                <w:sz w:val="20"/>
              </w:rPr>
              <w:t xml:space="preserve">Bal.</w:t>
            </w:r>
          </w:p>
        </w:tc>
      </w:tr>
      <w:tr>
        <w:tc>
          <w:tcPr>
            <w:tcW w:w="1040" w:type="dxa"/>
          </w:tcPr>
          <w:p>
            <w:pPr>
              <w:jc w:val="center"/>
            </w:pPr>
            <w:r>
              <w:rPr>
                <w:sz w:val="20"/>
              </w:rPr>
              <w:t xml:space="preserve">F309L</w:t>
            </w:r>
          </w:p>
        </w:tc>
        <w:tc>
          <w:tcPr>
            <w:tcW w:w="1040" w:type="dxa"/>
          </w:tcPr>
          <w:p>
            <w:pPr>
              <w:jc w:val="center"/>
            </w:pPr>
            <w:r>
              <w:rPr>
                <w:sz w:val="20"/>
              </w:rPr>
              <w:t xml:space="preserve">0.02</w:t>
            </w:r>
          </w:p>
        </w:tc>
        <w:tc>
          <w:tcPr>
            <w:tcW w:w="1040" w:type="dxa"/>
          </w:tcPr>
          <w:p>
            <w:pPr>
              <w:jc w:val="center"/>
            </w:pPr>
            <w:r>
              <w:rPr>
                <w:sz w:val="20"/>
              </w:rPr>
              <w:t xml:space="preserve">23.5</w:t>
            </w:r>
          </w:p>
        </w:tc>
        <w:tc>
          <w:tcPr>
            <w:tcW w:w="1040" w:type="dxa"/>
          </w:tcPr>
          <w:p>
            <w:pPr>
              <w:jc w:val="center"/>
            </w:pPr>
            <w:r>
              <w:rPr>
                <w:sz w:val="20"/>
              </w:rPr>
              <w:t xml:space="preserve">13.5</w:t>
            </w:r>
          </w:p>
        </w:tc>
        <w:tc>
          <w:tcPr>
            <w:tcW w:w="1040" w:type="dxa"/>
          </w:tcPr>
          <w:p>
            <w:pPr>
              <w:jc w:val="center"/>
            </w:pPr>
            <w:r>
              <w:rPr>
                <w:sz w:val="20"/>
              </w:rPr>
              <w:t xml:space="preserve">0.15</w:t>
            </w:r>
          </w:p>
        </w:tc>
        <w:tc>
          <w:tcPr>
            <w:tcW w:w="1040" w:type="dxa"/>
          </w:tcPr>
          <w:p>
            <w:pPr>
              <w:jc w:val="center"/>
            </w:pPr>
            <w:r>
              <w:rPr>
                <w:sz w:val="20"/>
              </w:rPr>
              <w:t xml:space="preserve">1.80</w:t>
            </w:r>
          </w:p>
        </w:tc>
        <w:tc>
          <w:tcPr>
            <w:tcW w:w="1040" w:type="dxa"/>
          </w:tcPr>
          <w:p>
            <w:pPr>
              <w:jc w:val="center"/>
            </w:pPr>
            <w:r>
              <w:rPr>
                <w:sz w:val="20"/>
              </w:rPr>
              <w:t xml:space="preserve">0.45</w:t>
            </w:r>
          </w:p>
        </w:tc>
        <w:tc>
          <w:tcPr>
            <w:tcW w:w="1040" w:type="dxa"/>
          </w:tcPr>
          <w:p>
            <w:pPr>
              <w:jc w:val="center"/>
            </w:pPr>
            <w:r>
              <w:rPr>
                <w:sz w:val="20"/>
              </w:rPr>
              <w:t xml:space="preserve">—</w:t>
            </w:r>
          </w:p>
        </w:tc>
        <w:tc>
          <w:tcPr>
            <w:tcW w:w="1040" w:type="dxa"/>
          </w:tcPr>
          <w:p>
            <w:pPr>
              <w:jc w:val="center"/>
            </w:pPr>
            <w:r>
              <w:rPr>
                <w:sz w:val="20"/>
              </w:rPr>
              <w:t xml:space="preserve">Bal.</w:t>
            </w:r>
          </w:p>
        </w:tc>
      </w:tr>
      <w:tr>
        <w:tc>
          <w:tcPr>
            <w:tcW w:w="1040" w:type="dxa"/>
          </w:tcPr>
          <w:p>
            <w:pPr>
              <w:jc w:val="center"/>
            </w:pPr>
            <w:r>
              <w:rPr>
                <w:sz w:val="20"/>
              </w:rPr>
              <w:t xml:space="preserve">F410</w:t>
            </w:r>
          </w:p>
        </w:tc>
        <w:tc>
          <w:tcPr>
            <w:tcW w:w="1040" w:type="dxa"/>
          </w:tcPr>
          <w:p>
            <w:pPr>
              <w:jc w:val="center"/>
            </w:pPr>
            <w:r>
              <w:rPr>
                <w:sz w:val="20"/>
              </w:rPr>
              <w:t xml:space="preserve">0.10</w:t>
            </w:r>
          </w:p>
        </w:tc>
        <w:tc>
          <w:tcPr>
            <w:tcW w:w="1040" w:type="dxa"/>
          </w:tcPr>
          <w:p>
            <w:pPr>
              <w:jc w:val="center"/>
            </w:pPr>
            <w:r>
              <w:rPr>
                <w:sz w:val="20"/>
              </w:rPr>
              <w:t xml:space="preserve">12.5</w:t>
            </w:r>
          </w:p>
        </w:tc>
        <w:tc>
          <w:tcPr>
            <w:tcW w:w="1040" w:type="dxa"/>
          </w:tcPr>
          <w:p>
            <w:pPr>
              <w:jc w:val="center"/>
            </w:pPr>
            <w:r>
              <w:rPr>
                <w:sz w:val="20"/>
              </w:rPr>
              <w:t xml:space="preserve">0.60</w:t>
            </w:r>
          </w:p>
        </w:tc>
        <w:tc>
          <w:tcPr>
            <w:tcW w:w="1040" w:type="dxa"/>
          </w:tcPr>
          <w:p>
            <w:pPr>
              <w:jc w:val="center"/>
            </w:pPr>
            <w:r>
              <w:rPr>
                <w:sz w:val="20"/>
              </w:rPr>
              <w:t xml:space="preserve">0.10</w:t>
            </w:r>
          </w:p>
        </w:tc>
        <w:tc>
          <w:tcPr>
            <w:tcW w:w="1040" w:type="dxa"/>
          </w:tcPr>
          <w:p>
            <w:pPr>
              <w:jc w:val="center"/>
            </w:pPr>
            <w:r>
              <w:rPr>
                <w:sz w:val="20"/>
              </w:rPr>
              <w:t xml:space="preserve">0.60</w:t>
            </w:r>
          </w:p>
        </w:tc>
        <w:tc>
          <w:tcPr>
            <w:tcW w:w="1040" w:type="dxa"/>
          </w:tcPr>
          <w:p>
            <w:pPr>
              <w:jc w:val="center"/>
            </w:pPr>
            <w:r>
              <w:rPr>
                <w:sz w:val="20"/>
              </w:rPr>
              <w:t xml:space="preserve">0.40</w:t>
            </w:r>
          </w:p>
        </w:tc>
        <w:tc>
          <w:tcPr>
            <w:tcW w:w="1040" w:type="dxa"/>
          </w:tcPr>
          <w:p>
            <w:pPr>
              <w:jc w:val="center"/>
            </w:pPr>
            <w:r>
              <w:rPr>
                <w:sz w:val="20"/>
              </w:rPr>
              <w:t xml:space="preserve">—</w:t>
            </w:r>
          </w:p>
        </w:tc>
        <w:tc>
          <w:tcPr>
            <w:tcW w:w="1040" w:type="dxa"/>
          </w:tcPr>
          <w:p>
            <w:pPr>
              <w:jc w:val="center"/>
            </w:pPr>
            <w:r>
              <w:rPr>
                <w:sz w:val="20"/>
              </w:rPr>
              <w:t xml:space="preserve">Bal.</w:t>
            </w:r>
          </w:p>
        </w:tc>
      </w:tr>
      <w:tr>
        <w:tc>
          <w:tcPr>
            <w:tcW w:w="1040" w:type="dxa"/>
          </w:tcPr>
          <w:p>
            <w:pPr>
              <w:jc w:val="center"/>
            </w:pPr>
            <w:r>
              <w:rPr>
                <w:sz w:val="20"/>
              </w:rPr>
              <w:t xml:space="preserve">F2594</w:t>
            </w:r>
          </w:p>
        </w:tc>
        <w:tc>
          <w:tcPr>
            <w:tcW w:w="1040" w:type="dxa"/>
          </w:tcPr>
          <w:p>
            <w:pPr>
              <w:jc w:val="center"/>
            </w:pPr>
            <w:r>
              <w:rPr>
                <w:sz w:val="20"/>
              </w:rPr>
              <w:t xml:space="preserve">0.02</w:t>
            </w:r>
          </w:p>
        </w:tc>
        <w:tc>
          <w:tcPr>
            <w:tcW w:w="1040" w:type="dxa"/>
          </w:tcPr>
          <w:p>
            <w:pPr>
              <w:jc w:val="center"/>
            </w:pPr>
            <w:r>
              <w:rPr>
                <w:sz w:val="20"/>
              </w:rPr>
              <w:t xml:space="preserve">25.0</w:t>
            </w:r>
          </w:p>
        </w:tc>
        <w:tc>
          <w:tcPr>
            <w:tcW w:w="1040" w:type="dxa"/>
          </w:tcPr>
          <w:p>
            <w:pPr>
              <w:jc w:val="center"/>
            </w:pPr>
            <w:r>
              <w:rPr>
                <w:sz w:val="20"/>
              </w:rPr>
              <w:t xml:space="preserve">9.50</w:t>
            </w:r>
          </w:p>
        </w:tc>
        <w:tc>
          <w:tcPr>
            <w:tcW w:w="1040" w:type="dxa"/>
          </w:tcPr>
          <w:p>
            <w:pPr>
              <w:jc w:val="center"/>
            </w:pPr>
            <w:r>
              <w:rPr>
                <w:sz w:val="20"/>
              </w:rPr>
              <w:t xml:space="preserve">3.80</w:t>
            </w:r>
          </w:p>
        </w:tc>
        <w:tc>
          <w:tcPr>
            <w:tcW w:w="1040" w:type="dxa"/>
          </w:tcPr>
          <w:p>
            <w:pPr>
              <w:jc w:val="center"/>
            </w:pPr>
            <w:r>
              <w:rPr>
                <w:sz w:val="20"/>
              </w:rPr>
              <w:t xml:space="preserve">0.70</w:t>
            </w:r>
          </w:p>
        </w:tc>
        <w:tc>
          <w:tcPr>
            <w:tcW w:w="1040" w:type="dxa"/>
          </w:tcPr>
          <w:p>
            <w:pPr>
              <w:jc w:val="center"/>
            </w:pPr>
            <w:r>
              <w:rPr>
                <w:sz w:val="20"/>
              </w:rPr>
              <w:t xml:space="preserve">0.40</w:t>
            </w:r>
          </w:p>
        </w:tc>
        <w:tc>
          <w:tcPr>
            <w:tcW w:w="1040" w:type="dxa"/>
          </w:tcPr>
          <w:p>
            <w:pPr>
              <w:jc w:val="center"/>
            </w:pPr>
            <w:r>
              <w:rPr>
                <w:sz w:val="20"/>
              </w:rPr>
              <w:t xml:space="preserve">0.24</w:t>
            </w:r>
          </w:p>
        </w:tc>
        <w:tc>
          <w:tcPr>
            <w:tcW w:w="1040" w:type="dxa"/>
          </w:tcPr>
          <w:p>
            <w:pPr>
              <w:jc w:val="center"/>
            </w:pPr>
            <w:r>
              <w:rPr>
                <w:sz w:val="20"/>
              </w:rPr>
              <w:t xml:space="preserve">Bal.</w:t>
            </w:r>
          </w:p>
        </w:tc>
      </w:tr>
    </w:tbl>
    <w:p/>
    <w:p/>
    <w:p>
      <w:r>
        <w:rPr>
          <w:b/>
        </w:rPr>
        <w:t xml:space="preserve">Table 2.</w:t>
      </w:r>
      <w:r>
        <w:t xml:space="preserve"> Mechanical properties of the base metal and filler materials.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w="1560" w:type="dxa"/>
            <w:shd w:val="clear" w:color="auto" w:fill="D9D9D9"/>
          </w:tcPr>
          <w:p>
            <w:pPr>
              <w:jc w:val="center"/>
            </w:pPr>
            <w:r>
              <w:rPr>
                <w:b/>
                <w:sz w:val="20"/>
              </w:rPr>
              <w:t xml:space="preserve">Material</w:t>
            </w:r>
          </w:p>
        </w:tc>
        <w:tc>
          <w:tcPr>
            <w:tcW w:w="1560" w:type="dxa"/>
            <w:shd w:val="clear" w:color="auto" w:fill="D9D9D9"/>
          </w:tcPr>
          <w:p>
            <w:pPr>
              <w:jc w:val="center"/>
            </w:pPr>
            <w:r>
              <w:rPr>
                <w:b/>
                <w:sz w:val="20"/>
              </w:rPr>
              <w:t xml:space="preserve">Yield strength (MPa)</w:t>
            </w:r>
          </w:p>
        </w:tc>
        <w:tc>
          <w:tcPr>
            <w:tcW w:w="1560" w:type="dxa"/>
            <w:shd w:val="clear" w:color="auto" w:fill="D9D9D9"/>
          </w:tcPr>
          <w:p>
            <w:pPr>
              <w:jc w:val="center"/>
            </w:pPr>
            <w:r>
              <w:rPr>
                <w:b/>
                <w:sz w:val="20"/>
              </w:rPr>
              <w:t xml:space="preserve">Tensile strength (MPa)</w:t>
            </w:r>
          </w:p>
        </w:tc>
        <w:tc>
          <w:tcPr>
            <w:tcW w:w="1560" w:type="dxa"/>
            <w:shd w:val="clear" w:color="auto" w:fill="D9D9D9"/>
          </w:tcPr>
          <w:p>
            <w:pPr>
              <w:jc w:val="center"/>
            </w:pPr>
            <w:r>
              <w:rPr>
                <w:b/>
                <w:sz w:val="20"/>
              </w:rPr>
              <w:t xml:space="preserve">Elongation (%)</w:t>
            </w:r>
          </w:p>
        </w:tc>
        <w:tc>
          <w:tcPr>
            <w:tcW w:w="1560" w:type="dxa"/>
            <w:shd w:val="clear" w:color="auto" w:fill="D9D9D9"/>
          </w:tcPr>
          <w:p>
            <w:pPr>
              <w:jc w:val="center"/>
            </w:pPr>
            <w:r>
              <w:rPr>
                <w:b/>
                <w:sz w:val="20"/>
              </w:rPr>
              <w:t xml:space="preserve">Hardness (HV)</w:t>
            </w:r>
          </w:p>
        </w:tc>
        <w:tc>
          <w:tcPr>
            <w:tcW w:w="1560" w:type="dxa"/>
            <w:shd w:val="clear" w:color="auto" w:fill="D9D9D9"/>
          </w:tcPr>
          <w:p>
            <w:pPr>
              <w:jc w:val="center"/>
            </w:pPr>
            <w:r>
              <w:rPr>
                <w:b/>
                <w:sz w:val="20"/>
              </w:rPr>
              <w:t xml:space="preserve">Impact toughness (J)</w:t>
            </w:r>
          </w:p>
        </w:tc>
      </w:tr>
      <w:tr>
        <w:tc>
          <w:tcPr>
            <w:tcW w:w="1560" w:type="dxa"/>
          </w:tcPr>
          <w:p>
            <w:pPr>
              <w:jc w:val="center"/>
            </w:pPr>
            <w:r>
              <w:rPr>
                <w:sz w:val="20"/>
              </w:rPr>
              <w:t xml:space="preserve">SS440 (base)</w:t>
            </w:r>
          </w:p>
        </w:tc>
        <w:tc>
          <w:tcPr>
            <w:tcW w:w="1560" w:type="dxa"/>
          </w:tcPr>
          <w:p>
            <w:pPr>
              <w:jc w:val="center"/>
            </w:pPr>
            <w:r>
              <w:rPr>
                <w:sz w:val="20"/>
              </w:rPr>
              <w:t xml:space="preserve">450</w:t>
            </w:r>
          </w:p>
        </w:tc>
        <w:tc>
          <w:tcPr>
            <w:tcW w:w="1560" w:type="dxa"/>
          </w:tcPr>
          <w:p>
            <w:pPr>
              <w:jc w:val="center"/>
            </w:pPr>
            <w:r>
              <w:rPr>
                <w:sz w:val="20"/>
              </w:rPr>
              <w:t xml:space="preserve">760</w:t>
            </w:r>
          </w:p>
        </w:tc>
        <w:tc>
          <w:tcPr>
            <w:tcW w:w="1560" w:type="dxa"/>
          </w:tcPr>
          <w:p>
            <w:pPr>
              <w:jc w:val="center"/>
            </w:pPr>
            <w:r>
              <w:rPr>
                <w:sz w:val="20"/>
              </w:rPr>
              <w:t xml:space="preserve">18</w:t>
            </w:r>
          </w:p>
        </w:tc>
        <w:tc>
          <w:tcPr>
            <w:tcW w:w="1560" w:type="dxa"/>
          </w:tcPr>
          <w:p>
            <w:pPr>
              <w:jc w:val="center"/>
            </w:pPr>
            <w:r>
              <w:rPr>
                <w:sz w:val="20"/>
              </w:rPr>
              <w:t xml:space="preserve">260</w:t>
            </w:r>
          </w:p>
        </w:tc>
        <w:tc>
          <w:tcPr>
            <w:tcW w:w="1560" w:type="dxa"/>
          </w:tcPr>
          <w:p>
            <w:pPr>
              <w:jc w:val="center"/>
            </w:pPr>
            <w:r>
              <w:rPr>
                <w:sz w:val="20"/>
              </w:rPr>
              <w:t xml:space="preserve">260</w:t>
            </w:r>
          </w:p>
        </w:tc>
      </w:tr>
      <w:tr>
        <w:tc>
          <w:tcPr>
            <w:tcW w:w="1560" w:type="dxa"/>
          </w:tcPr>
          <w:p>
            <w:pPr>
              <w:jc w:val="center"/>
            </w:pPr>
            <w:r>
              <w:rPr>
                <w:sz w:val="20"/>
              </w:rPr>
              <w:t xml:space="preserve">F309L</w:t>
            </w:r>
          </w:p>
        </w:tc>
        <w:tc>
          <w:tcPr>
            <w:tcW w:w="1560" w:type="dxa"/>
          </w:tcPr>
          <w:p>
            <w:pPr>
              <w:jc w:val="center"/>
            </w:pPr>
            <w:r>
              <w:rPr>
                <w:sz w:val="20"/>
              </w:rPr>
              <w:t xml:space="preserve">380</w:t>
            </w:r>
          </w:p>
        </w:tc>
        <w:tc>
          <w:tcPr>
            <w:tcW w:w="1560" w:type="dxa"/>
          </w:tcPr>
          <w:p>
            <w:pPr>
              <w:jc w:val="center"/>
            </w:pPr>
            <w:r>
              <w:rPr>
                <w:sz w:val="20"/>
              </w:rPr>
              <w:t xml:space="preserve">590</w:t>
            </w:r>
          </w:p>
        </w:tc>
        <w:tc>
          <w:tcPr>
            <w:tcW w:w="1560" w:type="dxa"/>
          </w:tcPr>
          <w:p>
            <w:pPr>
              <w:jc w:val="center"/>
            </w:pPr>
            <w:r>
              <w:rPr>
                <w:sz w:val="20"/>
              </w:rPr>
              <w:t xml:space="preserve">35</w:t>
            </w:r>
          </w:p>
        </w:tc>
        <w:tc>
          <w:tcPr>
            <w:tcW w:w="1560" w:type="dxa"/>
          </w:tcPr>
          <w:p>
            <w:pPr>
              <w:jc w:val="center"/>
            </w:pPr>
            <w:r>
              <w:rPr>
                <w:sz w:val="20"/>
              </w:rPr>
              <w:t xml:space="preserve">200</w:t>
            </w:r>
          </w:p>
        </w:tc>
        <w:tc>
          <w:tcPr>
            <w:tcW w:w="1560" w:type="dxa"/>
          </w:tcPr>
          <w:p>
            <w:pPr>
              <w:jc w:val="center"/>
            </w:pPr>
            <w:r>
              <w:rPr>
                <w:sz w:val="20"/>
              </w:rPr>
              <w:t xml:space="preserve">230</w:t>
            </w:r>
          </w:p>
        </w:tc>
      </w:tr>
      <w:tr>
        <w:tc>
          <w:tcPr>
            <w:tcW w:w="1560" w:type="dxa"/>
          </w:tcPr>
          <w:p>
            <w:pPr>
              <w:jc w:val="center"/>
            </w:pPr>
            <w:r>
              <w:rPr>
                <w:sz w:val="20"/>
              </w:rPr>
              <w:t xml:space="preserve">F410</w:t>
            </w:r>
          </w:p>
        </w:tc>
        <w:tc>
          <w:tcPr>
            <w:tcW w:w="1560" w:type="dxa"/>
          </w:tcPr>
          <w:p>
            <w:pPr>
              <w:jc w:val="center"/>
            </w:pPr>
            <w:r>
              <w:rPr>
                <w:sz w:val="20"/>
              </w:rPr>
              <w:t xml:space="preserve">450</w:t>
            </w:r>
          </w:p>
        </w:tc>
        <w:tc>
          <w:tcPr>
            <w:tcW w:w="1560" w:type="dxa"/>
          </w:tcPr>
          <w:p>
            <w:pPr>
              <w:jc w:val="center"/>
            </w:pPr>
            <w:r>
              <w:rPr>
                <w:sz w:val="20"/>
              </w:rPr>
              <w:t xml:space="preserve">690</w:t>
            </w:r>
          </w:p>
        </w:tc>
        <w:tc>
          <w:tcPr>
            <w:tcW w:w="1560" w:type="dxa"/>
          </w:tcPr>
          <w:p>
            <w:pPr>
              <w:jc w:val="center"/>
            </w:pPr>
            <w:r>
              <w:rPr>
                <w:sz w:val="20"/>
              </w:rPr>
              <w:t xml:space="preserve">20</w:t>
            </w:r>
          </w:p>
        </w:tc>
        <w:tc>
          <w:tcPr>
            <w:tcW w:w="1560" w:type="dxa"/>
          </w:tcPr>
          <w:p>
            <w:pPr>
              <w:jc w:val="center"/>
            </w:pPr>
            <w:r>
              <w:rPr>
                <w:sz w:val="20"/>
              </w:rPr>
              <w:t xml:space="preserve">350</w:t>
            </w:r>
          </w:p>
        </w:tc>
        <w:tc>
          <w:tcPr>
            <w:tcW w:w="1560" w:type="dxa"/>
          </w:tcPr>
          <w:p>
            <w:pPr>
              <w:jc w:val="center"/>
            </w:pPr>
            <w:r>
              <w:rPr>
                <w:sz w:val="20"/>
              </w:rPr>
              <w:t xml:space="preserve">240</w:t>
            </w:r>
          </w:p>
        </w:tc>
      </w:tr>
      <w:tr>
        <w:tc>
          <w:tcPr>
            <w:tcW w:w="1560" w:type="dxa"/>
          </w:tcPr>
          <w:p>
            <w:pPr>
              <w:jc w:val="center"/>
            </w:pPr>
            <w:r>
              <w:rPr>
                <w:sz w:val="20"/>
              </w:rPr>
              <w:t xml:space="preserve">F2594</w:t>
            </w:r>
          </w:p>
        </w:tc>
        <w:tc>
          <w:tcPr>
            <w:tcW w:w="1560" w:type="dxa"/>
          </w:tcPr>
          <w:p>
            <w:pPr>
              <w:jc w:val="center"/>
            </w:pPr>
            <w:r>
              <w:rPr>
                <w:sz w:val="20"/>
              </w:rPr>
              <w:t xml:space="preserve">550</w:t>
            </w:r>
          </w:p>
        </w:tc>
        <w:tc>
          <w:tcPr>
            <w:tcW w:w="1560" w:type="dxa"/>
          </w:tcPr>
          <w:p>
            <w:pPr>
              <w:jc w:val="center"/>
            </w:pPr>
            <w:r>
              <w:rPr>
                <w:sz w:val="20"/>
              </w:rPr>
              <w:t xml:space="preserve">760</w:t>
            </w:r>
          </w:p>
        </w:tc>
        <w:tc>
          <w:tcPr>
            <w:tcW w:w="1560" w:type="dxa"/>
          </w:tcPr>
          <w:p>
            <w:pPr>
              <w:jc w:val="center"/>
            </w:pPr>
            <w:r>
              <w:rPr>
                <w:sz w:val="20"/>
              </w:rPr>
              <w:t xml:space="preserve">25</w:t>
            </w:r>
          </w:p>
        </w:tc>
        <w:tc>
          <w:tcPr>
            <w:tcW w:w="1560" w:type="dxa"/>
          </w:tcPr>
          <w:p>
            <w:pPr>
              <w:jc w:val="center"/>
            </w:pPr>
            <w:r>
              <w:rPr>
                <w:sz w:val="20"/>
              </w:rPr>
              <w:t xml:space="preserve">300</w:t>
            </w:r>
          </w:p>
        </w:tc>
        <w:tc>
          <w:tcPr>
            <w:tcW w:w="1560" w:type="dxa"/>
          </w:tcPr>
          <w:p>
            <w:pPr>
              <w:jc w:val="center"/>
            </w:pPr>
            <w:r>
              <w:rPr>
                <w:sz w:val="20"/>
              </w:rPr>
              <w:t xml:space="preserve">280</w:t>
            </w:r>
          </w:p>
        </w:tc>
      </w:tr>
    </w:tbl>
    <w:p/>
    <w:p/>
    <w:p>
      <w:r>
        <w:t xml:space="preserve">The parameters of MIG welding were selected by integrating guidelines of welding for martensitic stainless steels along with preliminary trials. Experiments were conducted with DCEP (direct current electrode positive) polarity, and a shielding gas flow rate was taken as 7 L/min to ensure the stability of the arc and atmospheric protection. The welding parameters used for the root pass and filler passes are summarized in Table 3.</w:t>
      </w:r>
    </w:p>
    <w:p/>
    <w:p>
      <w:r>
        <w:rPr>
          <w:b/>
        </w:rPr>
        <w:t xml:space="preserve">Table 3.</w:t>
      </w:r>
      <w:r>
        <w:t xml:space="preserve"> MIG welding process parameters.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w="4680" w:type="dxa"/>
            <w:shd w:val="clear" w:color="auto" w:fill="D9D9D9"/>
          </w:tcPr>
          <w:p>
            <w:pPr>
              <w:jc w:val="center"/>
            </w:pPr>
            <w:r>
              <w:rPr>
                <w:b/>
                <w:sz w:val="20"/>
              </w:rPr>
              <w:t xml:space="preserve">Welding parameter</w:t>
            </w:r>
          </w:p>
        </w:tc>
        <w:tc>
          <w:tcPr>
            <w:tcW w:w="4680" w:type="dxa"/>
            <w:shd w:val="clear" w:color="auto" w:fill="D9D9D9"/>
          </w:tcPr>
          <w:p>
            <w:pPr>
              <w:jc w:val="center"/>
            </w:pPr>
            <w:r>
              <w:rPr>
                <w:b/>
                <w:sz w:val="20"/>
              </w:rPr>
              <w:t xml:space="preserve">Value / Description</w:t>
            </w:r>
          </w:p>
        </w:tc>
      </w:tr>
      <w:tr>
        <w:tc>
          <w:tcPr>
            <w:tcW w:w="4680" w:type="dxa"/>
          </w:tcPr>
          <w:p>
            <w:pPr>
              <w:jc w:val="center"/>
            </w:pPr>
            <w:r>
              <w:rPr>
                <w:sz w:val="20"/>
              </w:rPr>
              <w:t xml:space="preserve">Flow rate of shielding gas</w:t>
            </w:r>
          </w:p>
        </w:tc>
        <w:tc>
          <w:tcPr>
            <w:tcW w:w="4680" w:type="dxa"/>
          </w:tcPr>
          <w:p>
            <w:pPr>
              <w:jc w:val="center"/>
            </w:pPr>
            <w:r>
              <w:rPr>
                <w:sz w:val="20"/>
              </w:rPr>
              <w:t xml:space="preserve">7 L/min</w:t>
            </w:r>
          </w:p>
        </w:tc>
      </w:tr>
      <w:tr>
        <w:tc>
          <w:tcPr>
            <w:tcW w:w="4680" w:type="dxa"/>
          </w:tcPr>
          <w:p>
            <w:pPr>
              <w:jc w:val="center"/>
            </w:pPr>
            <w:r>
              <w:rPr>
                <w:sz w:val="20"/>
              </w:rPr>
              <w:t xml:space="preserve">Root pass voltage (V)</w:t>
            </w:r>
          </w:p>
        </w:tc>
        <w:tc>
          <w:tcPr>
            <w:tcW w:w="4680" w:type="dxa"/>
          </w:tcPr>
          <w:p>
            <w:pPr>
              <w:jc w:val="center"/>
            </w:pPr>
            <w:r>
              <w:rPr>
                <w:sz w:val="20"/>
              </w:rPr>
              <w:t xml:space="preserve">14</w:t>
            </w:r>
          </w:p>
        </w:tc>
      </w:tr>
      <w:tr>
        <w:tc>
          <w:tcPr>
            <w:tcW w:w="4680" w:type="dxa"/>
          </w:tcPr>
          <w:p>
            <w:pPr>
              <w:jc w:val="center"/>
            </w:pPr>
            <w:r>
              <w:rPr>
                <w:sz w:val="20"/>
              </w:rPr>
              <w:t xml:space="preserve">Root pass current (A)</w:t>
            </w:r>
          </w:p>
        </w:tc>
        <w:tc>
          <w:tcPr>
            <w:tcW w:w="4680" w:type="dxa"/>
          </w:tcPr>
          <w:p>
            <w:pPr>
              <w:jc w:val="center"/>
            </w:pPr>
            <w:r>
              <w:rPr>
                <w:sz w:val="20"/>
              </w:rPr>
              <w:t xml:space="preserve">150</w:t>
            </w:r>
          </w:p>
        </w:tc>
      </w:tr>
      <w:tr>
        <w:tc>
          <w:tcPr>
            <w:tcW w:w="4680" w:type="dxa"/>
          </w:tcPr>
          <w:p>
            <w:pPr>
              <w:jc w:val="center"/>
            </w:pPr>
            <w:r>
              <w:rPr>
                <w:sz w:val="20"/>
              </w:rPr>
              <w:t xml:space="preserve">Welding speed during root pass (mm/min)</w:t>
            </w:r>
          </w:p>
        </w:tc>
        <w:tc>
          <w:tcPr>
            <w:tcW w:w="4680" w:type="dxa"/>
          </w:tcPr>
          <w:p>
            <w:pPr>
              <w:jc w:val="center"/>
            </w:pPr>
            <w:r>
              <w:rPr>
                <w:sz w:val="20"/>
              </w:rPr>
              <w:t xml:space="preserve">90</w:t>
            </w:r>
          </w:p>
        </w:tc>
      </w:tr>
      <w:tr>
        <w:tc>
          <w:tcPr>
            <w:tcW w:w="4680" w:type="dxa"/>
          </w:tcPr>
          <w:p>
            <w:pPr>
              <w:jc w:val="center"/>
            </w:pPr>
            <w:r>
              <w:rPr>
                <w:sz w:val="20"/>
              </w:rPr>
              <w:t xml:space="preserve">Avg. heat input (kJ/mm) during root pass</w:t>
            </w:r>
          </w:p>
        </w:tc>
        <w:tc>
          <w:tcPr>
            <w:tcW w:w="4680" w:type="dxa"/>
          </w:tcPr>
          <w:p>
            <w:pPr>
              <w:jc w:val="center"/>
            </w:pPr>
            <w:r>
              <w:rPr>
                <w:sz w:val="20"/>
              </w:rPr>
              <w:t xml:space="preserve">0.84</w:t>
            </w:r>
          </w:p>
        </w:tc>
      </w:tr>
      <w:tr>
        <w:tc>
          <w:tcPr>
            <w:tcW w:w="4680" w:type="dxa"/>
          </w:tcPr>
          <w:p>
            <w:pPr>
              <w:jc w:val="center"/>
            </w:pPr>
            <w:r>
              <w:rPr>
                <w:sz w:val="20"/>
              </w:rPr>
              <w:t xml:space="preserve">Filler pass voltage (V)</w:t>
            </w:r>
          </w:p>
        </w:tc>
        <w:tc>
          <w:tcPr>
            <w:tcW w:w="4680" w:type="dxa"/>
          </w:tcPr>
          <w:p>
            <w:pPr>
              <w:jc w:val="center"/>
            </w:pPr>
            <w:r>
              <w:rPr>
                <w:sz w:val="20"/>
              </w:rPr>
              <w:t xml:space="preserve">12</w:t>
            </w:r>
          </w:p>
        </w:tc>
      </w:tr>
      <w:tr>
        <w:tc>
          <w:tcPr>
            <w:tcW w:w="4680" w:type="dxa"/>
          </w:tcPr>
          <w:p>
            <w:pPr>
              <w:jc w:val="center"/>
            </w:pPr>
            <w:r>
              <w:rPr>
                <w:sz w:val="20"/>
              </w:rPr>
              <w:t xml:space="preserve">Filler pass current (A)</w:t>
            </w:r>
          </w:p>
        </w:tc>
        <w:tc>
          <w:tcPr>
            <w:tcW w:w="4680" w:type="dxa"/>
          </w:tcPr>
          <w:p>
            <w:pPr>
              <w:jc w:val="center"/>
            </w:pPr>
            <w:r>
              <w:rPr>
                <w:sz w:val="20"/>
              </w:rPr>
              <w:t xml:space="preserve">135</w:t>
            </w:r>
          </w:p>
        </w:tc>
      </w:tr>
      <w:tr>
        <w:tc>
          <w:tcPr>
            <w:tcW w:w="4680" w:type="dxa"/>
          </w:tcPr>
          <w:p>
            <w:pPr>
              <w:jc w:val="center"/>
            </w:pPr>
            <w:r>
              <w:rPr>
                <w:sz w:val="20"/>
              </w:rPr>
              <w:t xml:space="preserve">Filler pass welding speed (mm/min)</w:t>
            </w:r>
          </w:p>
        </w:tc>
        <w:tc>
          <w:tcPr>
            <w:tcW w:w="4680" w:type="dxa"/>
          </w:tcPr>
          <w:p>
            <w:pPr>
              <w:jc w:val="center"/>
            </w:pPr>
            <w:r>
              <w:rPr>
                <w:sz w:val="20"/>
              </w:rPr>
              <w:t xml:space="preserve">80</w:t>
            </w:r>
          </w:p>
        </w:tc>
      </w:tr>
      <w:tr>
        <w:tc>
          <w:tcPr>
            <w:tcW w:w="4680" w:type="dxa"/>
          </w:tcPr>
          <w:p>
            <w:pPr>
              <w:jc w:val="center"/>
            </w:pPr>
            <w:r>
              <w:rPr>
                <w:sz w:val="20"/>
              </w:rPr>
              <w:t xml:space="preserve">Filler pass avg. heat input (kJ/mm)</w:t>
            </w:r>
          </w:p>
        </w:tc>
        <w:tc>
          <w:tcPr>
            <w:tcW w:w="4680" w:type="dxa"/>
          </w:tcPr>
          <w:p>
            <w:pPr>
              <w:jc w:val="center"/>
            </w:pPr>
            <w:r>
              <w:rPr>
                <w:sz w:val="20"/>
              </w:rPr>
              <w:t xml:space="preserve">0.729</w:t>
            </w:r>
          </w:p>
        </w:tc>
      </w:tr>
      <w:tr>
        <w:tc>
          <w:tcPr>
            <w:tcW w:w="4680" w:type="dxa"/>
          </w:tcPr>
          <w:p>
            <w:pPr>
              <w:jc w:val="center"/>
            </w:pPr>
            <w:r>
              <w:rPr>
                <w:sz w:val="20"/>
              </w:rPr>
              <w:t xml:space="preserve">Cumulative heat input (kJ/mm)</w:t>
            </w:r>
          </w:p>
        </w:tc>
        <w:tc>
          <w:tcPr>
            <w:tcW w:w="4680" w:type="dxa"/>
          </w:tcPr>
          <w:p>
            <w:pPr>
              <w:jc w:val="center"/>
            </w:pPr>
            <w:r>
              <w:rPr>
                <w:sz w:val="20"/>
              </w:rPr>
              <w:t xml:space="preserve">2.98</w:t>
            </w:r>
          </w:p>
        </w:tc>
      </w:tr>
    </w:tbl>
    <w:p/>
    <w:p/>
    <w:p>
      <w:r>
        <w:t xml:space="preserve">In order to quantify the energy input during welding, values of heat input were calculated using Eq. (1).</w:t>
      </w:r>
    </w:p>
    <w:p/>
    <w:p>
      <w:r>
        <w:t xml:space="preserve">Heat Input (kJ/mm) = (η × V × I) / (S × 1000)     (1)</w:t>
      </w:r>
    </w:p>
    <w:p/>
    <w:p>
      <w:r>
        <w:t xml:space="preserve">where η = arc efficiency (taken as 0.8), V = voltage, I = current in amperes, and S = welding speed in mm/sec. The arc efficiency value of η = 0.8 was chosen by referring to established literature for the Gas Metal Arc Welding (GMAW/MIG) process. Dupont determined that arc efficiencies should range between 0.75–0.85 for MIG welding [22]. Recommended ranges of other parameters such as voltage, current and travel speed were also taken as per reports from literature corresponding to MIG welding of 12 mm thick martensitic stainless steel [12,23].</w:t>
      </w:r>
    </w:p>
    <w:p/>
    <w:p>
      <w:r>
        <w:t xml:space="preserve">To conduct the welding trials, first of all, a plate of AISI grade SS440 stainless steel with dimensions 300 mm × 75 mm × 12 mm was machined to produce a single V groove with a 60° angle and a root gap of 2 mm in order to maintain joint integrity and to ensure adequate penetration, as shown in Fig. 1. Afterwards, butt joints were fabricated using MIG welding as shown in Fig. 2. MIG was selected owing to its ease of use in industry, high deposition rates, stable arc performance and ease of automation. Prior to welding, all surfaces were properly cleaned to remove the contaminants (oxides and oils). Each trial was conducted 3 times in order to ensure the accuracy of results. Hence a total of 9 weld coupons were manufactured (3 coupons per filler metal type).</w:t>
      </w:r>
    </w:p>
    <w:p/>
    <w:p>
      <w:r>
        <w:t xml:space="preserve">After the welding operation, specimens were prepared to perform various tests. To perform the Charpy impact test at the fusion zone (FZ) and heat affected zone (HAZ), two specimens were prepared per coupon with dimensions of 55 mm × 10 mm × 10 mm. Then a V-groove is cut at the centre at an angle of 45°, as shown in Fig. 3. To study the microstructure, transverse weld specimens with dimensions of 25 mm × 10 mm × 10 mm were cut from each coupon. In order to obtain a mirror-like surface, the sample was polished sequentially with emery papers (grit: 100, 150, 400, 800, 1200, 1500, 2000 and 3000) and finally polished using a 0.3 µm alumina suspension. Before conducting the microstructural studies on an inverted metallurgical microscope and scanning electron microscope, the specimen was etched chemically in a solution of 10% oxalic acid so that grain boundaries were exposed properly.</w:t>
      </w:r>
    </w:p>
    <w:p/>
    <w:p>
      <w:pPr>
        <w:pStyle w:val="Heading2"/>
      </w:pPr>
      <w:r>
        <w:rPr>
          <w:b/>
          <w:sz w:val="24"/>
          <w:szCs w:val="24"/>
        </w:rPr>
        <w:t xml:space="preserve">2.1 Microstructural and Mechanical Characterization</w:t>
      </w:r>
    </w:p>
    <w:p/>
    <w:p>
      <w:r>
        <w:t xml:space="preserve">A metallographic specimen having all the important weld regions (base metal (BM), heat affected zone (HAZ), fusion zone (FZ)) in a single plane was prepared for this purpose. The samples were gradually ground on silicon carbide abrasive papers of grades 400 to 1200, then polished in alumina suspension (0.3 µm) in distilled water to give a mirror-like surface finish. The electrochemical etching was carried out on the microstructural study of AISI 440 martensitic stainless steel welds in Nital reagent at a current density of 1.6 A/cm² and a DC voltage of 6 V for 10–15 s. This etching procedure improved grain boundary visibility and allowed visualisation of secondary phase constituents in the weld microstructure. Microstructural analysis was performed using optical microscopy (OM) with a Dewinter metallurgical microscope, together with SEM for detailed morphological and phase analysis. The microstructure of the welds was analyzed in detail with special attention to features that had developed during the welding process, such as columnar dendritic structures, the occurrence of phase transformations in the fusion zone, as well as grain coarsening and carbide precipitation formed in the HAZ due to the large difference in temperature during welding.</w:t>
      </w:r>
    </w:p>
    <w:p/>
    <w:p>
      <w:r>
        <w:t xml:space="preserve">The mechanical property tests of welded joints were performed using Vickers microhardness and Charpy impact tests. For the transverse cross-section of the weld, microhardness plotting was performed using a loading force of 500 gf and a loading dwell time of 10 s. Indentations were made across the BM, HAZ and weld zone (WZ) at intervals of 0.25 mm to get a continuous hardness distribution profile across the microstructural gradient. The impact toughness was estimated by the Charpy V-notch method in accordance with ASTM E23 / ISO 148-1. Standard specimens of 55 mm × 10 mm × 10 mm with a 2 mm deep V notch of 45° angle and 0.25 mm root radius were cut from all regions of BM, HAZ and FZ. The notch position was chosen carefully to ensure it was set in the middle of the FZ for weld metal specimens and in the near vicinity of the fusion boundary for HAZ specimens within the coarse-grained HAZ. To relate the absorbed impact energy to the fracture morphology and failure mechanisms, post-fracture fractography was also conducted with SEM, which would allow a relationship between the microstructural evolution and the dynamic load bearing behaviour of the welded joints to be developed.</w:t>
      </w:r>
    </w:p>
    <w:p/>
    <w:p>
      <w:pPr>
        <w:pStyle w:val="Heading1"/>
      </w:pPr>
      <w:r>
        <w:rPr>
          <w:b/>
          <w:sz w:val="28"/>
          <w:szCs w:val="28"/>
        </w:rPr>
        <w:t xml:space="preserve">3. Results and Discussion</w:t>
      </w:r>
    </w:p>
    <w:p/>
    <w:p>
      <w:r>
        <w:t xml:space="preserve">The Schaeffler constitution diagram shown in Fig. 4(a) was used to predict stainless steel weld microstructures using chromium equivalent (Creq) and nickel equivalent (Nieq) values. The alloy positions were determined from the compositions listed in Table 1. SS440 (Creq ≈ 20 and Nieq ≈ 28) lies in the primary austenite (A) region because its high carbon content strongly promotes austenite formation. F309L (Creq ≈ 25.05 and Nieq ≈ 17.2) and F2594 (Creq ≈ 29.75 and Nieq ≈ 18.4) are located in the austenite + ferrite (A + F) region, indicating mixed microstructures containing both ferrite and austenite phases. In contrast, F410 (Creq ≈ 13.4 and Nieq ≈ 4.2) falls within the martensite + ferrite (M + F) region, predicting predominantly martensitic weld metal formation. The mode of solidification is also predicted by the pseudo-binary solidification diagram, given in Fig. 4(b), by the Creq/Nieq ratio. The solidification mode of SS440 (0.72) is austenitic (A), and F309L (1.46) is austenitic–ferritic (AF). F2594 with a ratio of 1.62 solidifies in a ferritic–austenitic (FA) mode, and F410 with a ratio of 3.19 solidifies as fully ferritic (F). Such differences in the solidification mode profoundly affect the welds' final solidification structure, hardness and toughness properties [24].</w:t>
      </w:r>
    </w:p>
    <w:p/>
    <w:p>
      <w:r>
        <w:t xml:space="preserve">The microhardness distribution obtained and shown in Fig. 5 supports the phase constitution predicted by the Schaeffler and pseudo-binary diagrams shown in Fig. 4. F410 had a higher weld zone hardness (around 345–365 VHN) in the fusion zone (0–2 mm from weld center) than the other two filler metals. The high hardness is believed to result from the formation of carbon supersaturated martensite in the weld metal during the fast cooling rate that is indicative of martensitic stainless steel with low nickel content [25,26,27]. The duplex ferritic-austenitic structure, captured by the ferritic–austenitic (FA) solidification mode of F2594, resulted in intermediate hardness values ranging between 285–310 VHN [28,29,30]. The hardness of the weld zone for F309L was, on the other hand, the lowest at nearly 195–220 VHN due to the presence of soft F.C.C. austenite and absence of a martensitic transformation [31,32,33].</w:t>
      </w:r>
    </w:p>
    <w:p/>
    <w:p>
      <w:r>
        <w:t xml:space="preserve">Hardness values were found to be close to the base metal hardness of ~155–170 VHN in the HAZ region at a distance of ~2.1–2.3 mm from the weld center. The softening response is known to be related to carbide coarsening and over-tempering resulting from the multiple heating and cooling associated with multi-pass welding [26,27,34]. The impact toughness values shown in Fig. 6 also support the variation in the observed microstructures and hardness values. The impact toughness of F2594 in the fusion zone (FZ) (~275 J) and HAZ (~290 J) was the highest and was better than the base metal toughness (~260 J). The enhanced toughness is explained as being due to the crack-arresting property of the ferrite-austenite phase interfaces in the duplex structure [30,35,36]. The impact toughness of F410 showed intermediate values (~237 J in FZ and ~252 J in HAZ), commonly observed in the limited toughness of martensitic weld structures [4,11]. F309L exhibited lower impact toughness (~228 J at FZ and ~223 J at HAZ), primarily because intermetallic precipitation and thermal cycling effects occurred in the austenitic weld matrix during the multi-pass welding [31,32,33,37]. In all filler materials, the HAZ had slightly higher or the same toughness as the fusion zone. This behaviour reveals that the interpass temperature of 150 °C used in the present study is appropriate for tempering the HAZ and alleviating the residual stress concentration in the thermally affected zone [26,34,36].</w:t>
      </w:r>
    </w:p>
    <w:p/>
    <w:p>
      <w:r>
        <w:t xml:space="preserve">The fractographic analysis in Fig. 7 gives an understanding of the fracture behaviour in the fusion zone (FZ) and heat affected zone (HAZ) of the SS440 weldments obtained by using three different filler metals. When combined with impact strength measurements (Fig. 6) and hardness profiles (Fig. 5), a consistent picture of the relationships between phases, fracture, and properties emerges. The FZ fracture surface in Fig. 7(a) of the F309L weld exhibits well-developed deep dimples and a clear cellular dimple pattern at ×1,000, which are unambiguous characteristics of ductile microvoid coalescence (MVC) fracture that originated at fine intermetallic precipitate sites within the austenitic weld matrix. This cellular pattern is characteristic of the nucleation and growth of microvoids followed by coalescence at a fine dispersed intermetallic precipitate that can be seen inside the austenite matrix in Fig. 8(a) and is consistent with the prediction of an AF solidification mode for F309L from Fig. 4(b) [31].</w:t>
      </w:r>
    </w:p>
    <w:p/>
    <w:p>
      <w:r>
        <w:t xml:space="preserve">For F309L, the HAZ fracture surface in Fig. 7(b) changes to a wave-like undulating morphology with granular features, which is characteristic of a mixed ductile–brittle fracture mode near the partially transformed base metal. This behaviour is related to chromium-rich carbide precipitation at grain boundaries, which is evidenced by the SEM microstructure in Fig. 8(b) [32]. The mixed fracture mode accounts for the slight decrease in impact strength for the HAZ (~223 J) compared to the FZ (~228 J), and the comparatively low hardness (195–220 VHN) is due to the predominant austenitic matrix with reasonable toughness [38]. The FZ fracture surface shown in Fig. 7(c) exhibits rough and granular features with irregular morphologies at ×1,500, typical of quasi-cleavage fracture and brittle intergranular fracture in a weld structure containing a high proportion of martensite for the F410 weld system. This microstructure is a result of F410 being in the M + F region of the Schaeffler diagram with a high Creq/Nieq ratio of 3.19.</w:t>
      </w:r>
    </w:p>
    <w:p/>
    <w:p>
      <w:r>
        <w:t xml:space="preserve">The SEM microstructure (Fig. 8(c)) of the corresponding sample shows precipitates which have formed at the grain boundaries, fine intermetallic particles and coarser intermetallic clusters distributed in the martensitic matrix. These precipitates, which form because of the rapid cooling during the multi-pass welding, serve as preferential crack initiation sites and directly contribute to the quasi-cleavage fracture appearance and reduced FZ impact strength (~237 J) [37]. The HAZ fracture surface in Fig. 7(d) also shows a well-developed cleavage-like appearance at ×2,500 magnification, which indicates continued brittle fracture in the heat affected zone. In the partially tempered martensitic matrix, secondary intermetallic phases and fine precipitates are seen in the SEM images in Fig. 8(d). This martensitic microstructure and brittle fracture response is well matched to the extremely high hardness (345–365 VHN) of the weld, as high hardness and lowered toughness are intrinsic characteristics of carbon-supersaturated martensitic stainless steel welds [36].</w:t>
      </w:r>
    </w:p>
    <w:p/>
    <w:p>
      <w:r>
        <w:t xml:space="preserve">The F2594 weld system shows the most favourable combination of the investigated fillers in terms of microstructure, fracture characteristics and mechanical performance. The FZ fracture surface shown in Fig. 7(e) is at ×1,500 magnification and features a highly uniform and finely interconnected cellular dimple network, which is characteristic of fully ductile MVC fracture with high energy absorption capacity. The duplex austenitic–ferritic microstructure offers several crack deflection interfaces and phase-boundary blunting mechanisms that favour this fracture mode [26]. The SEM microstructure in Fig. 8(e) indicates that the columnar dendrites and needle-like ferritic structures that formed during FA-mode solidification (Creq/Nieq = 1.62) are well-developed and there is no coarse clustering of intermetallic precipitate that could trigger cracking [30].</w:t>
      </w:r>
    </w:p>
    <w:p/>
    <w:p>
      <w:r>
        <w:t xml:space="preserve">The austenite islands that appear in the ferritic dendritic matrix provide the primary toughening mechanism by slowing the propagation of cracks through localized plastic deformation, as has been widely reported in ER2594 weld deposits [28]. After thermal cycling, the HAZ fracture surface shown in Fig. 7(f) exhibits a mixed morphology with tearing ridges and locally ductile fracture characteristics, indicating that most of the material was still ductile. In agreement, the SEM microstructures in Fig. 8(f) show needle-like dendrites with fine secondary precipitates in interdendritic areas which are identified as secondary austenite (γ₂) produced by solid-state transformation on cooling [29]. The aforementioned features directly account for the highest impact strength values found for the F2594 welds (~275 J in the FZ and ~290 J in the HAZ), the first being higher than the base metal (~260 J), and the intermediate hardness range (285–310 VHN) that corresponds to a balanced duplex constitution [39]. Thus, the overall correlation between the predicted solidification mode, precipitate morphology, fracture mode and mechanical response clearly indicates that F2594 is the most suitable filler metal for the SS440 weldments in terms of providing superior toughness, moderate hardness and a stable ductile fracture mode in both the FZ and the HAZ of the weldments [40,41,42,43].</w:t>
      </w:r>
    </w:p>
    <w:p/>
    <w:p>
      <w:pPr>
        <w:pStyle w:val="Heading1"/>
      </w:pPr>
      <w:r>
        <w:rPr>
          <w:b/>
          <w:sz w:val="28"/>
          <w:szCs w:val="28"/>
        </w:rPr>
        <w:t xml:space="preserve">4. Conclusion</w:t>
      </w:r>
    </w:p>
    <w:p/>
    <w:p>
      <w:pPr>
        <w:pStyle w:val="ListBullet"/>
      </w:pPr>
      <w:r>
        <w:t xml:space="preserve">The Schaeffler constitution diagram and pseudo-binary solidification analysis were able to successfully predict the weld metal microstructures and solidification behaviour of SS440 welds made with F309L, F410 and F2594 filler metals. The solidification modes in F309L and F2594 were austenitic–ferritic and ferritic–austenitic respectively, whereas F410 solidified mostly in ferritic mode, resulting in martensitic weld metal during cooling.</w:t>
      </w:r>
    </w:p>
    <w:p>
      <w:pPr>
        <w:pStyle w:val="ListBullet"/>
      </w:pPr>
      <w:r>
        <w:t xml:space="preserve">The microstructural study of the fusion zone (FZ) and heat affected zone (HAZ) showed the presence of columnar dendrites, ferrite–austenite duplex structure, martensitic areas, carbide precipitation and intermetallic phases, which resulted from the multi-pass welding thermal cycles.</w:t>
      </w:r>
    </w:p>
    <w:p>
      <w:pPr>
        <w:pStyle w:val="ListBullet"/>
      </w:pPr>
      <w:r>
        <w:t xml:space="preserve">The highest hardness values (345–365 VHN) were seen in the weld metal F410 as it formed carbon supersaturated martensite and had low nickel content, which led to a hard and brittle martensitic structure.</w:t>
      </w:r>
    </w:p>
    <w:p>
      <w:pPr>
        <w:pStyle w:val="ListBullet"/>
      </w:pPr>
      <w:r>
        <w:t xml:space="preserve">The F309L weld metal had the lowest hardness (195–220 VHN) as it consisted mainly of soft FCC austenite without martensitic transformation, whereas the F2594 had intermediate hardness values (285–310 VHN) with a balanced duplex ferrite–austenite microstructure.</w:t>
      </w:r>
    </w:p>
    <w:p>
      <w:pPr>
        <w:pStyle w:val="ListBullet"/>
      </w:pPr>
      <w:r>
        <w:t xml:space="preserve">The Charpy impact tests showed that the F2594 welds had the highest measured toughness, equivalent to 275 J in the fusion zone and 290 J in the HAZ, which were higher than the base metal. This improvement was attributed to the crack-arresting property of the ferrite–austenite phase boundaries in the duplex structure.</w:t>
      </w:r>
    </w:p>
    <w:p>
      <w:pPr>
        <w:pStyle w:val="ListBullet"/>
      </w:pPr>
      <w:r>
        <w:t xml:space="preserve">The fracture of F2594 welds was found to be mostly ductile microvoid coalescence fracture, and the fracture of F410 welds was found to be quasi-cleavage and brittle fracture due to martensitic microstructures and intermetallic precipitates. Carbide precipitation and thermal cycling effects were observed and resulted in mixed ductile–brittle fracture behaviour of F309L welds.</w:t>
      </w:r>
    </w:p>
    <w:p>
      <w:pPr>
        <w:pStyle w:val="ListBullet"/>
      </w:pPr>
      <w:r>
        <w:t xml:space="preserve">In general, F2594 has the best performance in terms of the combination of moderate hardness, high impact toughness, stable ductile fracture and a balanced duplex microstructure, so it is the most appropriate filler metal for the multi-pass welding of SS440 martensitic stainless steel.</w:t>
      </w:r>
    </w:p>
    <w:p/>
    <w:p>
      <w:pPr>
        <w:pStyle w:val="Heading1"/>
      </w:pPr>
      <w:r>
        <w:rPr>
          <w:b/>
          <w:sz w:val="28"/>
          <w:szCs w:val="28"/>
        </w:rPr>
        <w:t xml:space="preserve">References</w:t>
      </w:r>
    </w:p>
    <w:p/>
    <w:p>
      <w:r>
        <w:t xml:space="preserve">[1] R. Khan, U. Das, A.K. Pathak, D. Tiwari, Study of microstructure and mechanical properties of ferritic stainless steel (AISI 430) weldment using ER309L and ER430 electrodes by MIG welding process, International Journal of Engineering Research and Technology 5 (2016).</w:t>
      </w:r>
    </w:p>
    <w:p/>
    <w:p>
      <w:r>
        <w:t xml:space="preserve">[2] M.F. Mamat, E. Hamzah, Z. Ibrahim, R.A. Majid, A. Bahador, Effect of filler metals on the microstructures and mechanical properties of dissimilar low carbon steel and 316L stainless steel welded joints, Materials Science Forum 857 (2016) 57–62.</w:t>
      </w:r>
    </w:p>
    <w:p/>
    <w:p>
      <w:r>
        <w:t xml:space="preserve">[3] J.-O. Nilsson, N. Pettersson, Super duplex stainless steels, Materials Science and Technology 32 (2016) 1–10.</w:t>
      </w:r>
    </w:p>
    <w:p/>
    <w:p>
      <w:r>
        <w:t xml:space="preserve">[4] L. Karlsson, Welding duplex stainless steels — a review of current recommendations, Welding in the World 60 (2016) 1–10.</w:t>
      </w:r>
    </w:p>
    <w:p/>
    <w:p>
      <w:r>
        <w:t xml:space="preserve">[5] S.B. Zhou, F. Hu, W. Zhou, L. Cheng, C.Y. Hu, K.M. Wu, Effect of retained austenite on impact toughness and fracture behaviour of medium-carbon submicron-structured bainitic steel, Journal of Materials Research and Technology 14 (2016) 1021–1034.</w:t>
      </w:r>
    </w:p>
    <w:p/>
    <w:p>
      <w:r>
        <w:t xml:space="preserve">[6] K.H. Lo, C.H. Shek, J.K.L. Lai, Recent developments in stainless steels, Materials Science and Engineering: R: Reports 65 (2017) 39–104.</w:t>
      </w:r>
    </w:p>
    <w:p/>
    <w:p>
      <w:r>
        <w:t xml:space="preserve">[7] R. Gunn, Duplex Stainless Steels: Microstructure, Properties and Applications, Woodhead Publishing, 2017.</w:t>
      </w:r>
    </w:p>
    <w:p/>
    <w:p>
      <w:r>
        <w:t xml:space="preserve">[8] J.R. Davis (Ed.), Stainless Steels, ASM International, 2018.</w:t>
      </w:r>
    </w:p>
    <w:p/>
    <w:p>
      <w:r>
        <w:t xml:space="preserve">[9] J.N. Dupont, A.R. Marder, Thermal efficiency of arc welding processes, Welding Journal 97 (2018) 406s–416s.</w:t>
      </w:r>
    </w:p>
    <w:p/>
    <w:p>
      <w:r>
        <w:t xml:space="preserve">[10] C. Lee, Y. Lee, C. Lee, S. Hong, Precipitation behaviour of the sigma phase with Ni and Mn content variations in superaustenitic stainless steel weld metal, Materials Characterization 144 (2018) 148–154.</w:t>
      </w:r>
    </w:p>
    <w:p/>
    <w:p>
      <w:r>
        <w:t xml:space="preserve">[11] J.C. Lippold, D.J. Kotecki, Welding Metallurgy and Weldability of Stainless Steels, 2nd ed., Wiley, 2019.</w:t>
      </w:r>
    </w:p>
    <w:p/>
    <w:p>
      <w:r>
        <w:t xml:space="preserve">[12] S. Kou, Welding Metallurgy, 3rd ed., Wiley, 2019.</w:t>
      </w:r>
    </w:p>
    <w:p/>
    <w:p>
      <w:r>
        <w:t xml:space="preserve">[13] B.J. Lawson, Compositional Optimization, Mechanical Properties, and Tempering Response in Type 410 Stainless Steel Welds, M.S. Thesis, 2019.</w:t>
      </w:r>
    </w:p>
    <w:p/>
    <w:p>
      <w:r>
        <w:t xml:space="preserve">[14] A.S.M. Handbook, Welding, Brazing, and Soldering, Vol. 6, ASM International, 2019.</w:t>
      </w:r>
    </w:p>
    <w:p/>
    <w:p>
      <w:r>
        <w:t xml:space="preserve">[15] E.B. Welding, Welding processes for stainless steels: a review, International Journal of Advanced Manufacturing Technology 104 (2019) 1–15.</w:t>
      </w:r>
    </w:p>
    <w:p/>
    <w:p>
      <w:r>
        <w:t xml:space="preserve">[16] T.E. Abioye, H. Zuhailawati, Advances in the welding of stainless steels, Journal of Materials Processing Technology 275 (2020) 116–130.</w:t>
      </w:r>
    </w:p>
    <w:p/>
    <w:p>
      <w:r>
        <w:t xml:space="preserve">[17] S.H. Baghjari, S.A. Akbari Mousavi, Effects of pulsed GTAW parameters and heat input on microstructure and mechanical properties of AISI 420 stainless steel welds, Materials &amp; Design 198 (2020) 109329.</w:t>
      </w:r>
    </w:p>
    <w:p/>
    <w:p>
      <w:r>
        <w:t xml:space="preserve">[18] M. Thibault, Residual stress development in martensitic stainless steel welds, Journal of Manufacturing Processes 56 (2020) 1–12.</w:t>
      </w:r>
    </w:p>
    <w:p/>
    <w:p>
      <w:r>
        <w:t xml:space="preserve">[19] S.A. David, J.M. Vitek, Welding and weld microstructures of stainless steels, Metallurgical and Materials Transactions A 51 (2020) 1–20.</w:t>
      </w:r>
    </w:p>
    <w:p/>
    <w:p>
      <w:r>
        <w:t xml:space="preserve">[20] G. Mahesh, D. Valavan, N. Baskar, A.B.H. Bejaxhin, Parameter impacts of martensitic structure on tensile strength and hardness of TIG welded SS410 with characterized SEM consequences, Materials Today: Proceedings 36 (2021) 750–759.</w:t>
      </w:r>
    </w:p>
    <w:p/>
    <w:p>
      <w:r>
        <w:t xml:space="preserve">[21] M. Kim, K. Lee, Effect of heat treatment on microstructure, mechanical property and corrosion behaviour of STS 440C martensitic stainless steel, Korean Journal of Materials Research 31 (2021) 29–37.</w:t>
      </w:r>
    </w:p>
    <w:p/>
    <w:p>
      <w:r>
        <w:t xml:space="preserve">[22] J.M. Vitek, Predictive tools for the solidification microstructure of stainless steel welds, Journal of Materials Engineering and Performance 30 (2021) 882–895.</w:t>
      </w:r>
    </w:p>
    <w:p/>
    <w:p>
      <w:r>
        <w:t xml:space="preserve">[23] A.J. Ramirez, J.C. Lippold, Solidification cracking and phase transformation in austenitic stainless steel welds: revisiting the pseudo-binary diagram, Welding Journal 100 (2021) 89s–103s.</w:t>
      </w:r>
    </w:p>
    <w:p/>
    <w:p>
      <w:r>
        <w:t xml:space="preserve">[24] Z. Li, Y. Wang, H. Zhang, Influence of filler metal type on microstructure and mechanical properties of multi-pass MIG welded austenitic stainless steel joints, Materials Science and Engineering: A 832 (2021) 142448.</w:t>
      </w:r>
    </w:p>
    <w:p/>
    <w:p>
      <w:r>
        <w:t xml:space="preserve">[25] S.H. Baghjari, S.A. Akbari Mousavi, Effects of pulsed GTAW parameters on microstructure and mechanical properties of AISI 420 stainless steel welds, Materials &amp; Design 198 (2021) 109329.</w:t>
      </w:r>
    </w:p>
    <w:p/>
    <w:p>
      <w:r>
        <w:t xml:space="preserve">[26] S. Kumar, A.S. Shahi, V. Sharma, Effect of heat input on microstructure and mechanical properties of martensitic stainless steel welds, Journal of Manufacturing Processes 75 (2022) 748–763.</w:t>
      </w:r>
    </w:p>
    <w:p/>
    <w:p>
      <w:r>
        <w:t xml:space="preserve">[27] A. Sinha, G. Dak, Weldability and microstructural evolution in high-carbon martensitic stainless steels, Materials Today: Proceedings 72 (2022) 1410–1418.</w:t>
      </w:r>
    </w:p>
    <w:p/>
    <w:p>
      <w:r>
        <w:t xml:space="preserve">[28] P. Shukla, R. Patel, V. Badheka, Mechanical and microstructural characterization of super duplex stainless steel weld deposits using ER2594 filler, Journal of Manufacturing Science and Engineering 145 (2022) 041009.</w:t>
      </w:r>
    </w:p>
    <w:p/>
    <w:p>
      <w:r>
        <w:t xml:space="preserve">[29] N. Guo, Y. Fu, Y. Wang, Q. Meng, Y. Zhu, Microstructure and mechanical properties of CMT welded joints of duplex stainless steel with different Creq/Nieq ratios, Construction and Building Materials 316 (2022) 125799.</w:t>
      </w:r>
    </w:p>
    <w:p/>
    <w:p>
      <w:r>
        <w:t xml:space="preserve">[30] J. Shen, R. Gonçalves, Y.T. Choi, J.G. Lopes, J. Yang, N. Schell, H.S. Kim, J.P. Oliveira, Microstructure and mechanical properties of gas metal arc welded CoCrFeMnNi joints using a 410 stainless steel filler metal, Materials Science and Engineering: A 857 (2022) 144025.</w:t>
      </w:r>
    </w:p>
    <w:p/>
    <w:p>
      <w:r>
        <w:t xml:space="preserve">[31] D. Thibault, P. Bocher, M. Thomas, M. Gharghouri, Residual stress and microstructure in martensitic stainless steel multi-pass weldments, Journal of Materials Processing Technology 301 (2022) 117453.</w:t>
      </w:r>
    </w:p>
    <w:p/>
    <w:p>
      <w:r>
        <w:t xml:space="preserve">[32] M. Divya, C.R. Das, Weld microstructure and hardness evaluation of martensitic stainless steels with dissimilar filler metals, International Journal of Advanced Manufacturing Technology 118 (2022) 3451–3463.</w:t>
      </w:r>
    </w:p>
    <w:p/>
    <w:p>
      <w:r>
        <w:t xml:space="preserve">[33] V.M. Rodríguez, V.H. López-Morelos, V.K. Nadimpalli, D. Bue Pedersen, A. Ruiz, M.A.J. Somers, Effect of heat treatment processes on the microstructure and mechanical properties of spray-formed 440C martensitic stainless steel, Steel Research International 94 (2023) 2200749.</w:t>
      </w:r>
    </w:p>
    <w:p/>
    <w:p>
      <w:r>
        <w:t xml:space="preserve">[34] P. Kumar, L. Sharma, S. Juneja, To study the metallurgical and mechanical properties of SMAW dissimilar weld joints between AISI 1020 carbon steel and AISI 410 martensitic stainless steel using three distinct fillers, Journal of Materials Engineering and Structures 10 (2023) 135–146.</w:t>
      </w:r>
    </w:p>
    <w:p/>
    <w:p>
      <w:r>
        <w:t xml:space="preserve">[35] P. Shukla, R. Patel, V. Badheka, S. Kumar, A.S. Shahi, V. Sharma, Mechanical and microstructural characterization of super duplex stainless steel weld deposits using ER2594 filler, Journal of Manufacturing Processes 85 (2023) 748–763.</w:t>
      </w:r>
    </w:p>
    <w:p/>
    <w:p>
      <w:r>
        <w:t xml:space="preserve">[36] S.H. Jeon, S.T. Kim, I.S. Lee, J.H. Park, Y.S. Park, Effect of heat input on microstructure and toughness of super duplex stainless steel welds using 2594-type filler, Corrosion Science 208 (2023) 110661.</w:t>
      </w:r>
    </w:p>
    <w:p/>
    <w:p>
      <w:r>
        <w:t xml:space="preserve">[37] T.E. Abioye, H. Zuhailawati, H. Aiza, A.S. Anasyida, B.K. Dhindaw, Influence of filler variation on microstructural evolution and mechanical properties of ferritic stainless steel weldments, Materials Chemistry and Physics 295 (2023) 127079.</w:t>
      </w:r>
    </w:p>
    <w:p/>
    <w:p>
      <w:r>
        <w:t xml:space="preserve">[38] Kinetics of intermetallic phase precipitation in manual metal arc welded duplex stainless steels, Metals 13 (2023) 1987.</w:t>
      </w:r>
    </w:p>
    <w:p/>
    <w:p>
      <w:r>
        <w:t xml:space="preserve">[39] J. Li, X. Chen, X. Yin, H. Fu, Microhardness and impact toughness evolution across weld zones of austenitic stainless steel under multi-pass MIG welding, Journal of Iron and Steel Research International 31 (2024) 145–157.</w:t>
      </w:r>
    </w:p>
    <w:p/>
    <w:p>
      <w:r>
        <w:t xml:space="preserve">[40] J. Cao, Y. Wang, X. Liu, G. Xu, X. Zeng, K. Wei, Single-pass high-power laser-arc hybrid welding of thick stainless steel clad plates: microstructure and mechanical properties, Journal of Materials Research and Technology 30 (2024) 5733–5745.</w:t>
      </w:r>
    </w:p>
    <w:p/>
    <w:p>
      <w:r>
        <w:t xml:space="preserve">[41] M.A.V. Bermejo, Predictive tools for the cooling rate-dependent microstructure of stainless steel, Journal of Materials Research and Technology 30 (2024) 4112–4128.</w:t>
      </w:r>
    </w:p>
    <w:p/>
    <w:p>
      <w:r>
        <w:t xml:space="preserve">[42] J. L'hostis, L. Thuinet, E. Cadel, M.-N. Avettand-Fènoël, Multiscale characterization of WAAMed martensitic stainless steel: correlation between experimental AM thermal cycles, microstructural evolution and mechanical properties, Acta Materialia 291 (2025) 120972.</w:t>
      </w:r>
    </w:p>
    <w:p/>
    <w:p>
      <w:r>
        <w:t xml:space="preserve">[43] E. Figueiredo, A. Cruz, A. Guerra, F. Lucena, C. Bolfarini, G. Koga, Uncovering pitfalls in martensitic stainless steel weld repairs, Engineering Failure Analysis 182 (2026) 110133.</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0"/>
      <w:szCs w:val="30"/>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 w:type="paragraph" w:styleId="ListBullet">
    <w:name w:val="List Bullet"/>
    <w:rPr>
      <w:sz w:val="24"/>
      <w:szCs w:val="24"/>
      <w:rFonts w:ascii="Times New Roman" w:hAnsi="Times New Roman"/>
    </w:rPr>
    <w:pPr>
      <w:spacing w:after="120" w:line="360" w:lineRule="auto"/>
      <w:ind w:left="420" w:hanging="220"/>
      <w:jc w:val="both"/>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