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 w:after="80" w:line="276" w:lineRule="auto"/>
      </w:pPr>
      <w:r>
        <w:rPr>
          <w:b/>
          <w:sz w:val="40"/>
          <w:szCs w:val="40"/>
          <w:color w:val="1F3864"/>
        </w:rPr>
        <w:t xml:space="preserve">Nanofluids for Thermal Enhancement: Fundamentals, Properties, and Experimental Investigation</w:t>
      </w:r>
    </w:p>
    <w:p>
      <w:pPr>
        <w:jc w:val="center"/>
        <w:spacing w:before="0" w:after="200" w:line="276" w:lineRule="auto"/>
      </w:pPr>
      <w:r>
        <w:rPr>
          <w:i/>
          <w:sz w:val="24"/>
          <w:szCs w:val="24"/>
          <w:color w:val="404040"/>
        </w:rPr>
        <w:t xml:space="preserve">A Comprehensive Treatment of Heat Transfer Augmentation Using Engineered Colloidal Suspensions</w:t>
      </w:r>
    </w:p>
    <w:p>
      <w:pPr>
        <w:jc w:val="center"/>
        <w:spacing w:before="0" w:after="240" w:line="276" w:lineRule="auto"/>
      </w:pPr>
      <w:r>
        <w:rPr>
          <w:sz w:val="20"/>
          <w:szCs w:val="20"/>
          <w:color w:val="595959"/>
        </w:rPr>
        <w:t xml:space="preserve">Prepared as a technical monograph</w:t>
      </w:r>
    </w:p>
    <w:p>
      <w:pPr>
        <w:pStyle w:val="Heading2"/>
        <w:spacing w:before="240" w:after="120" w:line="276" w:lineRule="auto"/>
      </w:pPr>
      <w:r>
        <w:rPr>
          <w:b/>
          <w:sz w:val="26"/>
          <w:szCs w:val="26"/>
          <w:color w:val="1F3864"/>
        </w:rPr>
        <w:t xml:space="preserve">Abstract</w:t>
      </w:r>
    </w:p>
    <w:p>
      <w:pPr>
        <w:jc w:val="both"/>
        <w:spacing w:before="0" w:after="140" w:line="276" w:lineRule="auto"/>
      </w:pPr>
      <w:r>
        <w:rPr>
          <w:sz w:val="20"/>
          <w:szCs w:val="20"/>
        </w:rPr>
        <w:t xml:space="preserve">The relentless growth in the power density of modern thermal systems has made the management of heat one of the defining engineering challenges of the present era. Conventional working fluids such as water, ethylene glycol, and mineral oils possess intrinsically modest thermal conductivities that limit the rate at which energy can be transported away from heat-generating components. Nanofluids, which are stable colloidal suspensions of nanometre-scale solid particles dispersed within these conventional carriers, have emerged over the past three decades as a promising route to overcoming this limitation. By exploiting the high intrinsic conductivity of metallic and ceramic solids, together with a collection of nanoscale transport phenomena that have no counterpart in conventional mixtures, nanofluids can offer measurable improvements in both the effective thermal conductivity of the medium and the convective heat transfer coefficient realised in practical flow passages.</w:t>
      </w:r>
    </w:p>
    <w:p>
      <w:pPr>
        <w:jc w:val="both"/>
        <w:spacing w:before="0" w:after="140" w:line="276" w:lineRule="auto"/>
      </w:pPr>
      <w:r>
        <w:rPr>
          <w:sz w:val="20"/>
          <w:szCs w:val="20"/>
        </w:rPr>
        <w:t xml:space="preserve">This monograph provides a structured and self-contained treatment of the subject in three parts. The first part revisits the fundamentals of heat transfer and the classical techniques used to augment it, establishing the physical vocabulary and the performance metrics against which any new coolant must be judged. The second part develops the science of nanofluids proper, addressing their classification and preparation, the measurement and modelling of their thermophysical properties, and the flow and heat transfer behaviour that follows from those properties. The third part turns to the laboratory, describing the experimental techniques used to characterise nanofluid performance, the influence of particle concentration, size, and shape, and the rigorous evaluation of thermal performance together with the quantification of measurement uncertainty. Throughout, attention is paid to the trade-off between enhanced heat transfer and the penalty imposed by increased viscosity and pumping power, since it is this balance, rather than conductivity enhancement alone, that determines whether a nanofluid is genuinely advantageous. The work is intended to serve both as an accessible introduction for newcomers and as a compact reference for practitioners engaged in the design of advanced thermal management systems.</w:t>
      </w:r>
    </w:p>
    <w:p>
      <w:pPr>
        <w:jc w:val="both"/>
        <w:spacing w:before="0" w:after="140" w:line="276" w:lineRule="auto"/>
      </w:pPr>
      <w:r>
        <w:rPr>
          <w:sz w:val="20"/>
          <w:szCs w:val="20"/>
        </w:rPr>
        <w:t xml:space="preserve">Keywords: nanofluids; thermal conductivity; convective heat transfer; heat transfer enhancement; thermophysical properties; nanoparticle suspensions; performance evaluation criterion; uncertainty analysis.</w:t>
      </w:r>
    </w:p>
    <w:p>
      <w:pPr>
        <w:pStyle w:val="Heading1"/>
        <w:spacing w:before="240" w:after="120" w:line="276" w:lineRule="auto"/>
      </w:pPr>
      <w:r>
        <w:rPr>
          <w:b/>
          <w:sz w:val="32"/>
          <w:szCs w:val="32"/>
          <w:color w:val="1F3864"/>
        </w:rPr>
        <w:t xml:space="preserve">Chapter 1. Fundamentals of Heat Transfer and Thermal Enhancement</w:t>
      </w:r>
    </w:p>
    <w:p>
      <w:pPr>
        <w:pStyle w:val="Heading2"/>
        <w:spacing w:before="240" w:after="120" w:line="276" w:lineRule="auto"/>
      </w:pPr>
      <w:r>
        <w:rPr>
          <w:b/>
          <w:sz w:val="26"/>
          <w:szCs w:val="26"/>
          <w:color w:val="1F3864"/>
        </w:rPr>
        <w:t xml:space="preserve">1.1 Modes of Heat Transfer</w:t>
      </w:r>
    </w:p>
    <w:p>
      <w:pPr>
        <w:jc w:val="both"/>
        <w:spacing w:before="0" w:after="160" w:line="276" w:lineRule="auto"/>
      </w:pPr>
      <w:r>
        <w:t xml:space="preserve">Heat transfer is the study of the rates at which thermal energy migrates within a medium or between media that are maintained at different temperatures. Whereas classical thermodynamics is concerned with the quantity of energy exchanged as a system moves between equilibrium states, heat transfer is concerned with the mechanism and, above all, the speed of that exchange. This distinction is not merely academic: the performance of an electronic processor, the efficiency of a power plant condenser, and the safety of a nuclear reactor core are all governed not by how much heat can in principle be moved, but by how quickly it can be moved under the temperature differences that the hardware can tolerate. The subject is conventionally organised around three canonical modes, namely conduction, convection, and radiation, each described by its own constitutive law and each dominant in a different regime of length scale, temperature, and material state [1].</w:t>
      </w:r>
    </w:p>
    <w:p>
      <w:pPr>
        <w:jc w:val="both"/>
        <w:spacing w:before="0" w:after="160" w:line="276" w:lineRule="auto"/>
      </w:pPr>
      <w:r>
        <w:t xml:space="preserve">Conduction is the transfer of energy through a stationary medium by the microscopic interactions of its constituent particles. In solids the carriers are lattice vibrations, described in the language of phonons, and in the case of metals a substantial additional contribution arises from the drift of free electrons, which is why good electrical conductors are almost invariably good thermal conductors as well. The macroscopic description of conduction is furnished by Fourier's law, which states that the local heat flux is proportional to the negative gradient of temperature, the constant of proportionality being the thermal conductivity of the material. The thermal conductivity is therefore the single most important transport property in any conduction problem, and it spans nearly five orders of magnitude across common engineering materials, from roughly two hundredths of a watt per metre-kelvin for still air to several hundred watts per metre-kelvin for copper, silver, and certain forms of carbon [1]. It is precisely this enormous contrast between the conductivity of solids and that of liquids that motivates the entire field of nanofluids, since dispersing a small quantity of a highly conductive solid within a poorly conducting liquid holds out the prospect of raising the effective conductivity of the mixture without sacrificing its fluidity [2].</w:t>
      </w:r>
    </w:p>
    <w:p>
      <w:pPr>
        <w:jc w:val="both"/>
        <w:spacing w:before="0" w:after="160" w:line="276" w:lineRule="auto"/>
      </w:pPr>
      <w:r>
        <w:t xml:space="preserve">Convection describes the transport of energy between a solid surface and a moving fluid, and it combines the molecular diffusion of conduction with the bulk, advective motion of the fluid itself. When the motion is driven by an external agency such as a pump or a fan, the process is termed forced convection; when it arises spontaneously from buoyancy forces set up by temperature-induced density gradients, it is called natural or free convection. In either case the engineering description is compressed into Newton's law of cooling, which relates the surface heat flux to the difference between the surface temperature and a representative fluid temperature through a convective heat transfer coefficient. Unlike thermal conductivity, the heat transfer coefficient is not a material property but a characteristic of the whole flow configuration, depending on the geometry, the flow velocity, the surface condition, and the thermophysical properties of the fluid [2]. The central task of convective heat transfer analysis is therefore the prediction of this coefficient, and it is here that the properties of a nanofluid exert their most consequential influence, because the coefficient depends not only on the thermal conductivity of the fluid but also on its viscosity, density, and specific heat [2].</w:t>
      </w:r>
    </w:p>
    <w:p>
      <w:pPr>
        <w:jc w:val="both"/>
        <w:spacing w:before="0" w:after="160" w:line="276" w:lineRule="auto"/>
      </w:pPr>
      <w:r>
        <w:t xml:space="preserve">The behaviour of convective systems is captured with great economy by a set of dimensionless groups obtained by non-dimensionalising the governing conservation equations. The Reynolds number expresses the ratio of inertial to viscous forces and determines whether a flow is laminar, transitional, or turbulent; the Prandtl number expresses the ratio of momentum diffusivity to thermal diffusivity and characterises the relative thickness of the velocity and thermal boundary layers; and the Nusselt number expresses the ratio of convective to conductive heat transfer at the wall and is, in effect, the dimensionless form of the heat transfer coefficient. A great body of empirical correlation, exemplified by the Dittus-Boelter relation for turbulent pipe flow and the family of expressions associated with Gnielinski for the transitional regime, expresses the Nusselt number as a function of the Reynolds and Prandtl numbers [3]. The utility of these correlations for nanofluids is a recurring theme of this monograph, because a central question is whether the enhancement observed with nanofluids can be fully explained by the altered property values entering these classical correlations, or whether additional, genuinely nanoscale mechanisms must be invoked [3].</w:t>
      </w:r>
    </w:p>
    <w:p>
      <w:pPr>
        <w:jc w:val="both"/>
        <w:spacing w:before="0" w:after="160" w:line="276" w:lineRule="auto"/>
      </w:pPr>
      <w:r>
        <w:t xml:space="preserve">Radiation is the third mode and differs fundamentally from the other two in that it requires no intervening medium, energy being carried by electromagnetic waves emitted by all matter at a temperature above absolute zero. The emissive power of an ideal radiator scales with the fourth power of absolute temperature according to the Stefan-Boltzmann law, which means that radiation is negligible at the near-ambient temperatures typical of most cooling applications but becomes overwhelmingly dominant in furnaces, combustion chambers, and concentrated solar receivers [3]. Although the present work is chiefly concerned with conduction and convection, radiation cannot be dismissed entirely, because certain nanofluids are being actively investigated as volumetric absorbers in direct-absorption solar collectors, where the suspended particles are chosen specifically to intercept incident radiation throughout the volume of the fluid rather than at an opaque surface [4]. In such applications the optical properties of the suspension, in particular its spectral absorption coefficient, become as important as its conductive and convective behaviour, and the design problem becomes an intrinsically coupled radiative-convective one [4].</w:t>
      </w:r>
    </w:p>
    <w:p>
      <w:pPr>
        <w:jc w:val="both"/>
        <w:spacing w:before="0" w:after="160" w:line="276" w:lineRule="auto"/>
      </w:pPr>
      <w:r>
        <w:t xml:space="preserve">The radiative mode, though peripheral to most cooling applications, is central to the growing use of nanofluids as volumetric solar absorbers, and its governing principles therefore warrant a brief exposition even in a work chiefly concerned with conduction and convection. Every body emits electromagnetic radiation across a spectrum whose peak wavelength shifts toward the shorter, more energetic wavelengths as its temperature rises, and the total emitted power grows as the fourth power of the absolute temperature, so that radiative exchange, negligible near ambient conditions, comes utterly to dominate at the temperatures of combustion and concentrated solar receivers. The exchange between surfaces is governed not only by their temperatures but by their emissivities, which measure how nearly they approach the ideal black radiator, and by the geometric view factors that describe how much of the radiation leaving one surface reaches another. In a participating medium such as a particle-laden fluid the radiation is additionally absorbed, emitted, and scattered throughout the volume, and its analysis requires the solution of the radiative transfer equation, a formidable integro-differential equation that couples the radiation field to the local temperature and to the optical properties of the suspension.</w:t>
      </w:r>
    </w:p>
    <w:p>
      <w:pPr>
        <w:jc w:val="both"/>
        <w:spacing w:before="0" w:after="160" w:line="276" w:lineRule="auto"/>
      </w:pPr>
      <w:r>
        <w:t xml:space="preserve">It is precisely the ability to engineer these volumetric optical properties through the choice and concentration of the suspended particles that commends nanofluids to the designer of solar collectors, for a suspension may be formulated to absorb the solar spectrum strongly while emitting weakly in the infrared, thereby capturing incident sunlight efficiently while radiating little of the captured energy back to the sky. The nanoparticles most effective for this purpose, including certain metals and carbon, exhibit strong and broadband absorption arising from the collective oscillation of their conduction electrons, a plasmonic resonance whose wavelength can be tuned by the size and shape of the particles. This convergence of optical, radiative, and convective considerations in the solar application exemplifies the breadth of the physics that the seemingly simple concept of a particle-laden fluid can engage, and it justifies the attention devoted to the radiative mode in an account of nanofluid heat transfer.</w:t>
      </w:r>
    </w:p>
    <w:p>
      <w:pPr>
        <w:jc w:val="both"/>
        <w:spacing w:before="0" w:after="160" w:line="276" w:lineRule="auto"/>
      </w:pPr>
      <w:r>
        <w:t xml:space="preserve">In the great majority of real thermal systems these three modes act simultaneously and in series, so that the overall performance is governed by the sum of the thermal resistances presented by each mode along the path from the source of heat to the ultimate sink. The concept of thermal resistance, borrowed by direct analogy from electrical circuit theory, is one of the most powerful organising ideas in the subject, since it allows a complicated multi-mode problem to be decomposed into a network of resistances that can be combined according to whether they act in series or in parallel [5]. When such a network is analysed it is almost always found that one resistance dominates, and it is this controlling resistance that any enhancement strategy must attack if it is to be effective. In a very large class of liquid-cooled systems the controlling resistance is the convective resistance between the coolant and the wall, and since this resistance is inversely proportional to the heat transfer coefficient, and the coefficient in turn depends on the thermal conductivity of the coolant, the poor conductivity of conventional liquids is exposed as the fundamental bottleneck [5]. It is against this diagnosis that the promise of nanofluids must be understood, for they attack precisely the property that most often limits performance.</w:t>
      </w:r>
    </w:p>
    <w:p>
      <w:pPr>
        <w:jc w:val="both"/>
        <w:spacing w:before="0" w:after="160" w:line="276" w:lineRule="auto"/>
      </w:pPr>
      <w:r>
        <w:t xml:space="preserve">The distinction between the several dimensionless groups and the physical regimes they demarcate merits a fuller treatment, since a clear grasp of it is indispensable to the interpretation of nanofluid heat transfer data. The Reynolds number, formed from the product of a characteristic velocity and length divided by the kinematic viscosity, sorts flows into the laminar regime, in which viscous forces dominate and the fluid moves in orderly layers, the turbulent regime, in which inertial forces dominate and the motion is chaotic and vigorously mixing, and the transitional regime between them. Because the kinematic viscosity of a nanofluid exceeds that of its base fluid, a nanofluid flowing at a given velocity in a given passage possesses a lower Reynolds number than the base fluid, and may even be laminar where the base fluid would be turbulent, a shift that has consequences for the heat transfer that are easily confused with a genuine property effect if the comparison is not carefully framed. The proper basis for comparison, whether equal velocity, equal Reynolds number, or equal pumping power, is thus bound up with the very definition of these groups, and much confusion in the literature can be traced to an unclear choice among them.</w:t>
      </w:r>
    </w:p>
    <w:p>
      <w:pPr>
        <w:jc w:val="both"/>
        <w:spacing w:before="0" w:after="160" w:line="276" w:lineRule="auto"/>
      </w:pPr>
      <w:r>
        <w:t xml:space="preserve">The Prandtl number, the ratio of the kinematic viscosity to the thermal diffusivity, is a property of the fluid alone and characterises the relative rates at which momentum and heat diffuse. For gases it is of order unity, reflecting the common molecular origin of both transport processes; for water it is of order several units; and for viscous oils it may reach the hundreds or thousands, indicating that momentum diffuses far more readily than heat and that the thermal boundary layer is correspondingly thin. Because the addition of nanoparticles raises the viscosity more than the conductivity, it raises the Prandtl number of the suspension, and since the turbulent heat transfer correlations reward a higher Prandtl number, this shift contributes a part of the observed enhancement, a part that is properly regarded as a bulk-property effect rather than a nanoscale one. The disentangling of these several property-mediated contributions from any genuinely anomalous behaviour is one of the more demanding tasks of the analyst, and it is greatly assisted by the discipline of comparing measured results against correlations evaluated with the measured properties of the nanofluid.</w:t>
      </w:r>
    </w:p>
    <w:p>
      <w:pPr>
        <w:pStyle w:val="Heading2"/>
        <w:spacing w:before="240" w:after="120" w:line="276" w:lineRule="auto"/>
      </w:pPr>
      <w:r>
        <w:rPr>
          <w:b/>
          <w:sz w:val="26"/>
          <w:szCs w:val="26"/>
          <w:color w:val="1F3864"/>
        </w:rPr>
        <w:t xml:space="preserve">1.2 Conventional Heat Transfer Enhancement Techniques</w:t>
      </w:r>
    </w:p>
    <w:p>
      <w:pPr>
        <w:jc w:val="both"/>
        <w:spacing w:before="0" w:after="160" w:line="276" w:lineRule="auto"/>
      </w:pPr>
      <w:r>
        <w:t xml:space="preserve">Long before the advent of nanofluids, engineers had assembled an extensive arsenal of techniques for augmenting heat transfer, and any honest appraisal of nanofluid technology must situate it within this established tradition. The classical techniques are conventionally divided into passive methods, which require no external power beyond that already supplied to drive the flow, and active methods, which draw on an external source of energy such as mechanical agitation, an electric field, or acoustic vibration [5]. A third category, sometimes termed compound enhancement, combines two or more of these approaches in the hope of achieving a synergistic benefit that exceeds the sum of the individual contributions. The distinguishing feature of a nanofluid is that it enhances heat transfer by modifying the working fluid itself rather than the surface or the flow field, and it therefore occupies a somewhat novel position that cuts across the traditional taxonomy [6].</w:t>
      </w:r>
    </w:p>
    <w:p>
      <w:pPr>
        <w:jc w:val="both"/>
        <w:spacing w:before="0" w:after="160" w:line="276" w:lineRule="auto"/>
      </w:pPr>
      <w:r>
        <w:t xml:space="preserve">Among passive techniques the most venerable and widely deployed is the extended surface, or fin, whose purpose is to increase the surface area available for convective exchange and thereby to reduce the effective convective resistance without any change to the heat transfer coefficient itself. The finned tube of an automobile radiator and the ribbed heat sink clamped to a microprocessor are the two most familiar embodiments of this idea, and the analysis of fin efficiency is a staple of every introductory course in the subject [6]. A closely related family of passive methods seeks instead to raise the heat transfer coefficient directly by disturbing the boundary layer, whether by roughening the surface, by machining helical grooves or ribs into the wall, or by inserting twisted tapes, coiled wires, and other turbulence promoters into the flow passage. All of these devices operate by disrupting the growth of the thermal boundary layer and by promoting mixing between the near-wall fluid and the cooler bulk, and all of them exact a price in the form of increased pressure drop [6].</w:t>
      </w:r>
    </w:p>
    <w:p>
      <w:pPr>
        <w:jc w:val="both"/>
        <w:spacing w:before="0" w:after="160" w:line="276" w:lineRule="auto"/>
      </w:pPr>
      <w:r>
        <w:t xml:space="preserve">This last observation introduces what is arguably the single most important principle in the whole field of enhancement, namely that heat transfer augmentation is almost never free. Any device that increases mixing and thins the boundary layer also increases the frictional resistance of the passage, and the additional pumping power required to overcome that resistance may, in an ill-considered design, exceed the value of the enhanced heat transfer. The rational comparison of competing enhancement strategies therefore cannot rest on the heat transfer coefficient alone but must weigh the thermal benefit against the hydraulic penalty. This is accomplished through a performance evaluation criterion, of which many variants have been proposed, the most common expressing the ratio of the enhancement in the Nusselt number to an appropriate power of the accompanying increase in the friction factor, so that a value exceeding unity signals a genuine net benefit at constant pumping power [7]. The same criterion, as later chapters will emphasise, is exactly the yardstick against which nanofluids must be measured, for a nanofluid that raises the heat transfer coefficient by twenty per cent while doubling the pumping power is of no practical interest whatever [7].</w:t>
      </w:r>
    </w:p>
    <w:p>
      <w:pPr>
        <w:jc w:val="both"/>
        <w:spacing w:before="0" w:after="160" w:line="276" w:lineRule="auto"/>
      </w:pPr>
      <w:r>
        <w:t xml:space="preserve">Active techniques, though less commonly deployed on account of their additional complexity and energy demand, can achieve enhancement levels unattainable by passive means. Mechanical aids such as rotating or vibrating surfaces and scraped-surface heat exchangers, the imposition of electric or magnetic fields in what is termed electrohydrodynamic and magnetohydrodynamic enhancement, the injection of gas bubbles into a liquid stream, and the application of ultrasonic vibration have all been shown to produce substantial improvements under the right conditions [7]. Of particular relevance to the present subject is the use of magnetic fields in conjunction with so-called magnetic nanofluids, in which particles of iron oxide or other ferromagnetic materials are suspended in the carrier fluid and their distribution manipulated by an external field, a scheme that blurs the boundary between the active and passive categories and that has attracted considerable research interest [8].</w:t>
      </w:r>
    </w:p>
    <w:p>
      <w:pPr>
        <w:jc w:val="both"/>
        <w:spacing w:before="0" w:after="160" w:line="276" w:lineRule="auto"/>
      </w:pPr>
      <w:r>
        <w:t xml:space="preserve">The taxonomy of enhancement techniques, though convenient, should not be allowed to obscure the underlying unity of purpose that all of them share, for every technique, whether passive or active, whether acting on the surface, the flow field, or the fluid itself, pursues the same end of reducing the dominant thermal resistance and thereby raising the rate of heat transfer for a given driving temperature difference. Seen in this light, the nanofluid is not a departure from the tradition of enhancement but its natural extension to a new domain, the domain of the coolant's own properties, previously regarded as fixed by the choice of fluid and hence beyond the designer's reach. The nanofluid concept opens this domain to deliberate engineering, allowing the conductivity of the coolant to be raised above its natural value much as a fin raises the effective surface area above its natural value or a twisted tape raises the mixing above its natural level, and it thereby adds a further and independent axis of improvement to the designer's repertoire. Whether this new axis proves as fruitful as the older ones is a question that only the accumulated evidence of careful experiment can answer, and it is to that evidence, and to the properties and behaviour on which it rests, that the following chapters are devoted.</w:t>
      </w:r>
    </w:p>
    <w:p>
      <w:pPr>
        <w:jc w:val="both"/>
        <w:spacing w:before="0" w:after="160" w:line="276" w:lineRule="auto"/>
      </w:pPr>
      <w:r>
        <w:t xml:space="preserve">The active enhancement techniques, while less frequently deployed on account of their added complexity and energy demand, illustrate the physical principles of enhancement in an especially clear form and deserve a fuller account. Electrohydrodynamic enhancement applies a strong electric field to a dielectric working fluid, inducing a secondary motion of the fluid, termed the corona wind in gases and electroconvection in liquids, that vigorously stirs the boundary layer and can raise the heat transfer coefficient several-fold at the expense of only a modest electrical power. The technique is limited to fluids of low electrical conductivity, since a conducting fluid would simply short-circuit the field, and it is therefore unsuited to the aqueous nanofluids of principal interest here, though it has been explored in combination with dielectric oil-based suspensions. The acoustic and ultrasonic enhancement of heat transfer, in which pressure waves induce oscillatory motion and, at sufficient intensity, cavitation that violently disrupts the boundary layer, is likewise effective but energy-intensive, and its principal role in the nanofluid context is not as an operating enhancement but as the very means by which nanoparticle agglomerates are broken up during the preparation of the suspension.</w:t>
      </w:r>
    </w:p>
    <w:p>
      <w:pPr>
        <w:jc w:val="both"/>
        <w:spacing w:before="0" w:after="160" w:line="276" w:lineRule="auto"/>
      </w:pPr>
      <w:r>
        <w:t xml:space="preserve">Magnetic-field enhancement occupies a special place in the discussion of nanofluids because of the existence of magnetic nanofluids, or ferrofluids, in which the suspended particles are of a ferromagnetic material such as magnetite and respond to an applied magnetic field. An external field, whether steady or alternating, can be used to concentrate the particles in a desired region, to induce a bulk motion of the fluid, or to generate localised heating through the hysteresis losses of the particles in an alternating field, and each of these effects has been proposed as a route to enhanced or controllable heat transfer. The field may also be used to manipulate the aggregation state of the particles, forming chains aligned with the field that constitute conductive paths and thereby raising the conductivity in the field direction, an anisotropic and reversible enhancement without parallel among the non-magnetic fluids. These possibilities blur the boundary between the active and passive categories and endow magnetic nanofluids with a versatility that continues to attract research attention, particularly in biomedical applications where the localised heating of magnetic particles is exploited in the thermal treatment of tumours.</w:t>
      </w:r>
    </w:p>
    <w:p>
      <w:pPr>
        <w:jc w:val="center"/>
        <w:spacing w:before="0" w:after="80" w:line="276" w:lineRule="auto"/>
      </w:pPr>
      <w:r>
        <w:drawing>
          <wp:inline distT="0" distB="0" distL="0" distR="0">
            <wp:extent cx="5334000" cy="3552825"/>
            <wp:effectExtent l="0" t="0" r="0" b="0"/>
            <wp:docPr id="44014" name="Picture 4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 name="Picture 44014"/>
                    <pic:cNvPicPr/>
                  </pic:nvPicPr>
                  <pic:blipFill>
                    <a:blip r:embed="rIdImg1"/>
                    <a:stretch>
                      <a:fillRect/>
                    </a:stretch>
                  </pic:blipFill>
                  <pic:spPr>
                    <a:xfrm>
                      <a:off x="0" y="0"/>
                      <a:ext cx="5334000" cy="3552825"/>
                    </a:xfrm>
                    <a:prstGeom prst="rect">
                      <a:avLst/>
                    </a:prstGeom>
                  </pic:spPr>
                </pic:pic>
              </a:graphicData>
            </a:graphic>
          </wp:inline>
        </w:drawing>
      </w:r>
    </w:p>
    <w:p>
      <w:pPr>
        <w:jc w:val="center"/>
        <w:spacing w:before="0" w:after="200" w:line="276" w:lineRule="auto"/>
      </w:pPr>
      <w:r>
        <w:rPr>
          <w:i/>
          <w:sz w:val="18"/>
          <w:szCs w:val="18"/>
          <w:color w:val="404040"/>
        </w:rPr>
        <w:t xml:space="preserve">Figure 3. Convective heat transfer coefficient enhancement measured for six representative nanoparticle systems dispersed in water at volume fractions of one and two per cent, illustrating the strong dependence of the achievable enhancement on the choice of particle material.</w:t>
      </w:r>
    </w:p>
    <w:p>
      <w:pPr>
        <w:jc w:val="both"/>
        <w:spacing w:before="0" w:after="160" w:line="276" w:lineRule="auto"/>
      </w:pPr>
      <w:r>
        <w:t xml:space="preserve">The performance evaluation criterion, introduced above as the arbiter of enhancement, warrants a further word on its logic, for it embodies a principle of comparison that recurs throughout the assessment of nanofluids and indeed of all enhancement techniques. The essential insight is that heat transfer and pressure drop are not independent goods to be maximised and minimised in isolation, but are yoked together, so that the meaningful question is never how much a device increases the heat transfer but how much it increases the heat transfer for a given expenditure of pumping power, or equivalently at a given operating cost. The criterion answers this question by holding one quantity fixed, most usefully the pumping power, and comparing the heat transfer achieved by the enhanced configuration with that achieved by the unenhanced one under the same constraint, a value exceeding unity signifying that the enhancement earns its keep and a value below unity signifying that it does not. This principle, simple in statement but frequently violated in practice, is the single most important safeguard against the seductive but misleading comparison at equal flow rate, and its consistent application is the mark of a rigorous assessment.</w:t>
      </w:r>
    </w:p>
    <w:p>
      <w:pPr>
        <w:jc w:val="both"/>
        <w:spacing w:before="0" w:after="160" w:line="276" w:lineRule="auto"/>
      </w:pPr>
      <w:r>
        <w:t xml:space="preserve">The steady improvement of these conventional methods over more than a century has brought them to a considerable degree of maturity, and in many applications the incremental gains available from further refinement of surface geometry are becoming marginal. It is against this backdrop of diminishing returns from surface-based methods that the appeal of a fluid-based strategy becomes clear, for the modification of the coolant itself opens an entirely independent axis of improvement that can, at least in principle, be combined with the best available surface enhancement to yield a compound benefit [8]. The relative enhancement in the convective heat transfer coefficient that has been reported for a range of nanoparticle materials is summarised in Figure 3, which makes plain both the promise of the approach and the strong sensitivity of the result to the particular material chosen. Table 1 sets the context by comparing the thermal conductivities of the solids commonly used to form nanofluids with those of the base fluids into which they are dispersed, a contrast that lies at the very heart of the technology [8].</w:t>
      </w:r>
    </w:p>
    <w:p>
      <w:pPr>
        <w:jc w:val="both"/>
        <w:spacing w:before="160" w:after="80" w:line="276" w:lineRule="auto"/>
      </w:pPr>
      <w:r>
        <w:rPr>
          <w:b/>
          <w:sz w:val="18"/>
          <w:szCs w:val="18"/>
        </w:rPr>
        <w:t xml:space="preserve">Table 1. Thermal conductivity of common base fluids and candidate nanoparticle materials at approximately room temperature.</w:t>
      </w:r>
    </w:p>
    <w:tbl>
      <w:tblPr>
        <w:tblStyle w:val="TableGrid"/>
        <w:tblW w:w="9360" w:type="dxa"/>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val="04A0" w:firstRow="1" w:lastRow="0" w:firstColumn="1" w:lastColumn="0" w:noHBand="0" w:noVBand="1"/>
      </w:tblPr>
      <w:tblGrid>
        <w:gridCol w:w="2340"/>
        <w:gridCol w:w="2340"/>
        <w:gridCol w:w="2340"/>
        <w:gridCol w:w="2340"/>
      </w:tblGrid>
      <w:tr>
        <w:trPr>
          <w:tblHeader/>
        </w:trPr>
        <w:tc>
          <w:tcPr>
            <w:tcW w:w="2340" w:type="dxa"/>
            <w:shd w:val="clear" w:color="auto" w:fill="1F3864"/>
            <w:vAlign w:val="center"/>
          </w:tcPr>
          <w:p>
            <w:pPr>
              <w:spacing w:before="20" w:after="20" w:line="240" w:lineRule="auto"/>
            </w:pPr>
            <w:r>
              <w:rPr>
                <w:b/>
                <w:sz w:val="18"/>
                <w:szCs w:val="18"/>
                <w:color w:val="FFFFFF"/>
              </w:rPr>
              <w:t xml:space="preserve">Material</w:t>
            </w:r>
          </w:p>
        </w:tc>
        <w:tc>
          <w:tcPr>
            <w:tcW w:w="2340" w:type="dxa"/>
            <w:shd w:val="clear" w:color="auto" w:fill="1F3864"/>
            <w:vAlign w:val="center"/>
          </w:tcPr>
          <w:p>
            <w:pPr>
              <w:spacing w:before="20" w:after="20" w:line="240" w:lineRule="auto"/>
            </w:pPr>
            <w:r>
              <w:rPr>
                <w:b/>
                <w:sz w:val="18"/>
                <w:szCs w:val="18"/>
                <w:color w:val="FFFFFF"/>
              </w:rPr>
              <w:t xml:space="preserve">Type</w:t>
            </w:r>
          </w:p>
        </w:tc>
        <w:tc>
          <w:tcPr>
            <w:tcW w:w="2340" w:type="dxa"/>
            <w:shd w:val="clear" w:color="auto" w:fill="1F3864"/>
            <w:vAlign w:val="center"/>
          </w:tcPr>
          <w:p>
            <w:pPr>
              <w:spacing w:before="20" w:after="20" w:line="240" w:lineRule="auto"/>
            </w:pPr>
            <w:r>
              <w:rPr>
                <w:b/>
                <w:sz w:val="18"/>
                <w:szCs w:val="18"/>
                <w:color w:val="FFFFFF"/>
              </w:rPr>
              <w:t xml:space="preserve">Thermal conductivity (W/m.K)</w:t>
            </w:r>
          </w:p>
        </w:tc>
        <w:tc>
          <w:tcPr>
            <w:tcW w:w="2340" w:type="dxa"/>
            <w:shd w:val="clear" w:color="auto" w:fill="1F3864"/>
            <w:vAlign w:val="center"/>
          </w:tcPr>
          <w:p>
            <w:pPr>
              <w:spacing w:before="20" w:after="20" w:line="240" w:lineRule="auto"/>
            </w:pPr>
            <w:r>
              <w:rPr>
                <w:b/>
                <w:sz w:val="18"/>
                <w:szCs w:val="18"/>
                <w:color w:val="FFFFFF"/>
              </w:rPr>
              <w:t xml:space="preserve">Typical role</w:t>
            </w:r>
          </w:p>
        </w:tc>
      </w:tr>
      <w:tr>
        <w:tc>
          <w:tcPr>
            <w:tcW w:w="2340" w:type="dxa"/>
            <w:shd w:val="clear" w:color="auto" w:fill="F2F2F2"/>
            <w:vAlign w:val="center"/>
          </w:tcPr>
          <w:p>
            <w:pPr>
              <w:spacing w:before="20" w:after="20" w:line="240" w:lineRule="auto"/>
            </w:pPr>
            <w:r>
              <w:rPr>
                <w:sz w:val="18"/>
                <w:szCs w:val="18"/>
                <w:color w:val="000000"/>
              </w:rPr>
              <w:t xml:space="preserve">Water</w:t>
            </w:r>
          </w:p>
        </w:tc>
        <w:tc>
          <w:tcPr>
            <w:tcW w:w="2340" w:type="dxa"/>
            <w:shd w:val="clear" w:color="auto" w:fill="F2F2F2"/>
            <w:vAlign w:val="center"/>
          </w:tcPr>
          <w:p>
            <w:pPr>
              <w:spacing w:before="20" w:after="20" w:line="240" w:lineRule="auto"/>
            </w:pPr>
            <w:r>
              <w:rPr>
                <w:sz w:val="18"/>
                <w:szCs w:val="18"/>
                <w:color w:val="000000"/>
              </w:rPr>
              <w:t xml:space="preserve">Base fluid</w:t>
            </w:r>
          </w:p>
        </w:tc>
        <w:tc>
          <w:tcPr>
            <w:tcW w:w="2340" w:type="dxa"/>
            <w:shd w:val="clear" w:color="auto" w:fill="F2F2F2"/>
            <w:vAlign w:val="center"/>
          </w:tcPr>
          <w:p>
            <w:pPr>
              <w:spacing w:before="20" w:after="20" w:line="240" w:lineRule="auto"/>
            </w:pPr>
            <w:r>
              <w:rPr>
                <w:sz w:val="18"/>
                <w:szCs w:val="18"/>
                <w:color w:val="000000"/>
              </w:rPr>
              <w:t xml:space="preserve">0.61</w:t>
            </w:r>
          </w:p>
        </w:tc>
        <w:tc>
          <w:tcPr>
            <w:tcW w:w="2340" w:type="dxa"/>
            <w:shd w:val="clear" w:color="auto" w:fill="F2F2F2"/>
            <w:vAlign w:val="center"/>
          </w:tcPr>
          <w:p>
            <w:pPr>
              <w:spacing w:before="20" w:after="20" w:line="240" w:lineRule="auto"/>
            </w:pPr>
            <w:r>
              <w:rPr>
                <w:sz w:val="18"/>
                <w:szCs w:val="18"/>
                <w:color w:val="000000"/>
              </w:rPr>
              <w:t xml:space="preserve">Primary aqueous carrier</w:t>
            </w:r>
          </w:p>
        </w:tc>
      </w:tr>
      <w:tr>
        <w:tc>
          <w:tcPr>
            <w:tcW w:w="2340" w:type="dxa"/>
            <w:shd w:val="clear" w:color="auto" w:fill="F2F2F2"/>
            <w:vAlign w:val="center"/>
          </w:tcPr>
          <w:p>
            <w:pPr>
              <w:spacing w:before="20" w:after="20" w:line="240" w:lineRule="auto"/>
            </w:pPr>
            <w:r>
              <w:rPr>
                <w:sz w:val="18"/>
                <w:szCs w:val="18"/>
                <w:color w:val="000000"/>
              </w:rPr>
              <w:t xml:space="preserve">Ethylene glycol</w:t>
            </w:r>
          </w:p>
        </w:tc>
        <w:tc>
          <w:tcPr>
            <w:tcW w:w="2340" w:type="dxa"/>
            <w:shd w:val="clear" w:color="auto" w:fill="F2F2F2"/>
            <w:vAlign w:val="center"/>
          </w:tcPr>
          <w:p>
            <w:pPr>
              <w:spacing w:before="20" w:after="20" w:line="240" w:lineRule="auto"/>
            </w:pPr>
            <w:r>
              <w:rPr>
                <w:sz w:val="18"/>
                <w:szCs w:val="18"/>
                <w:color w:val="000000"/>
              </w:rPr>
              <w:t xml:space="preserve">Base fluid</w:t>
            </w:r>
          </w:p>
        </w:tc>
        <w:tc>
          <w:tcPr>
            <w:tcW w:w="2340" w:type="dxa"/>
            <w:shd w:val="clear" w:color="auto" w:fill="F2F2F2"/>
            <w:vAlign w:val="center"/>
          </w:tcPr>
          <w:p>
            <w:pPr>
              <w:spacing w:before="20" w:after="20" w:line="240" w:lineRule="auto"/>
            </w:pPr>
            <w:r>
              <w:rPr>
                <w:sz w:val="18"/>
                <w:szCs w:val="18"/>
                <w:color w:val="000000"/>
              </w:rPr>
              <w:t xml:space="preserve">0.25</w:t>
            </w:r>
          </w:p>
        </w:tc>
        <w:tc>
          <w:tcPr>
            <w:tcW w:w="2340" w:type="dxa"/>
            <w:shd w:val="clear" w:color="auto" w:fill="F2F2F2"/>
            <w:vAlign w:val="center"/>
          </w:tcPr>
          <w:p>
            <w:pPr>
              <w:spacing w:before="20" w:after="20" w:line="240" w:lineRule="auto"/>
            </w:pPr>
            <w:r>
              <w:rPr>
                <w:sz w:val="18"/>
                <w:szCs w:val="18"/>
                <w:color w:val="000000"/>
              </w:rPr>
              <w:t xml:space="preserve">Antifreeze carrier</w:t>
            </w:r>
          </w:p>
        </w:tc>
      </w:tr>
      <w:tr>
        <w:tc>
          <w:tcPr>
            <w:tcW w:w="2340" w:type="dxa"/>
            <w:shd w:val="clear" w:color="auto" w:fill="F2F2F2"/>
            <w:vAlign w:val="center"/>
          </w:tcPr>
          <w:p>
            <w:pPr>
              <w:spacing w:before="20" w:after="20" w:line="240" w:lineRule="auto"/>
            </w:pPr>
            <w:r>
              <w:rPr>
                <w:sz w:val="18"/>
                <w:szCs w:val="18"/>
                <w:color w:val="000000"/>
              </w:rPr>
              <w:t xml:space="preserve">Engine oil</w:t>
            </w:r>
          </w:p>
        </w:tc>
        <w:tc>
          <w:tcPr>
            <w:tcW w:w="2340" w:type="dxa"/>
            <w:shd w:val="clear" w:color="auto" w:fill="F2F2F2"/>
            <w:vAlign w:val="center"/>
          </w:tcPr>
          <w:p>
            <w:pPr>
              <w:spacing w:before="20" w:after="20" w:line="240" w:lineRule="auto"/>
            </w:pPr>
            <w:r>
              <w:rPr>
                <w:sz w:val="18"/>
                <w:szCs w:val="18"/>
                <w:color w:val="000000"/>
              </w:rPr>
              <w:t xml:space="preserve">Base fluid</w:t>
            </w:r>
          </w:p>
        </w:tc>
        <w:tc>
          <w:tcPr>
            <w:tcW w:w="2340" w:type="dxa"/>
            <w:shd w:val="clear" w:color="auto" w:fill="F2F2F2"/>
            <w:vAlign w:val="center"/>
          </w:tcPr>
          <w:p>
            <w:pPr>
              <w:spacing w:before="20" w:after="20" w:line="240" w:lineRule="auto"/>
            </w:pPr>
            <w:r>
              <w:rPr>
                <w:sz w:val="18"/>
                <w:szCs w:val="18"/>
                <w:color w:val="000000"/>
              </w:rPr>
              <w:t xml:space="preserve">0.14</w:t>
            </w:r>
          </w:p>
        </w:tc>
        <w:tc>
          <w:tcPr>
            <w:tcW w:w="2340" w:type="dxa"/>
            <w:shd w:val="clear" w:color="auto" w:fill="F2F2F2"/>
            <w:vAlign w:val="center"/>
          </w:tcPr>
          <w:p>
            <w:pPr>
              <w:spacing w:before="20" w:after="20" w:line="240" w:lineRule="auto"/>
            </w:pPr>
            <w:r>
              <w:rPr>
                <w:sz w:val="18"/>
                <w:szCs w:val="18"/>
                <w:color w:val="000000"/>
              </w:rPr>
              <w:t xml:space="preserve">High-temperature carrier</w:t>
            </w:r>
          </w:p>
        </w:tc>
      </w:tr>
      <w:tr>
        <w:tc>
          <w:tcPr>
            <w:tcW w:w="2340" w:type="dxa"/>
            <w:shd w:val="clear" w:color="auto" w:fill="F2F2F2"/>
            <w:vAlign w:val="center"/>
          </w:tcPr>
          <w:p>
            <w:pPr>
              <w:spacing w:before="20" w:after="20" w:line="240" w:lineRule="auto"/>
            </w:pPr>
            <w:r>
              <w:rPr>
                <w:sz w:val="18"/>
                <w:szCs w:val="18"/>
                <w:color w:val="000000"/>
              </w:rPr>
              <w:t xml:space="preserve">Titanium dioxide (TiO2)</w:t>
            </w:r>
          </w:p>
        </w:tc>
        <w:tc>
          <w:tcPr>
            <w:tcW w:w="2340" w:type="dxa"/>
            <w:shd w:val="clear" w:color="auto" w:fill="F2F2F2"/>
            <w:vAlign w:val="center"/>
          </w:tcPr>
          <w:p>
            <w:pPr>
              <w:spacing w:before="20" w:after="20" w:line="240" w:lineRule="auto"/>
            </w:pPr>
            <w:r>
              <w:rPr>
                <w:sz w:val="18"/>
                <w:szCs w:val="18"/>
                <w:color w:val="000000"/>
              </w:rPr>
              <w:t xml:space="preserve">Ceramic particle</w:t>
            </w:r>
          </w:p>
        </w:tc>
        <w:tc>
          <w:tcPr>
            <w:tcW w:w="2340" w:type="dxa"/>
            <w:shd w:val="clear" w:color="auto" w:fill="F2F2F2"/>
            <w:vAlign w:val="center"/>
          </w:tcPr>
          <w:p>
            <w:pPr>
              <w:spacing w:before="20" w:after="20" w:line="240" w:lineRule="auto"/>
            </w:pPr>
            <w:r>
              <w:rPr>
                <w:sz w:val="18"/>
                <w:szCs w:val="18"/>
                <w:color w:val="000000"/>
              </w:rPr>
              <w:t xml:space="preserve">8.4</w:t>
            </w:r>
          </w:p>
        </w:tc>
        <w:tc>
          <w:tcPr>
            <w:tcW w:w="2340" w:type="dxa"/>
            <w:shd w:val="clear" w:color="auto" w:fill="F2F2F2"/>
            <w:vAlign w:val="center"/>
          </w:tcPr>
          <w:p>
            <w:pPr>
              <w:spacing w:before="20" w:after="20" w:line="240" w:lineRule="auto"/>
            </w:pPr>
            <w:r>
              <w:rPr>
                <w:sz w:val="18"/>
                <w:szCs w:val="18"/>
                <w:color w:val="000000"/>
              </w:rPr>
              <w:t xml:space="preserve">Chemically stable filler</w:t>
            </w:r>
          </w:p>
        </w:tc>
      </w:tr>
      <w:tr>
        <w:tc>
          <w:tcPr>
            <w:tcW w:w="2340" w:type="dxa"/>
            <w:shd w:val="clear" w:color="auto" w:fill="F2F2F2"/>
            <w:vAlign w:val="center"/>
          </w:tcPr>
          <w:p>
            <w:pPr>
              <w:spacing w:before="20" w:after="20" w:line="240" w:lineRule="auto"/>
            </w:pPr>
            <w:r>
              <w:rPr>
                <w:sz w:val="18"/>
                <w:szCs w:val="18"/>
                <w:color w:val="000000"/>
              </w:rPr>
              <w:t xml:space="preserve">Alumina (Al2O3)</w:t>
            </w:r>
          </w:p>
        </w:tc>
        <w:tc>
          <w:tcPr>
            <w:tcW w:w="2340" w:type="dxa"/>
            <w:shd w:val="clear" w:color="auto" w:fill="F2F2F2"/>
            <w:vAlign w:val="center"/>
          </w:tcPr>
          <w:p>
            <w:pPr>
              <w:spacing w:before="20" w:after="20" w:line="240" w:lineRule="auto"/>
            </w:pPr>
            <w:r>
              <w:rPr>
                <w:sz w:val="18"/>
                <w:szCs w:val="18"/>
                <w:color w:val="000000"/>
              </w:rPr>
              <w:t xml:space="preserve">Ceramic particle</w:t>
            </w:r>
          </w:p>
        </w:tc>
        <w:tc>
          <w:tcPr>
            <w:tcW w:w="2340" w:type="dxa"/>
            <w:shd w:val="clear" w:color="auto" w:fill="F2F2F2"/>
            <w:vAlign w:val="center"/>
          </w:tcPr>
          <w:p>
            <w:pPr>
              <w:spacing w:before="20" w:after="20" w:line="240" w:lineRule="auto"/>
            </w:pPr>
            <w:r>
              <w:rPr>
                <w:sz w:val="18"/>
                <w:szCs w:val="18"/>
                <w:color w:val="000000"/>
              </w:rPr>
              <w:t xml:space="preserve">40</w:t>
            </w:r>
          </w:p>
        </w:tc>
        <w:tc>
          <w:tcPr>
            <w:tcW w:w="2340" w:type="dxa"/>
            <w:shd w:val="clear" w:color="auto" w:fill="F2F2F2"/>
            <w:vAlign w:val="center"/>
          </w:tcPr>
          <w:p>
            <w:pPr>
              <w:spacing w:before="20" w:after="20" w:line="240" w:lineRule="auto"/>
            </w:pPr>
            <w:r>
              <w:rPr>
                <w:sz w:val="18"/>
                <w:szCs w:val="18"/>
                <w:color w:val="000000"/>
              </w:rPr>
              <w:t xml:space="preserve">Common, low-cost filler</w:t>
            </w:r>
          </w:p>
        </w:tc>
      </w:tr>
      <w:tr>
        <w:tc>
          <w:tcPr>
            <w:tcW w:w="2340" w:type="dxa"/>
            <w:shd w:val="clear" w:color="auto" w:fill="F2F2F2"/>
            <w:vAlign w:val="center"/>
          </w:tcPr>
          <w:p>
            <w:pPr>
              <w:spacing w:before="20" w:after="20" w:line="240" w:lineRule="auto"/>
            </w:pPr>
            <w:r>
              <w:rPr>
                <w:sz w:val="18"/>
                <w:szCs w:val="18"/>
                <w:color w:val="000000"/>
              </w:rPr>
              <w:t xml:space="preserve">Silicon carbide (SiC)</w:t>
            </w:r>
          </w:p>
        </w:tc>
        <w:tc>
          <w:tcPr>
            <w:tcW w:w="2340" w:type="dxa"/>
            <w:shd w:val="clear" w:color="auto" w:fill="F2F2F2"/>
            <w:vAlign w:val="center"/>
          </w:tcPr>
          <w:p>
            <w:pPr>
              <w:spacing w:before="20" w:after="20" w:line="240" w:lineRule="auto"/>
            </w:pPr>
            <w:r>
              <w:rPr>
                <w:sz w:val="18"/>
                <w:szCs w:val="18"/>
                <w:color w:val="000000"/>
              </w:rPr>
              <w:t xml:space="preserve">Ceramic particle</w:t>
            </w:r>
          </w:p>
        </w:tc>
        <w:tc>
          <w:tcPr>
            <w:tcW w:w="2340" w:type="dxa"/>
            <w:shd w:val="clear" w:color="auto" w:fill="F2F2F2"/>
            <w:vAlign w:val="center"/>
          </w:tcPr>
          <w:p>
            <w:pPr>
              <w:spacing w:before="20" w:after="20" w:line="240" w:lineRule="auto"/>
            </w:pPr>
            <w:r>
              <w:rPr>
                <w:sz w:val="18"/>
                <w:szCs w:val="18"/>
                <w:color w:val="000000"/>
              </w:rPr>
              <w:t xml:space="preserve">120</w:t>
            </w:r>
          </w:p>
        </w:tc>
        <w:tc>
          <w:tcPr>
            <w:tcW w:w="2340" w:type="dxa"/>
            <w:shd w:val="clear" w:color="auto" w:fill="F2F2F2"/>
            <w:vAlign w:val="center"/>
          </w:tcPr>
          <w:p>
            <w:pPr>
              <w:spacing w:before="20" w:after="20" w:line="240" w:lineRule="auto"/>
            </w:pPr>
            <w:r>
              <w:rPr>
                <w:sz w:val="18"/>
                <w:szCs w:val="18"/>
                <w:color w:val="000000"/>
              </w:rPr>
              <w:t xml:space="preserve">Abrasion-resistant filler</w:t>
            </w:r>
          </w:p>
        </w:tc>
      </w:tr>
      <w:tr>
        <w:tc>
          <w:tcPr>
            <w:tcW w:w="2340" w:type="dxa"/>
            <w:shd w:val="clear" w:color="auto" w:fill="F2F2F2"/>
            <w:vAlign w:val="center"/>
          </w:tcPr>
          <w:p>
            <w:pPr>
              <w:spacing w:before="20" w:after="20" w:line="240" w:lineRule="auto"/>
            </w:pPr>
            <w:r>
              <w:rPr>
                <w:sz w:val="18"/>
                <w:szCs w:val="18"/>
                <w:color w:val="000000"/>
              </w:rPr>
              <w:t xml:space="preserve">Copper oxide (CuO)</w:t>
            </w:r>
          </w:p>
        </w:tc>
        <w:tc>
          <w:tcPr>
            <w:tcW w:w="2340" w:type="dxa"/>
            <w:shd w:val="clear" w:color="auto" w:fill="F2F2F2"/>
            <w:vAlign w:val="center"/>
          </w:tcPr>
          <w:p>
            <w:pPr>
              <w:spacing w:before="20" w:after="20" w:line="240" w:lineRule="auto"/>
            </w:pPr>
            <w:r>
              <w:rPr>
                <w:sz w:val="18"/>
                <w:szCs w:val="18"/>
                <w:color w:val="000000"/>
              </w:rPr>
              <w:t xml:space="preserve">Ceramic particle</w:t>
            </w:r>
          </w:p>
        </w:tc>
        <w:tc>
          <w:tcPr>
            <w:tcW w:w="2340" w:type="dxa"/>
            <w:shd w:val="clear" w:color="auto" w:fill="F2F2F2"/>
            <w:vAlign w:val="center"/>
          </w:tcPr>
          <w:p>
            <w:pPr>
              <w:spacing w:before="20" w:after="20" w:line="240" w:lineRule="auto"/>
            </w:pPr>
            <w:r>
              <w:rPr>
                <w:sz w:val="18"/>
                <w:szCs w:val="18"/>
                <w:color w:val="000000"/>
              </w:rPr>
              <w:t xml:space="preserve">76</w:t>
            </w:r>
          </w:p>
        </w:tc>
        <w:tc>
          <w:tcPr>
            <w:tcW w:w="2340" w:type="dxa"/>
            <w:shd w:val="clear" w:color="auto" w:fill="F2F2F2"/>
            <w:vAlign w:val="center"/>
          </w:tcPr>
          <w:p>
            <w:pPr>
              <w:spacing w:before="20" w:after="20" w:line="240" w:lineRule="auto"/>
            </w:pPr>
            <w:r>
              <w:rPr>
                <w:sz w:val="18"/>
                <w:szCs w:val="18"/>
                <w:color w:val="000000"/>
              </w:rPr>
              <w:t xml:space="preserve">High-enhancement filler</w:t>
            </w:r>
          </w:p>
        </w:tc>
      </w:tr>
      <w:tr>
        <w:tc>
          <w:tcPr>
            <w:tcW w:w="2340" w:type="dxa"/>
            <w:shd w:val="clear" w:color="auto" w:fill="F2F2F2"/>
            <w:vAlign w:val="center"/>
          </w:tcPr>
          <w:p>
            <w:pPr>
              <w:spacing w:before="20" w:after="20" w:line="240" w:lineRule="auto"/>
            </w:pPr>
            <w:r>
              <w:rPr>
                <w:sz w:val="18"/>
                <w:szCs w:val="18"/>
                <w:color w:val="000000"/>
              </w:rPr>
              <w:t xml:space="preserve">Copper (Cu)</w:t>
            </w:r>
          </w:p>
        </w:tc>
        <w:tc>
          <w:tcPr>
            <w:tcW w:w="2340" w:type="dxa"/>
            <w:shd w:val="clear" w:color="auto" w:fill="F2F2F2"/>
            <w:vAlign w:val="center"/>
          </w:tcPr>
          <w:p>
            <w:pPr>
              <w:spacing w:before="20" w:after="20" w:line="240" w:lineRule="auto"/>
            </w:pPr>
            <w:r>
              <w:rPr>
                <w:sz w:val="18"/>
                <w:szCs w:val="18"/>
                <w:color w:val="000000"/>
              </w:rPr>
              <w:t xml:space="preserve">Metallic particle</w:t>
            </w:r>
          </w:p>
        </w:tc>
        <w:tc>
          <w:tcPr>
            <w:tcW w:w="2340" w:type="dxa"/>
            <w:shd w:val="clear" w:color="auto" w:fill="F2F2F2"/>
            <w:vAlign w:val="center"/>
          </w:tcPr>
          <w:p>
            <w:pPr>
              <w:spacing w:before="20" w:after="20" w:line="240" w:lineRule="auto"/>
            </w:pPr>
            <w:r>
              <w:rPr>
                <w:sz w:val="18"/>
                <w:szCs w:val="18"/>
                <w:color w:val="000000"/>
              </w:rPr>
              <w:t xml:space="preserve">401</w:t>
            </w:r>
          </w:p>
        </w:tc>
        <w:tc>
          <w:tcPr>
            <w:tcW w:w="2340" w:type="dxa"/>
            <w:shd w:val="clear" w:color="auto" w:fill="F2F2F2"/>
            <w:vAlign w:val="center"/>
          </w:tcPr>
          <w:p>
            <w:pPr>
              <w:spacing w:before="20" w:after="20" w:line="240" w:lineRule="auto"/>
            </w:pPr>
            <w:r>
              <w:rPr>
                <w:sz w:val="18"/>
                <w:szCs w:val="18"/>
                <w:color w:val="000000"/>
              </w:rPr>
              <w:t xml:space="preserve">High-conductivity metal</w:t>
            </w:r>
          </w:p>
        </w:tc>
      </w:tr>
      <w:tr>
        <w:tc>
          <w:tcPr>
            <w:tcW w:w="2340" w:type="dxa"/>
            <w:shd w:val="clear" w:color="auto" w:fill="F2F2F2"/>
            <w:vAlign w:val="center"/>
          </w:tcPr>
          <w:p>
            <w:pPr>
              <w:spacing w:before="20" w:after="20" w:line="240" w:lineRule="auto"/>
            </w:pPr>
            <w:r>
              <w:rPr>
                <w:sz w:val="18"/>
                <w:szCs w:val="18"/>
                <w:color w:val="000000"/>
              </w:rPr>
              <w:t xml:space="preserve">Silver (Ag)</w:t>
            </w:r>
          </w:p>
        </w:tc>
        <w:tc>
          <w:tcPr>
            <w:tcW w:w="2340" w:type="dxa"/>
            <w:shd w:val="clear" w:color="auto" w:fill="F2F2F2"/>
            <w:vAlign w:val="center"/>
          </w:tcPr>
          <w:p>
            <w:pPr>
              <w:spacing w:before="20" w:after="20" w:line="240" w:lineRule="auto"/>
            </w:pPr>
            <w:r>
              <w:rPr>
                <w:sz w:val="18"/>
                <w:szCs w:val="18"/>
                <w:color w:val="000000"/>
              </w:rPr>
              <w:t xml:space="preserve">Metallic particle</w:t>
            </w:r>
          </w:p>
        </w:tc>
        <w:tc>
          <w:tcPr>
            <w:tcW w:w="2340" w:type="dxa"/>
            <w:shd w:val="clear" w:color="auto" w:fill="F2F2F2"/>
            <w:vAlign w:val="center"/>
          </w:tcPr>
          <w:p>
            <w:pPr>
              <w:spacing w:before="20" w:after="20" w:line="240" w:lineRule="auto"/>
            </w:pPr>
            <w:r>
              <w:rPr>
                <w:sz w:val="18"/>
                <w:szCs w:val="18"/>
                <w:color w:val="000000"/>
              </w:rPr>
              <w:t xml:space="preserve">429</w:t>
            </w:r>
          </w:p>
        </w:tc>
        <w:tc>
          <w:tcPr>
            <w:tcW w:w="2340" w:type="dxa"/>
            <w:shd w:val="clear" w:color="auto" w:fill="F2F2F2"/>
            <w:vAlign w:val="center"/>
          </w:tcPr>
          <w:p>
            <w:pPr>
              <w:spacing w:before="20" w:after="20" w:line="240" w:lineRule="auto"/>
            </w:pPr>
            <w:r>
              <w:rPr>
                <w:sz w:val="18"/>
                <w:szCs w:val="18"/>
                <w:color w:val="000000"/>
              </w:rPr>
              <w:t xml:space="preserve">Highest-conductivity metal</w:t>
            </w:r>
          </w:p>
        </w:tc>
      </w:tr>
      <w:tr>
        <w:tc>
          <w:tcPr>
            <w:tcW w:w="2340" w:type="dxa"/>
            <w:shd w:val="clear" w:color="auto" w:fill="F2F2F2"/>
            <w:vAlign w:val="center"/>
          </w:tcPr>
          <w:p>
            <w:pPr>
              <w:spacing w:before="20" w:after="20" w:line="240" w:lineRule="auto"/>
            </w:pPr>
            <w:r>
              <w:rPr>
                <w:sz w:val="18"/>
                <w:szCs w:val="18"/>
                <w:color w:val="000000"/>
              </w:rPr>
              <w:t xml:space="preserve">Carbon nanotube (MWCNT)</w:t>
            </w:r>
          </w:p>
        </w:tc>
        <w:tc>
          <w:tcPr>
            <w:tcW w:w="2340" w:type="dxa"/>
            <w:shd w:val="clear" w:color="auto" w:fill="F2F2F2"/>
            <w:vAlign w:val="center"/>
          </w:tcPr>
          <w:p>
            <w:pPr>
              <w:spacing w:before="20" w:after="20" w:line="240" w:lineRule="auto"/>
            </w:pPr>
            <w:r>
              <w:rPr>
                <w:sz w:val="18"/>
                <w:szCs w:val="18"/>
                <w:color w:val="000000"/>
              </w:rPr>
              <w:t xml:space="preserve">Carbon particle</w:t>
            </w:r>
          </w:p>
        </w:tc>
        <w:tc>
          <w:tcPr>
            <w:tcW w:w="2340" w:type="dxa"/>
            <w:shd w:val="clear" w:color="auto" w:fill="F2F2F2"/>
            <w:vAlign w:val="center"/>
          </w:tcPr>
          <w:p>
            <w:pPr>
              <w:spacing w:before="20" w:after="20" w:line="240" w:lineRule="auto"/>
            </w:pPr>
            <w:r>
              <w:rPr>
                <w:sz w:val="18"/>
                <w:szCs w:val="18"/>
                <w:color w:val="000000"/>
              </w:rPr>
              <w:t xml:space="preserve">3000</w:t>
            </w:r>
          </w:p>
        </w:tc>
        <w:tc>
          <w:tcPr>
            <w:tcW w:w="2340" w:type="dxa"/>
            <w:shd w:val="clear" w:color="auto" w:fill="F2F2F2"/>
            <w:vAlign w:val="center"/>
          </w:tcPr>
          <w:p>
            <w:pPr>
              <w:spacing w:before="20" w:after="20" w:line="240" w:lineRule="auto"/>
            </w:pPr>
            <w:r>
              <w:rPr>
                <w:sz w:val="18"/>
                <w:szCs w:val="18"/>
                <w:color w:val="000000"/>
              </w:rPr>
              <w:t xml:space="preserve">Very high aspect-ratio filler</w:t>
            </w:r>
          </w:p>
        </w:tc>
      </w:tr>
    </w:tbl>
    <w:p>
      <w:pPr>
        <w:spacing w:before="0" w:after="120" w:line="276" w:lineRule="auto"/>
      </w:pPr>
      <w:r>
        <w:t xml:space="preserve"/>
      </w:r>
    </w:p>
    <w:p>
      <w:pPr>
        <w:jc w:val="both"/>
        <w:spacing w:before="0" w:after="160" w:line="276" w:lineRule="auto"/>
      </w:pPr>
      <w:r>
        <w:t xml:space="preserve">The passive techniques merit a more detailed exposition, for they represent the accumulated wisdom of more than a century of thermal engineering and furnish the baseline against which any fluid-based enhancement must ultimately be judged. The twisted-tape insert, one of the oldest and most thoroughly studied of the passive devices, consists of a thin metal strip twisted into a helix and inserted along the axis of a tube, where it imparts a swirling, rotational component to the flow that increases the effective path length, raises the local velocity near the wall, and promotes mixing between the core and the periphery of the stream. The degree of enhancement is governed by the twist ratio, defined as the length of one complete revolution of the tape divided by the tube diameter, a tighter twist producing greater enhancement at the cost of a greater pressure penalty. Coiled-wire inserts, wire-mesh inserts, and the more recently studied perforated and serrated tapes operate on similar principles, and the extensive correlations developed for them provide a quantitative framework into which the effect of a nanofluid can, in principle, be superimposed.</w:t>
      </w:r>
    </w:p>
    <w:p>
      <w:pPr>
        <w:jc w:val="both"/>
        <w:spacing w:before="0" w:after="160" w:line="276" w:lineRule="auto"/>
      </w:pPr>
      <w:r>
        <w:t xml:space="preserve">Surface modification constitutes a second important family of passive methods, encompassing everything from the deliberate roughening of a surface by sand-grain or machined protrusions to the sophisticated micro-structured and nano-structured surfaces developed for the enhancement of boiling. In single-phase flow, roughness elements protruding into the boundary layer trip the flow into turbulence at a lower Reynolds number and increase the intensity of the near-wall mixing, while in boiling the provision of artificial nucleation sites in the form of cavities and re-entrant grooves dramatically increases the density of active bubble sites and thereby the boiling heat transfer coefficient. It is a striking and much discussed observation that nanofluids can produce an analogous surface modification in situ, through the gradual deposition of a porous nanoparticle layer on the boiling surface, so that the fluid modification and the surface modification become inextricably entangled, a theme taken up in the discussion of boiling in the next chapter.</w:t>
      </w:r>
    </w:p>
    <w:p>
      <w:pPr>
        <w:jc w:val="both"/>
        <w:spacing w:before="0" w:after="160" w:line="276" w:lineRule="auto"/>
      </w:pPr>
      <w:r>
        <w:t xml:space="preserve">The compound enhancement of heat transfer, in which two or more techniques are combined, offers the tantalising prospect of a synergistic benefit exceeding the sum of the parts, but it also carries the risk that the techniques interfere destructively or that their pressure penalties compound more rapidly than their thermal benefits. The combination of a twisted-tape insert with a nanofluid coolant is the compound scheme most directly relevant to the present subject, and the experimental evidence, though not unanimous, suggests that a genuine if modest synergy can be realised under favourable conditions, the swirl imparted by the tape helping to keep the particles suspended and well mixed while the enhanced conductivity of the fluid amplifies the benefit of the improved mixing. The systematic exploration of such compound schemes remains an active and fruitful area of investigation, and it represents one of the more promising avenues by which the incremental benefit of nanofluids might be leveraged into a larger practical advantage.</w:t>
      </w:r>
    </w:p>
    <w:p>
      <w:pPr>
        <w:jc w:val="both"/>
        <w:spacing w:before="0" w:after="160" w:line="276" w:lineRule="auto"/>
      </w:pPr>
      <w:r>
        <w:t xml:space="preserve">The magnitude of the contrast displayed in Table 1 cannot be overstated. The thermal conductivity of copper exceeds that of water by a factor approaching seven hundred, and that of a multi-walled carbon nanotube by several thousand, so that even a small volumetric addition of such a solid would, if the mixture behaved according to the simplest volume-weighted average, produce a readily measurable increase in the effective conductivity of the fluid [9]. Whether the real enhancement matches, exceeds, or falls short of this naive expectation is one of the central empirical questions addressed in Chapter 2, and the answer turns out to depend in subtle ways on the size, shape, and state of dispersion of the particles as well as on the temperature of the suspension [9].</w:t>
      </w:r>
    </w:p>
    <w:p>
      <w:pPr>
        <w:pStyle w:val="Heading2"/>
        <w:spacing w:before="240" w:after="120" w:line="276" w:lineRule="auto"/>
      </w:pPr>
      <w:r>
        <w:rPr>
          <w:b/>
          <w:sz w:val="26"/>
          <w:szCs w:val="26"/>
          <w:color w:val="1F3864"/>
        </w:rPr>
        <w:t xml:space="preserve">1.3 Advanced Thermal Systems and Emerging Challenges</w:t>
      </w:r>
    </w:p>
    <w:p>
      <w:pPr>
        <w:jc w:val="both"/>
        <w:spacing w:before="0" w:after="160" w:line="276" w:lineRule="auto"/>
      </w:pPr>
      <w:r>
        <w:t xml:space="preserve">The demand for improved cooling has grown explosively in the last three decades, driven above all by the microelectronics industry, whose relentless miniaturisation has concentrated ever greater quantities of dissipated power into ever smaller volumes. The heat flux that must be removed from the surface of a high-performance microprocessor now rivals or exceeds that at the surface of a nuclear fuel rod, and the situation is more acute still in the power electronics of electric vehicles, in high-brightness light-emitting diodes, and in the laser diodes of high-energy optical systems [9]. Conventional air cooling, once entirely adequate, has been pushed to and beyond its limits, and the industry has turned increasingly to liquid cooling, where the superior heat capacity and conductivity of liquids permit far higher heat fluxes to be accommodated within acceptable temperature rises [10].</w:t>
      </w:r>
    </w:p>
    <w:p>
      <w:pPr>
        <w:jc w:val="both"/>
        <w:spacing w:before="0" w:after="160" w:line="276" w:lineRule="auto"/>
      </w:pPr>
      <w:r>
        <w:t xml:space="preserve">Liquid cooling in turn has evolved from simple single-phase loops toward microchannel heat sinks, jet impingement systems, and two-phase schemes that exploit the latent heat of vaporisation to absorb enormous quantities of energy at nearly constant temperature. Each of these advanced architectures presents its own challenges, but all of them share a common sensitivity to the thermophysical properties of the working fluid, and all of them stand to benefit from any coolant that offers a higher conductivity without an unacceptable increase in viscosity [10]. It is precisely in these high-flux, property-limited applications that nanofluids have attracted the keenest interest, since the potential reward from even a modest property improvement is correspondingly large [10].</w:t>
      </w:r>
    </w:p>
    <w:p>
      <w:pPr>
        <w:jc w:val="both"/>
        <w:spacing w:before="0" w:after="160" w:line="276" w:lineRule="auto"/>
      </w:pPr>
      <w:r>
        <w:t xml:space="preserve">Beyond microelectronics, the transition to renewable and sustainable energy has opened a second broad front of application. Concentrated solar power plants require heat transfer fluids that remain stable and conductive at high temperature, and the volumetric absorption of solar radiation by particle-laden fluids offers a route to higher receiver efficiency than the conventional surface-absorption approach [11]. Thermal energy storage, the cooling of photovoltaic panels to arrest the efficiency loss that accompanies their heating, and the thermal management of the large battery packs of electric vehicles all present demanding heat transfer problems in which nanofluids have been proposed as part of the solution [11]. The common thread uniting these disparate applications is a need to move more heat through a given volume or across a given temperature difference than conventional fluids permit, and it is this need that the nanofluid concept addresses at the most fundamental level [12].</w:t>
      </w:r>
    </w:p>
    <w:p>
      <w:pPr>
        <w:jc w:val="both"/>
        <w:spacing w:before="0" w:after="160" w:line="276" w:lineRule="auto"/>
      </w:pPr>
      <w:r>
        <w:t xml:space="preserve">Yet the enthusiasm that greeted the earliest reports of dramatic conductivity enhancement has been tempered by a sobering accumulation of practical difficulties, and an honest account of the field must give these challenges their due weight. The foremost among them is the problem of long-term stability, for a suspension of dense solid particles in a liquid is thermodynamically inclined to separate, the particles tending to aggregate under the influence of van der Waals attraction and then to settle under gravity, so that a nanofluid that performs admirably in a freshly prepared sample may lose much of its advantage after weeks or months of service [12]. A second and closely related difficulty is the increase in viscosity that inevitably accompanies the addition of particles, an increase that is frequently more than proportional to the conductivity gain and that translates directly into higher pumping power, so that the net benefit at constant pumping power may be far smaller than the raw conductivity figures suggest, and in unfavourable cases may vanish altogether [12].</w:t>
      </w:r>
    </w:p>
    <w:p>
      <w:pPr>
        <w:jc w:val="both"/>
        <w:spacing w:before="0" w:after="160" w:line="276" w:lineRule="auto"/>
      </w:pPr>
      <w:r>
        <w:t xml:space="preserve">Further concerns include the potential for abrasion and erosion of pump impellers and channel walls by hard ceramic particles, the risk of clogging in the fine passages of microchannel devices, the cost and energy intensity of producing well-dispersed nanoparticles at industrial scale, and a set of not-yet-fully-characterised questions surrounding the health and environmental consequences of handling and disposing of nanomaterials [13]. Perhaps most vexing from a scientific standpoint has been the poor reproducibility of many early measurements, with different laboratories reporting widely divergent conductivity enhancements for nominally identical suspensions, a state of affairs that prompted an international benchmark exercise whose sobering conclusion was that much of the apparent disagreement stemmed from uncontrolled differences in preparation, dispersion, and measurement technique rather than from any genuine physics [13]. This experience has instilled in the mature field a proper respect for careful sample characterisation and rigorous uncertainty analysis, themes to which the whole of Chapter 3 is devoted.</w:t>
      </w:r>
    </w:p>
    <w:p>
      <w:pPr>
        <w:jc w:val="both"/>
        <w:spacing w:before="0" w:after="160" w:line="276" w:lineRule="auto"/>
      </w:pPr>
      <w:r>
        <w:t xml:space="preserve">The economic dimension of these challenges deserves emphasis, for it is ultimately on economic grounds that the adoption of any new technology is decided. The preparation of a well-dispersed nanofluid, particularly by the superior one-step routes or with the surface functionalisation required for long-term stability, is an expensive undertaking, and the cost of the nanoparticles themselves, especially of the high-performance carbon nanostructures and noble metals, is far from negligible. Against this cost must be set the value of the benefit conferred, which in a high-value application such as the cooling of a data centre or a spacecraft may readily justify a considerable expenditure, but which in a cost-sensitive commodity application such as an automobile radiator affords a much narrower margin. The economic case for a nanofluid is therefore strongly application dependent, and it is closely bound up with the durability of the fluid, since a suspension that must be replaced frequently on account of instability presents a recurring cost that may quickly erode any thermal benefit. This coupling of the technical and the economic is characteristic of the whole field and cautions against any judgement of a nanofluid on purely thermal grounds.</w:t>
      </w:r>
    </w:p>
    <w:p>
      <w:pPr>
        <w:jc w:val="both"/>
        <w:spacing w:before="0" w:after="160" w:line="276" w:lineRule="auto"/>
      </w:pPr>
      <w:r>
        <w:t xml:space="preserve">The environmental and safety considerations, though less often quantified, are of growing importance as the technology moves toward commercialisation. The manufacture of nanoparticles is energy intensive, and a full life-cycle assessment must weigh the energy expended in producing and dispersing the particles against the energy saved through improved thermal performance, a calculation whose outcome is by no means always favourable. The handling of dry nanopowders raises legitimate concerns for the health of workers, since particles of such small size may be inhaled and deposited deep within the lung, and the eventual disposal of spent nanofluid raises questions about the fate of the nanoparticles in the environment that are only beginning to be addressed. A responsible development of the technology must attend to these concerns from the outset rather than treating them as an afterthought, and the growing body of work on the safe handling and environmentally benign formulation of nanofluids is a welcome sign of the field's maturation.</w:t>
      </w:r>
    </w:p>
    <w:p>
      <w:pPr>
        <w:jc w:val="both"/>
        <w:spacing w:before="0" w:after="160" w:line="276" w:lineRule="auto"/>
      </w:pPr>
      <w:r>
        <w:t xml:space="preserve">It is against this balanced assessment of promise and peril that the remainder of the monograph proceeds. The technology is neither the panacea that its most enthusiastic early proponents suggested nor the illusion that its harshest critics alleged, but a genuine and useful tool whose successful application demands a clear understanding of both its underlying physics and its practical limitations. The chapters that follow aim to supply that understanding, beginning with the fundamental nature and properties of nanofluids themselves before turning to the experimental methods by which their performance is measured and validated [13].</w:t>
      </w:r>
    </w:p>
    <w:p>
      <w:pPr>
        <w:jc w:val="both"/>
        <w:spacing w:before="0" w:after="160" w:line="276" w:lineRule="auto"/>
      </w:pPr>
      <w:r>
        <w:t xml:space="preserve">Before leaving the fundamentals, it is worth dwelling a little longer on the quantitative structure of the thermal resistance network, because the insights it yields recur throughout the analysis of nanofluid systems. In a simple liquid-cooled wall the heat generated within a solid component must pass first by conduction through the solid, then across the solid-liquid interface by convection, and finally be carried away by the bulk motion of the coolant, the temperature falling by an increment at each stage in proportion to the resistance of that stage. When these resistances are written out explicitly it becomes apparent that the conductive resistance of a thin, high-conductivity metal wall is usually negligible, that the convective resistance is inversely proportional to the product of the heat transfer coefficient and the wetted area, and that the coolant-side resistance depends on the flow rate and the heat capacity of the fluid. The practical art of thermal design consists very largely in identifying which of these resistances dominates and then attacking it, and it is a fortunate circumstance for the nanofluid concept that the convective resistance, which the enhanced conductivity of a nanofluid is well suited to reduce, so often turns out to be the controlling one.</w:t>
      </w:r>
    </w:p>
    <w:p>
      <w:pPr>
        <w:jc w:val="both"/>
        <w:spacing w:before="0" w:after="160" w:line="276" w:lineRule="auto"/>
      </w:pPr>
      <w:r>
        <w:t xml:space="preserve">The convective resistance itself repays closer examination, for its dependence on the fluid properties is neither simple nor uniform across the flow regimes. In fully developed laminar flow the Nusselt number is a constant fixed by the geometry and the thermal boundary condition, so that the heat transfer coefficient is directly proportional to the thermal conductivity of the fluid and to nothing else, and a nanofluid whose conductivity exceeds that of its base fluid by a given percentage enhances the laminar heat transfer coefficient by very nearly the same percentage. In turbulent flow, by contrast, the heat transfer coefficient depends on the conductivity raised to a power less than unity and on the viscosity, density, and specific heat through the Reynolds and Prandtl numbers, so that the relationship between the property enhancement and the performance enhancement is considerably diluted and complicated. This contrast between the regimes, foreshadowed here, will be seen to explain much of the regime-dependent character of the experimental findings reported in the final chapter, and it is one of the unifying themes of the whole subject.</w:t>
      </w:r>
    </w:p>
    <w:p>
      <w:pPr>
        <w:jc w:val="both"/>
        <w:spacing w:before="0" w:after="160" w:line="276" w:lineRule="auto"/>
      </w:pPr>
      <w:r>
        <w:t xml:space="preserve">A further fundamental consideration concerns the thermal boundary layer, the thin region adjacent to the wall across which the fluid temperature adjusts from the wall value to the bulk value and within which nearly the whole of the convective resistance resides. The thickness of this layer, relative to that of the velocity boundary layer, is governed by the Prandtl number, and for the aqueous fluids of principal interest, whose Prandtl number is of the order of several units, the thermal layer is somewhat thinner than the velocity layer. Any mechanism that thins the thermal boundary layer, whether by promoting turbulent mixing, by disrupting the layer with surface features, or, as some have proposed for nanofluids, by inducing a micro-convective stirring through the motion of the suspended particles, acts to raise the heat transfer coefficient, and the identification of such mechanisms is a recurring preoccupation of the field. Whether nanoparticles genuinely thin the thermal boundary layer by an active mechanism, or whether their benefit is confined to the passive alteration of the bulk properties, is among the questions that careful experiment has been called upon to settle.</w:t>
      </w:r>
    </w:p>
    <w:p>
      <w:pPr>
        <w:jc w:val="both"/>
        <w:spacing w:before="0" w:after="160" w:line="276" w:lineRule="auto"/>
      </w:pPr>
      <w:r>
        <w:t xml:space="preserve">It is instructive, finally, to place the numerical magnitudes in perspective. The heat flux that can be removed from a surface by natural convection in air is measured in tens of watts per square metre; by forced convection in air, in hundreds; by forced convection in a liquid, in tens of thousands; and by boiling, in millions. Each transition to a more effective cooling mode buys perhaps two orders of magnitude, and the history of thermal engineering can be read as a succession of such transitions forced by the ever-rising heat fluxes of successive generations of technology. The enhancement offered by a nanofluid, typically some tens of per cent, is modest by comparison with these order-of-magnitude leaps, and it is therefore best understood not as a transformative new cooling mode but as an incremental refinement of liquid cooling, valuable precisely in those applications that have already exhausted the easier gains and for which even a marginal improvement carries a high value. This measured assessment of the scale of the benefit is essential to a realistic appraisal of the technology and guards against both the uncritical enthusiasm and the dismissive scepticism that have at different times distorted the field.</w:t>
      </w:r>
    </w:p>
    <w:p>
      <w:pPr>
        <w:pStyle w:val="Heading1"/>
        <w:spacing w:before="240" w:after="120" w:line="276" w:lineRule="auto"/>
      </w:pPr>
      <w:r>
        <w:rPr>
          <w:b/>
          <w:sz w:val="32"/>
          <w:szCs w:val="32"/>
          <w:color w:val="1F3864"/>
        </w:rPr>
        <w:t xml:space="preserve">Chapter 2. Nanofluids: Fundamentals, Properties, and Applications</w:t>
      </w:r>
    </w:p>
    <w:p>
      <w:pPr>
        <w:jc w:val="both"/>
        <w:spacing w:before="0" w:after="160" w:line="276" w:lineRule="auto"/>
      </w:pPr>
      <w:r>
        <w:t xml:space="preserve">Having established in the preceding chapter both the fundamental physics of heat transfer and the practical diagnosis that the poor conductivity of conventional liquids is the bottleneck limiting a large class of liquid-cooled systems, the present chapter develops in detail the response to that diagnosis represented by the nanofluid. The treatment proceeds from the constitution and preparation of these fluids, through the measurement and modelling of the four thermophysical properties that determine their value, to the flow and heat transfer behaviour that follows from those properties and the applications that behaviour enables. Throughout, the governing tension between the beneficial enhancement of conductivity and the detrimental increase of viscosity is kept in view, for it is this tension, rather than the conductivity enhancement considered alone, that determines whether a nanofluid is genuinely advantageous, and its resolution in favour of the fluid requires the careful optimisation of every choice open to the formulator.</w:t>
      </w:r>
    </w:p>
    <w:p>
      <w:pPr>
        <w:pStyle w:val="Heading2"/>
        <w:spacing w:before="240" w:after="120" w:line="276" w:lineRule="auto"/>
      </w:pPr>
      <w:r>
        <w:rPr>
          <w:b/>
          <w:sz w:val="26"/>
          <w:szCs w:val="26"/>
          <w:color w:val="1F3864"/>
        </w:rPr>
        <w:t xml:space="preserve">2.1 Classification and Preparation of Nanofluids</w:t>
      </w:r>
    </w:p>
    <w:p>
      <w:pPr>
        <w:jc w:val="both"/>
        <w:spacing w:before="0" w:after="160" w:line="276" w:lineRule="auto"/>
      </w:pPr>
      <w:r>
        <w:t xml:space="preserve">A nanofluid is defined as a stable suspension of solid particles, at least one of whose dimensions lies below approximately one hundred nanometres, within a conventional liquid heat transfer medium. The term itself was coined in the mid-1990s to distinguish these engineered colloids from the much older millimetre- and micrometre-scale slurries that had long been known to enhance conductivity but that suffered from rapid sedimentation, severe abrasion, and unacceptable pressure drop. The decisive insight underlying the nanofluid concept was that reducing the particle size into the nanometre range would simultaneously suppress sedimentation, by increasing the ratio of the stabilising Brownian and surface forces to the destabilising gravitational force, and mitigate abrasion and clogging, while retaining and indeed amplifying the conductivity benefit through the enormous specific surface area that accompanies small particle size [14]. Whether every one of these hopes has been fully realised remains a matter of ongoing debate, but the classification of nanofluids according to their constituents provides a natural framework within which to organise the discussion.</w:t>
      </w:r>
    </w:p>
    <w:p>
      <w:pPr>
        <w:jc w:val="both"/>
        <w:spacing w:before="0" w:after="160" w:line="276" w:lineRule="auto"/>
      </w:pPr>
      <w:r>
        <w:t xml:space="preserve">The most fundamental classification rests on the material of the dispersed phase. Metallic nanofluids employ particles of copper, silver, gold, or aluminium, whose very high intrinsic conductivity offers the greatest potential enhancement but whose susceptibility to oxidation complicates their preparation and storage. Ceramic or oxide nanofluids, based on alumina, titania, copper oxide, silica, or zinc oxide, are far more common in practice because the particles are chemically stable, comparatively inexpensive, and available commercially in well-controlled size distributions, even though their conductivity is an order of magnitude below that of the metals [14]. Carbon-based nanofluids, incorporating carbon nanotubes, graphene, graphene oxide, or diamond nanoparticles, occupy a special position on account of the extraordinarily high conductivity and high aspect ratio of these materials, which can produce very large enhancements at exceptionally low loadings but which also present acute challenges of dispersion because of the strong tendency of carbon nanostructures to aggregate [14].</w:t>
      </w:r>
    </w:p>
    <w:p>
      <w:pPr>
        <w:jc w:val="both"/>
        <w:spacing w:before="0" w:after="160" w:line="276" w:lineRule="auto"/>
      </w:pPr>
      <w:r>
        <w:t xml:space="preserve">The relative merits of the two-step and one-step preparation routes deserve a more careful weighing, for the choice between them shapes every subsequent property of the fluid. The two-step route enjoys the decisive practical advantages of economy and scalability, since it draws upon the mature industry that produces dry nanopowders in quantity and at moderate cost, and it separates the synthesis of the particles from their dispersion, allowing each to be optimised independently. Its besetting weakness is that the dry powder, during its production, drying, and storage, develops strong interparticle bonds that resist redispersion, so that the suspension prepared from it tends to contain aggregates that no amount of sonication wholly eliminates, and that reform after sonication ceases. The one-step route avoids this difficulty by never allowing the particles to exist in the dry state, generating them directly within the liquid so that they are stabilised from the moment of their formation, and it consequently yields suspensions of superior dispersion and stability. Its disadvantages of higher cost, limited throughput, and, in the chemical variant, the persistence of reaction by-products confine it largely to research and to high-value applications, and the tension between the scalable but inferior two-step route and the superior but unscalable one-step route is one that the field has yet fully to resolve.</w:t>
      </w:r>
    </w:p>
    <w:p>
      <w:pPr>
        <w:jc w:val="both"/>
        <w:spacing w:before="0" w:after="160" w:line="276" w:lineRule="auto"/>
      </w:pPr>
      <w:r>
        <w:t xml:space="preserve">A further and increasingly prominent category is that of hybrid nanofluids, in which two or more distinct particle species are dispersed simultaneously within a single base fluid in the expectation that the composite will combine the advantageous properties of each constituent. A suspension pairing a highly conductive metal with a chemically stable oxide, for example, may achieve a favourable compromise between enhancement and durability that neither component could attain alone, and the design of such hybrids in optimal proportion has become an active research frontier [15]. Cutting across all of these material categories is the choice of base fluid, which is most often water on account of its high heat capacity and benign character, but which may equally be ethylene glycol or a water-glycol mixture where freeze protection is required, a mineral or synthetic oil where high-temperature stability or electrical insulation is demanded, or a refrigerant in two-phase applications [15].</w:t>
      </w:r>
    </w:p>
    <w:p>
      <w:pPr>
        <w:jc w:val="both"/>
        <w:spacing w:before="0" w:after="160" w:line="276" w:lineRule="auto"/>
      </w:pPr>
      <w:r>
        <w:t xml:space="preserve">The preparation of a nanofluid is far more than an incidental laboratory chore, for the method of preparation exerts a decisive influence on the stability and the measured properties of the final suspension, and the notorious irreproducibility of early conductivity data is now understood to have arisen in large part from insufficient attention to this stage. Two broad strategies are distinguished. In the two-step method, which is by far the more common because it lends itself to the use of commercially produced dry nanopowders, the particles are first synthesised or purchased in powder form and then dispersed into the base fluid in a separate operation, typically with the aid of prolonged magnetic stirring, high-shear homogenisation, and above all ultrasonic agitation to break up the agglomerates that form during storage of the dry powder [15]. The two-step route is economical and scalable but tends to yield suspensions that are more prone to aggregation, because the powder particles have already experienced strong interparticle bonding in the dry state.</w:t>
      </w:r>
    </w:p>
    <w:p>
      <w:pPr>
        <w:jc w:val="both"/>
        <w:spacing w:before="0" w:after="160" w:line="276" w:lineRule="auto"/>
      </w:pPr>
      <w:r>
        <w:t xml:space="preserve">In the one-step method, by contrast, the particles are synthesised directly within the base fluid, so that the intermediate dry-powder stage is eliminated altogether and the particles never have the opportunity to form the tenacious dry agglomerates that plague the two-step route. Physical one-step methods based on the direct condensation of a metal vapour into a flowing liquid, and chemical one-step methods based on the reduction of a dissolved metal salt, both fall within this category, and both generally produce more stable suspensions with better-dispersed particles [16]. Their drawbacks are a higher cost, a limited production rate, and in the chemical case the frequent persistence of reaction by-products in the final fluid, which restricts their use to research and to specialised applications where the superior dispersion justifies the expense [16].</w:t>
      </w:r>
    </w:p>
    <w:p>
      <w:pPr>
        <w:jc w:val="both"/>
        <w:spacing w:before="0" w:after="160" w:line="276" w:lineRule="auto"/>
      </w:pPr>
      <w:r>
        <w:t xml:space="preserve">The choice of base fluid, though sometimes treated as a secondary consideration, exerts an influence on the performance and practicality of a nanofluid fully comparable to that of the particle, and it merits a correspondingly deliberate selection. Water is the base fluid of first resort wherever its properties permit, for it combines the highest volumetric heat capacity of any common liquid with a respectable conductivity, a low viscosity, chemical benignity, and negligible cost, and the great majority of nanofluid research has accordingly employed aqueous suspensions. Its limitations, however, are real: it freezes at a temperature inconvenient for many outdoor and automotive applications, it boils at a temperature too low for high-temperature service at atmospheric pressure, and it is corrosive to many metals and electrically conducting, which disqualifies it from the direct cooling of electrical equipment. Where these limitations bind, ethylene glycol or a water-glycol mixture extends the liquid range at the cost of a lower heat capacity and a higher viscosity, a mineral or synthetic oil provides high-temperature stability and electrical insulation at the cost of a much lower conductivity and heat capacity, and a refrigerant enables the exploitation of latent heat in two-phase systems. The enhancement afforded by a given loading of nanoparticles is, moreover, generally greater in a base fluid of lower intrinsic conductivity, so that the relative benefit of a nanofluid is often larger in oil or glycol than in water, a consideration that partly offsets the inferior absolute properties of the non-aqueous carriers.</w:t>
      </w:r>
    </w:p>
    <w:p>
      <w:pPr>
        <w:jc w:val="both"/>
        <w:spacing w:before="0" w:after="160" w:line="276" w:lineRule="auto"/>
      </w:pPr>
      <w:r>
        <w:t xml:space="preserve">Whatever the route of preparation, the achievement of long-term stability against aggregation and sedimentation is the paramount practical concern, and three complementary strategies are employed to secure it. The first is the adjustment of the pH of the suspension away from the isoelectric point of the particles, which maximises the electrostatic repulsion arising from the surface charge and thereby opposes the van der Waals attraction that drives aggregation. The second is the addition of surface-active agents, or surfactants, whose molecules adsorb onto the particle surfaces and provide either an additional electrostatic barrier or a steric one, though at the cost of a possible increase in viscosity and a degradation of stability at elevated temperature where the surfactant may desorb or decompose [16]. The third is the direct surface functionalisation of the particles by the covalent grafting of chemical groups that confer permanent dispersibility, an elegant but more elaborate approach particularly favoured for the otherwise intractable carbon nanostructures [17].</w:t>
      </w:r>
    </w:p>
    <w:p>
      <w:pPr>
        <w:jc w:val="both"/>
        <w:spacing w:before="0" w:after="160" w:line="276" w:lineRule="auto"/>
      </w:pPr>
      <w:r>
        <w:t xml:space="preserve">The physics of colloidal stability underlying these preparation strategies repays a more careful account, since an understanding of it is the key to the rational rather than the merely empirical formulation of a stable nanofluid. Two nanoparticles approaching one another in a liquid experience a competition between an attractive van der Waals force, which arises from the correlated fluctuations of the electron clouds of the two solids and which grows rapidly as the particles draw close, and a repulsive force, which may be electrostatic, arising from the overlap of the charged double layers that surround charged particles in a polar liquid, or steric, arising from the crowding of adsorbed molecular chains. The classical theory of this competition, associated with the names of Derjaguin, Landau, Verwey, and Overbeek, describes the total interaction energy as a function of the separation and predicts an energy barrier that the particles must surmount before they can fall into the deep attractive well at contact. A high barrier confers kinetic stability, retarding aggregation for a useful period, and the several stabilisation strategies may be understood as so many means of raising this barrier.</w:t>
      </w:r>
    </w:p>
    <w:p>
      <w:pPr>
        <w:jc w:val="both"/>
        <w:spacing w:before="0" w:after="160" w:line="276" w:lineRule="auto"/>
      </w:pPr>
      <w:r>
        <w:t xml:space="preserve">The measurement and interpretation of the zeta potential, which quantifies the electrostatic contribution to this barrier, is accordingly one of the most valuable diagnostics in the formulator's repertoire. The zeta potential is the electrical potential at the plane of shear that separates the ions moving with the particle from those remaining with the bulk liquid, and its magnitude is a measure of the effective surface charge that generates the electrostatic repulsion. A suspension whose particles carry a zeta potential large in magnitude, whether positive or negative, is strongly stabilised, while a suspension whose zeta potential approaches zero, as it does at the isoelectric point where the surface charge vanishes, is prone to rapid aggregation. The adjustment of the pH to drive the zeta potential far from the isoelectric point is therefore among the simplest and most effective means of stabilisation, requiring no additive that might contaminate the fluid or degrade at temperature, and it is widely employed for the oxide nanofluids whose isoelectric points are well characterised.</w:t>
      </w:r>
    </w:p>
    <w:p>
      <w:pPr>
        <w:jc w:val="both"/>
        <w:spacing w:before="0" w:after="160" w:line="276" w:lineRule="auto"/>
      </w:pPr>
      <w:r>
        <w:t xml:space="preserve">The choice and dosage of surfactant, where a surfactant is employed, is a matter of some delicacy, for too little affords insufficient stabilisation while too much introduces excess free surfactant that may foam, that increases the viscosity, and that may itself degrade at elevated temperature to leave a residue. The surfactant must moreover be chosen to suit the polarity of the base fluid and the chemistry of the particle surface, an anionic or cationic surfactant being appropriate for the electrostatic stabilisation of particles in water while a non-ionic surfactant with a long hydrophobic tail is more suitable for steric stabilisation in an oil. The thermal limitation of surfactants is a serious practical constraint, for many common surfactants begin to decompose above temperatures that are modest by the standards of high-temperature thermal applications, and this limitation has stimulated the search for the more durable if more laborious route of covalent surface functionalisation, in which stabilising groups are chemically bonded to the particle surface and cannot desorb or wash away.</w:t>
      </w:r>
    </w:p>
    <w:p>
      <w:pPr>
        <w:jc w:val="both"/>
        <w:spacing w:before="0" w:after="160" w:line="276" w:lineRule="auto"/>
      </w:pPr>
      <w:r>
        <w:t xml:space="preserve">The state of dispersion achieved by these methods is not merely a matter of shelf life but bears directly on the thermal performance of the fluid, for an aggregated suspension behaves quite differently from a well-dispersed one of the same nominal composition. This intimate coupling between preparation, stability, and property means that any credible report of nanofluid performance must be accompanied by a full account of how the sample was prepared and characterised, a discipline that the field learned only gradually and at some cost to its early credibility [17]. With the classification and preparation of nanofluids thus established, attention turns naturally to the thermophysical properties that these preparation choices are intended to optimise.</w:t>
      </w:r>
    </w:p>
    <w:p>
      <w:pPr>
        <w:pStyle w:val="Heading2"/>
        <w:spacing w:before="240" w:after="120" w:line="276" w:lineRule="auto"/>
      </w:pPr>
      <w:r>
        <w:rPr>
          <w:b/>
          <w:sz w:val="26"/>
          <w:szCs w:val="26"/>
          <w:color w:val="1F3864"/>
        </w:rPr>
        <w:t xml:space="preserve">2.2 Thermophysical Properties of Nanofluids</w:t>
      </w:r>
    </w:p>
    <w:p>
      <w:pPr>
        <w:jc w:val="both"/>
        <w:spacing w:before="0" w:after="160" w:line="276" w:lineRule="auto"/>
      </w:pPr>
      <w:r>
        <w:t xml:space="preserve">The engineering value of a nanofluid is determined entirely by four thermophysical properties, namely its thermal conductivity, its viscosity, its density, and its specific heat capacity, together with the way these properties vary with temperature and with particle concentration. Of the four, thermal conductivity has attracted overwhelmingly the greatest attention, both because it is the property most directly responsible for the enhancement that motivates the whole enterprise and because its behaviour has proved the most surprising and the most contentious. The remaining three properties, though less glamorous, are indispensable to any realistic performance prediction, and the neglect of the viscosity increase in particular has been responsible for many an over-optimistic early assessment [18].</w:t>
      </w:r>
    </w:p>
    <w:p>
      <w:pPr>
        <w:jc w:val="both"/>
        <w:spacing w:before="0" w:after="160" w:line="276" w:lineRule="auto"/>
      </w:pPr>
      <w:r>
        <w:t xml:space="preserve">The density and the specific heat of a nanofluid are the least controversial of its properties, being predicted with good accuracy by simple mixing rules founded on the conservation of mass and energy. The density follows a straightforward volume-weighted average of the densities of the particle and the base fluid, and the specific heat follows from the requirement that the heat capacity of the mixture equal the sum of the heat capacities of its components, which yields a mass-weighted rather than a volume-weighted average. Because the solid particles are typically several times denser than the base fluid, the addition of even a modest volume fraction raises the density appreciably, while because most solids have a lower specific heat than water, the same addition lowers the specific heat of the suspension [18]. Both effects are generally small at the low volume fractions of practical interest, and both are captured with sufficient accuracy by the classical mixing rules, so that experimental attention has rightly concentrated on the two more troublesome properties [18].</w:t>
      </w:r>
    </w:p>
    <w:p>
      <w:pPr>
        <w:jc w:val="both"/>
        <w:spacing w:before="0" w:after="160" w:line="276" w:lineRule="auto"/>
      </w:pPr>
      <w:r>
        <w:t xml:space="preserve">A more careful treatment of the density and specific heat is warranted notwithstanding their comparative simplicity, because these two properties, together with the conductivity, combine to determine the thermal diffusivity, which governs the rate at which a temperature disturbance propagates through the fluid and which enters directly into the analysis of transient and developing-flow heat transfer. The thermal diffusivity is the ratio of the conductivity to the product of the density and the specific heat, and it is a revealing quantity because the addition of nanoparticles raises the conductivity, raises the density, and lowers the specific heat, the last two effects partially offsetting the first in their influence on the diffusivity. The net effect on the diffusivity is therefore smaller than the effect on the conductivity alone, and this observation tempers the expectation of enhancement in those transient applications where the diffusivity rather than the conductivity is the governing property, a subtlety frequently overlooked in assessments that fixate on the conductivity in isolation.</w:t>
      </w:r>
    </w:p>
    <w:p>
      <w:pPr>
        <w:jc w:val="both"/>
        <w:spacing w:before="0" w:after="160" w:line="276" w:lineRule="auto"/>
      </w:pPr>
      <w:r>
        <w:t xml:space="preserve">The volumetric heat capacity, the product of density and specific heat, is likewise a property of independent importance, for it determines the quantity of energy that a given volume of the fluid can carry away per degree of temperature rise and hence the coolant flow rate required for a specified heat rejection duty. Because the addition of dense, low-specific-heat particles lowers the mass-based specific heat while raising the density, the volumetric heat capacity changes only modestly, and in some systems it may even decrease slightly, so that a nanofluid, despite its superior conductivity, may carry no more energy per unit volume than its base fluid and may in consequence require a comparable or even greater flow rate to accomplish a given duty. This consideration is easily neglected in the enthusiasm over conductivity enhancement, yet it bears directly on the pumping power and hence on the overall merit of the fluid, and its inclusion in any complete assessment is essential.</w:t>
      </w:r>
    </w:p>
    <w:p>
      <w:pPr>
        <w:jc w:val="center"/>
        <w:spacing w:before="0" w:after="80" w:line="276" w:lineRule="auto"/>
      </w:pPr>
      <w:r>
        <w:drawing>
          <wp:inline distT="0" distB="0" distL="0" distR="0">
            <wp:extent cx="5334000" cy="3552825"/>
            <wp:effectExtent l="0" t="0" r="0" b="0"/>
            <wp:docPr id="67368" name="Picture 6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 name="Picture 67368"/>
                    <pic:cNvPicPr/>
                  </pic:nvPicPr>
                  <pic:blipFill>
                    <a:blip r:embed="rIdImg2"/>
                    <a:stretch>
                      <a:fillRect/>
                    </a:stretch>
                  </pic:blipFill>
                  <pic:spPr>
                    <a:xfrm>
                      <a:off x="0" y="0"/>
                      <a:ext cx="5334000" cy="3552825"/>
                    </a:xfrm>
                    <a:prstGeom prst="rect">
                      <a:avLst/>
                    </a:prstGeom>
                  </pic:spPr>
                </pic:pic>
              </a:graphicData>
            </a:graphic>
          </wp:inline>
        </w:drawing>
      </w:r>
    </w:p>
    <w:p>
      <w:pPr>
        <w:jc w:val="center"/>
        <w:spacing w:before="0" w:after="200" w:line="276" w:lineRule="auto"/>
      </w:pPr>
      <w:r>
        <w:rPr>
          <w:i/>
          <w:sz w:val="18"/>
          <w:szCs w:val="18"/>
          <w:color w:val="404040"/>
        </w:rPr>
        <w:t xml:space="preserve">Figure 1. Relative thermal conductivity, expressed as the ratio of the conductivity of the nanofluid to that of the base fluid, plotted against the particle volume fraction for four representative water-based nanofluids, showing the approximately linear rise at low loading and the strong influence of particle material.</w:t>
      </w:r>
    </w:p>
    <w:p>
      <w:pPr>
        <w:jc w:val="both"/>
        <w:spacing w:before="0" w:after="160" w:line="276" w:lineRule="auto"/>
      </w:pPr>
      <w:r>
        <w:t xml:space="preserve">The thermal conductivity of a nanofluid rises with increasing particle concentration in a manner that is approximately linear at the low volume fractions of practical interest, as the representative data collected in Figure 1 make clear. The magnitude of the enhancement, however, varies enormously with the particle material, ranging from a few per cent for the less conductive oxides at low loading to enhancements of several tens of per cent for carbon nanotubes at comparable volume fractions, a disparity that reflects both the intrinsic conductivity of the particle and, in the case of the high-aspect-ratio nanotubes, the ability of elongated particles to form conductive networks that span the fluid [19]. The earliest theoretical framework brought to bear on this behaviour was the effective-medium theory developed for dilute suspensions of spheres, associated with the names of Maxwell and, in its extension to non-spherical particles, of Hamilton and Crosser, which predicts the effective conductivity of the mixture from the conductivities of the two phases, the volume fraction, and an empirical shape factor [19].</w:t>
      </w:r>
    </w:p>
    <w:p>
      <w:pPr>
        <w:jc w:val="both"/>
        <w:spacing w:before="0" w:after="160" w:line="276" w:lineRule="auto"/>
      </w:pPr>
      <w:r>
        <w:t xml:space="preserve">The effective-medium framework itself repays a closer look, for its structure reveals both its power and its limitations. In its original form, due to Maxwell, it treats a dilute dispersion of non-interacting conducting spheres in a continuous matrix and derives the effective conductivity of the composite from the requirement that a sphere embedded in the effective medium disturb a distant uniform field no more than the actual dispersion does. The result depends only on the volume fraction and on the ratio of the particle conductivity to that of the fluid, and it exhibits the important feature of saturation, whereby once the particle conductivity greatly exceeds that of the fluid, as it does for a metal in water, further increases in the particle conductivity yield diminishing returns, so that the effective conductivity of the mixture is controlled by the volume fraction rather than by the extreme conductivity of the solid. This saturation explains the perhaps surprising observation that nanofluids based on very different high-conductivity solids may yield rather similar enhancements at equal loading, and it cautions against the expectation that the highest-conductivity particle will necessarily give the best fluid.</w:t>
      </w:r>
    </w:p>
    <w:p>
      <w:pPr>
        <w:jc w:val="both"/>
        <w:spacing w:before="0" w:after="160" w:line="276" w:lineRule="auto"/>
      </w:pPr>
      <w:r>
        <w:t xml:space="preserve">The Hamilton-Crosser extension generalises the Maxwell result to non-spherical particles through the introduction of an empirical shape factor that increases with the departure of the particle from sphericity, thereby accommodating the enhanced conductivity of suspensions of elongated or flattened particles. More elaborate models incorporate the interfacial thermal resistance, which reduces the effective conductivity of the particle, the ordered liquid nanolayer, which is represented as a shell of intermediate conductivity surrounding each particle, and the effect of aggregation, which is treated by regarding the fractal clusters rather than the individual particles as the conducting units. Each such refinement adds parameters that must be estimated or fitted, and there is a real danger that a model with sufficient adjustable parameters can be made to fit any data without thereby demonstrating the reality of the mechanism it purports to represent. The prudent use of these models therefore demands that the parameters be constrained by independent measurement wherever possible, and that the simplest model adequate to the data be preferred.</w:t>
      </w:r>
    </w:p>
    <w:p>
      <w:pPr>
        <w:jc w:val="both"/>
        <w:spacing w:before="0" w:after="160" w:line="276" w:lineRule="auto"/>
      </w:pPr>
      <w:r>
        <w:t xml:space="preserve">For many well-dispersed oxide nanofluids at moderate temperature the classical effective-medium prediction accounts satisfactorily for the observed conductivity, and a considerable body of careful measurement has confirmed that the enhancement in such systems is neither anomalous nor mysterious but simply the expected consequence of blending a conductive solid into a poorly conducting liquid [19]. A number of early studies, however, reported enhancements substantially exceeding the effective-medium prediction, and it was these anomalous results that ignited the most vigorous scientific debate in the history of the field and prompted the search for additional, genuinely nanoscale mechanisms of heat transport that the classical theory does not embody [20]. Four such mechanisms have been advanced and extensively scrutinised.</w:t>
      </w:r>
    </w:p>
    <w:p>
      <w:pPr>
        <w:jc w:val="both"/>
        <w:spacing w:before="0" w:after="160" w:line="276" w:lineRule="auto"/>
      </w:pPr>
      <w:r>
        <w:t xml:space="preserve">The first proposed mechanism is Brownian motion, the ceaseless random wandering of the suspended particles under bombardment by the molecules of the base fluid, which was thought to enhance conductivity either directly, by transporting energy as the particles migrate, or indirectly, by inducing a micro-scale convective stirring of the surrounding liquid. The second is the formation of an ordered nanolayer of liquid molecules adsorbed at the particle surface, a layer whose structure is presumed intermediate between that of the bulk liquid and that of the crystalline solid and whose conductivity is correspondingly elevated, so that each particle is effectively enlarged by a shell of high-conductivity material [20]. The third is the clustering or aggregation of particles into fractal structures that provide percolating paths of low thermal resistance through the suspension, a mechanism that carries the ironic implication that a degree of the very aggregation so carefully guarded against for reasons of stability may actually benefit conductivity [20]. The fourth invokes ballistic rather than diffusive phonon transport within the nanoparticles themselves, on the grounds that the particle dimension may be comparable to the phonon mean free path [21].</w:t>
      </w:r>
    </w:p>
    <w:p>
      <w:pPr>
        <w:jc w:val="both"/>
        <w:spacing w:before="0" w:after="160" w:line="276" w:lineRule="auto"/>
      </w:pPr>
      <w:r>
        <w:t xml:space="preserve">The Brownian-motion mechanism, the first and most intensively debated of the four, warrants a closer scrutiny both for its intrinsic interest and for the instructive manner in which careful analysis has circumscribed its significance. A nanoparticle suspended in a liquid is continually buffeted by the thermal motion of the surrounding molecules and executes in consequence a ceaseless random walk, the intensity of which increases with temperature and decreases with particle size. The direct transport of heat by this migration was shown by a simple estimate to be far too small to account for the observed enhancements, because the particles diffuse far too slowly to carry a significant heat flux, and attention shifted to an indirect mechanism in which the moving particles stir the surrounding liquid and set up a micro-convective flow that augments the transport. Careful analysis of this micro-convection, however, likewise found its contribution modest under most conditions, and the current consensus assigns to Brownian motion a real but generally secondary role, significant chiefly at higher temperatures and for the smallest particles, and insufficient by itself to explain the larger enhancements once reported.</w:t>
      </w:r>
    </w:p>
    <w:p>
      <w:pPr>
        <w:jc w:val="both"/>
        <w:spacing w:before="0" w:after="160" w:line="276" w:lineRule="auto"/>
      </w:pPr>
      <w:r>
        <w:t xml:space="preserve">The ordered-nanolayer mechanism rests on the observation that liquid molecules in the immediate vicinity of a solid surface are not arranged at random, as in the bulk, but adopt a partially ordered, quasi-crystalline structure induced by the surface, and on the conjecture that this ordered layer possesses a conductivity intermediate between that of the bulk liquid and that of the solid. Each particle would then be effectively surrounded by a shell of enhanced conductivity, enlarging its thermal footprint and raising the effective conductivity of the suspension above the effective-medium prediction based on the bare particle. The plausibility of this mechanism turns on the thickness and conductivity assigned to the nanolayer, quantities that are difficult to measure directly and that have often been treated as adjustable parameters, and the mechanism has been criticised on the ground that the layer thickness required to explain the larger enhancements exceeds what the physics of interfacial ordering can plausibly support. Like the Brownian mechanism, the nanolayer is now generally regarded as a genuine but minor contributor, capable of a small enhancement for the smallest particles but not of the dramatic effects that first motivated its proposal.</w:t>
      </w:r>
    </w:p>
    <w:p>
      <w:pPr>
        <w:jc w:val="both"/>
        <w:spacing w:before="0" w:after="160" w:line="276" w:lineRule="auto"/>
      </w:pPr>
      <w:r>
        <w:t xml:space="preserve">The relative importance of these mechanisms, and indeed whether any of them is needed at all to explain properly conducted measurements, remains only partially resolved. The international benchmark exercise already mentioned found that the conductivity of a wide range of nanofluids, when measured with proper care on well-characterised samples, fell within the bounds of the classical effective-medium theory, a finding that dampened much of the earlier excitement over anomalous enhancement and shifted the burden of proof onto claims of nanoscale effects [21]. The prevailing view today is that for the majority of oxide nanofluids the effective-medium framework, suitably corrected for the influence of aggregation, is adequate, while for carbon-based and certain metallic systems the high aspect ratio or the formation of conductive networks can produce genuine enhancements beyond the simplest spherical prediction [21]. The steep divergence of the carbon-nanotube curve from those of the oxides in Figure 1 is a direct visual expression of precisely this network-forming behaviour. The dependence of conductivity on temperature adds a further dimension, for the enhancement in many aqueous nanofluids grows with temperature, a trend consistent with a Brownian contribution but also explicable through the temperature dependence of the base-fluid properties themselves [22].</w:t>
      </w:r>
    </w:p>
    <w:p>
      <w:pPr>
        <w:jc w:val="both"/>
        <w:spacing w:before="0" w:after="160" w:line="276" w:lineRule="auto"/>
      </w:pPr>
      <w:r>
        <w:t xml:space="preserve">The debate over the anomalous conductivity of nanofluids, though now largely settled in favour of a conservative interpretation, was among the most instructive episodes in the recent history of thermal science, and its lessons extend well beyond the immediate question at issue. The earliest reports of enhancements two or three times greater than the effective-medium prediction attracted intense interest precisely because, if genuine, they would have signalled the operation of new physics at the nanoscale, and a profusion of theoretical models was advanced to explain them. As the measurements were repeated with greater care, however, and as the international benchmark exercise brought the leading laboratories to bear on a common set of samples under controlled conditions, the anomalous enhancements very largely evaporated, and it emerged that the earlier excesses had arisen from a combination of inadequate sample characterisation, the intrusion of natural convection into transient conductivity measurements, and the unrecognised effects of aggregation. The episode stands as a cautionary tale of the danger of building elaborate theoretical superstructures upon insufficiently scrutinised measurements.</w:t>
      </w:r>
    </w:p>
    <w:p>
      <w:pPr>
        <w:jc w:val="both"/>
        <w:spacing w:before="0" w:after="160" w:line="276" w:lineRule="auto"/>
      </w:pPr>
      <w:r>
        <w:t xml:space="preserve">This is not to say that aggregation is without effect on conductivity; on the contrary, the influence of aggregation is real and, in its sign, somewhat counter-intuitive. When particles aggregate into loose, fractal clusters, they create connected paths of solid material that span greater distances than the isolated particles could, and along these paths heat is conducted more readily than through the intervening liquid, so that a modest degree of aggregation can actually raise the conductivity above that of a perfectly dispersed suspension of the same loading. This benefit, however, comes at the price of a disproportionate increase in viscosity, since the open, liquid-filled structure of the aggregates immobilises a quantity of fluid far exceeding the volume of the solid, and it comes also at the price of the sedimentation that ultimately destroys the suspension. The apparent paradox that the aggregation so detrimental to stability may be beneficial to conductivity is thus resolved by recognising that its effect on the all-important figure of merit, which weighs conductivity against viscosity, is generally unfavourable.</w:t>
      </w:r>
    </w:p>
    <w:p>
      <w:pPr>
        <w:jc w:val="both"/>
        <w:spacing w:before="0" w:after="160" w:line="276" w:lineRule="auto"/>
      </w:pPr>
      <w:r>
        <w:t xml:space="preserve">The temperature dependence of the conductivity enhancement, which several workers have reported to strengthen markedly as the temperature rises, is a matter of both fundamental interest and practical consequence, since most applications operate well above room temperature. A strengthening of the enhancement with temperature is consistent with a contribution from Brownian motion, which intensifies as the thermal energy of the particles increases and their motion quickens, and it was originally adduced as evidence for the Brownian mechanism. A more prosaic explanation, however, notes that the conductivity of the base fluid itself varies with temperature, and that the properties entering the effective-medium prediction are themselves temperature dependent, so that a part at least of the apparent strengthening may be an artefact of expressing the enhancement as a ratio. The truth, as so often in this field, appears to lie between the extremes, with a genuine if modest temperature effect superimposed upon the trivial one, and the practical import is favourable in either case, since the enhancement tends to be larger under the elevated-temperature conditions of real service than in the room-temperature laboratory.</w:t>
      </w:r>
    </w:p>
    <w:p>
      <w:pPr>
        <w:jc w:val="both"/>
        <w:spacing w:before="0" w:after="160" w:line="276" w:lineRule="auto"/>
      </w:pPr>
      <w:r>
        <w:t xml:space="preserve">If thermal conductivity is the property that gives with one hand, viscosity is the property that takes away with the other, and no assessment of a nanofluid is complete without careful attention to it. The addition of solid particles invariably raises the viscosity of the suspension, and this increase is of the greatest practical consequence because it determines the pumping power required to circulate the fluid, a power that in an unfavourable case can consume the entire thermal benefit [22]. The classical theory of suspension viscosity, associated with Einstein, predicts a modest increase linear in the volume fraction and valid only for very dilute suspensions of rigid spheres, but the viscosity of real nanofluids almost always rises far more steeply than this prediction, particularly at higher concentrations where interparticle interactions and aggregation become important, and where the rise may become markedly non-linear [22].</w:t>
      </w:r>
    </w:p>
    <w:p>
      <w:pPr>
        <w:jc w:val="center"/>
        <w:spacing w:before="0" w:after="80" w:line="276" w:lineRule="auto"/>
      </w:pPr>
      <w:r>
        <w:drawing>
          <wp:inline distT="0" distB="0" distL="0" distR="0">
            <wp:extent cx="5334000" cy="3552825"/>
            <wp:effectExtent l="0" t="0" r="0" b="0"/>
            <wp:docPr id="97773" name="Picture 9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 name="Picture 97773"/>
                    <pic:cNvPicPr/>
                  </pic:nvPicPr>
                  <pic:blipFill>
                    <a:blip r:embed="rIdImg3"/>
                    <a:stretch>
                      <a:fillRect/>
                    </a:stretch>
                  </pic:blipFill>
                  <pic:spPr>
                    <a:xfrm>
                      <a:off x="0" y="0"/>
                      <a:ext cx="5334000" cy="3552825"/>
                    </a:xfrm>
                    <a:prstGeom prst="rect">
                      <a:avLst/>
                    </a:prstGeom>
                  </pic:spPr>
                </pic:pic>
              </a:graphicData>
            </a:graphic>
          </wp:inline>
        </w:drawing>
      </w:r>
    </w:p>
    <w:p>
      <w:pPr>
        <w:jc w:val="center"/>
        <w:spacing w:before="0" w:after="200" w:line="276" w:lineRule="auto"/>
      </w:pPr>
      <w:r>
        <w:rPr>
          <w:i/>
          <w:sz w:val="18"/>
          <w:szCs w:val="18"/>
          <w:color w:val="404040"/>
        </w:rPr>
        <w:t xml:space="preserve">Figure 4. The relative viscosity of a representative nanofluid rising steeply and non-linearly with particle volume fraction, shown together with a performance evaluation criterion that first increases and then declines, so that a distinct optimum concentration emerges from the competition between the two effects.</w:t>
      </w:r>
    </w:p>
    <w:p>
      <w:pPr>
        <w:jc w:val="both"/>
        <w:spacing w:before="0" w:after="160" w:line="276" w:lineRule="auto"/>
      </w:pPr>
      <w:r>
        <w:t xml:space="preserve">The competition between the beneficial rise in conductivity and the detrimental rise in viscosity is the central tension of the whole subject, and it is illustrated schematically in Figure 4, where the relative viscosity is seen to climb ever more steeply with concentration while a representative performance criterion first rises, as the conductivity benefit dominates at low loading, and then falls, as the viscosity penalty takes over at higher loading. The existence of such a maximum implies that there is an optimum concentration for any given application, a concentration that is generally far lower than the loading at which the raw conductivity enhancement is greatest, and the identification of this optimum is one of the principal objectives of the experimental programmes described in the following chapter [23]. Many nanofluids, moreover, exhibit non-Newtonian behaviour, their apparent viscosity depending on the rate of shear, most commonly in a shear-thinning manner that must be accounted for in the design of the flow system [23].</w:t>
      </w:r>
    </w:p>
    <w:p>
      <w:pPr>
        <w:jc w:val="both"/>
        <w:spacing w:before="0" w:after="160" w:line="276" w:lineRule="auto"/>
      </w:pPr>
      <w:r>
        <w:t xml:space="preserve">The rheological complexity of nanofluids extends well beyond the simple elevation of the Newtonian viscosity, and a proper characterisation must reckon with the possibility of shear-dependent and time-dependent behaviour. Many nanofluids, particularly those at higher concentration or containing elongated particles, exhibit shear thinning, in which the apparent viscosity falls as the shear rate increases, a behaviour attributed to the progressive breakdown under shear of the loose aggregate structure that forms at rest. Such behaviour is generally beneficial in a flowing system, since the viscosity encountered at the high shear rates prevailing near the wall is lower than the low-shear value that a simple measurement might report, but it complicates the analysis and demands that the viscosity be characterised over the full range of shear rates relevant to the application. A minority of systems display the opposite, shear-thickening behaviour, or exhibit a yield stress below which they do not flow at all, and these more exotic rheologies, while less common, must be identified where they occur lest they invalidate a design founded on the assumption of a simple Newtonian fluid.</w:t>
      </w:r>
    </w:p>
    <w:p>
      <w:pPr>
        <w:jc w:val="both"/>
        <w:spacing w:before="0" w:after="160" w:line="276" w:lineRule="auto"/>
      </w:pPr>
      <w:r>
        <w:t xml:space="preserve">The mechanistic origin of the excess viscosity, beyond the hydrodynamic contribution captured by the Einstein relation, lies in the interactions among the particles and between the particles and the fluid. At the lowest concentrations the particles are so far apart that each disturbs the flow independently, and the Einstein linear relation holds; as the concentration rises, the disturbance fields of neighbouring particles begin to overlap, introducing a quadratic term of the kind described by Batchelor; and at higher concentrations still the formation of aggregates and the immobilisation of fluid within them cause the viscosity to rise far more steeply than any low-order expansion in the concentration can describe. The electroviscous effect, arising from the distortion under shear of the charged double layers surrounding the particles, adds a further contribution that is significant for small, highly charged particles in a fluid of low ionic strength. The upshot of these several contributions is that the viscosity of a real nanofluid is a strongly non-linear function of concentration that must, in the present state of knowledge, be measured rather than predicted for any system of practical interest.</w:t>
      </w:r>
    </w:p>
    <w:p>
      <w:pPr>
        <w:jc w:val="both"/>
        <w:spacing w:before="0" w:after="160" w:line="276" w:lineRule="auto"/>
      </w:pPr>
      <w:r>
        <w:t xml:space="preserve">The temperature dependence of the viscosity is as important as that of the conductivity and works, fortunately, in a favourable direction, since the viscosity of both the base fluid and the nanofluid falls markedly with rising temperature, so that the pumping penalty is less severe under the elevated-temperature conditions typical of many applications [23]. The interplay of the four properties, each with its own concentration and temperature dependence, means that the net benefit of a nanofluid can be assessed only by combining them within an appropriate figure of merit, a point developed further in the next section and pursued experimentally in Chapter 3 [24]. Table 2 collects representative values of the four thermophysical properties for a well-studied alumina-water nanofluid at several volume fractions, providing a concrete illustration of the trends described in the preceding paragraphs [24].</w:t>
      </w:r>
    </w:p>
    <w:p>
      <w:pPr>
        <w:jc w:val="both"/>
        <w:spacing w:before="0" w:after="160" w:line="276" w:lineRule="auto"/>
      </w:pPr>
      <w:r>
        <w:t xml:space="preserve">It is useful, before proceeding to the flow behaviour, to draw together the several strands of the property discussion into a coherent picture of how the four properties jointly determine the value of a nanofluid. The thermal conductivity, enhanced above that of the base fluid, is the property that confers the benefit, entering the heat transfer coefficient directly in laminar flow and through the correlations in turbulent flow. The viscosity, also enhanced but more steeply, is the property that exacts the penalty, determining the pumping power required to circulate the fluid and, in turbulent flow, entering the heat transfer correlation as well. The density and the specific heat, changed more modestly and in opposite directions, together fix the volumetric heat capacity that determines the flow rate required for a given duty and the thermal diffusivity that governs the transient response. No one of these properties can be judged in isolation, for the benefit of the enhanced conductivity is meaningful only in relation to the penalty of the enhanced viscosity, and it is only when all four are combined within an appropriate figure of merit, evaluated under a clearly specified constraint, that a verdict on the value of the fluid can be reached. This holistic view of the property complement, rather than a fixation upon the conductivity alone, is the mature understanding toward which the field has laboured and which the remainder of this monograph seeks to instil.</w:t>
      </w:r>
    </w:p>
    <w:p>
      <w:pPr>
        <w:jc w:val="both"/>
        <w:spacing w:before="160" w:after="80" w:line="276" w:lineRule="auto"/>
      </w:pPr>
      <w:r>
        <w:rPr>
          <w:b/>
          <w:sz w:val="18"/>
          <w:szCs w:val="18"/>
        </w:rPr>
        <w:t xml:space="preserve">Table 2. Representative thermophysical properties of an alumina-water nanofluid at 30 degrees Celsius as a function of particle volume fraction (indicative values compiled to illustrate typical trends).</w:t>
      </w:r>
    </w:p>
    <w:tbl>
      <w:tblPr>
        <w:tblStyle w:val="TableGrid"/>
        <w:tblW w:w="9360" w:type="dxa"/>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val="04A0" w:firstRow="1" w:lastRow="0" w:firstColumn="1" w:lastColumn="0" w:noHBand="0" w:noVBand="1"/>
      </w:tblPr>
      <w:tblGrid>
        <w:gridCol w:w="1872"/>
        <w:gridCol w:w="1872"/>
        <w:gridCol w:w="1872"/>
        <w:gridCol w:w="1872"/>
        <w:gridCol w:w="1872"/>
      </w:tblGrid>
      <w:tr>
        <w:trPr>
          <w:tblHeader/>
        </w:trPr>
        <w:tc>
          <w:tcPr>
            <w:tcW w:w="1872" w:type="dxa"/>
            <w:shd w:val="clear" w:color="auto" w:fill="1F3864"/>
            <w:vAlign w:val="center"/>
          </w:tcPr>
          <w:p>
            <w:pPr>
              <w:spacing w:before="20" w:after="20" w:line="240" w:lineRule="auto"/>
            </w:pPr>
            <w:r>
              <w:rPr>
                <w:b/>
                <w:sz w:val="18"/>
                <w:szCs w:val="18"/>
                <w:color w:val="FFFFFF"/>
              </w:rPr>
              <w:t xml:space="preserve">Volume fraction (%)</w:t>
            </w:r>
          </w:p>
        </w:tc>
        <w:tc>
          <w:tcPr>
            <w:tcW w:w="1872" w:type="dxa"/>
            <w:shd w:val="clear" w:color="auto" w:fill="1F3864"/>
            <w:vAlign w:val="center"/>
          </w:tcPr>
          <w:p>
            <w:pPr>
              <w:spacing w:before="20" w:after="20" w:line="240" w:lineRule="auto"/>
            </w:pPr>
            <w:r>
              <w:rPr>
                <w:b/>
                <w:sz w:val="18"/>
                <w:szCs w:val="18"/>
                <w:color w:val="FFFFFF"/>
              </w:rPr>
              <w:t xml:space="preserve">Thermal conductivity (W/m.K)</w:t>
            </w:r>
          </w:p>
        </w:tc>
        <w:tc>
          <w:tcPr>
            <w:tcW w:w="1872" w:type="dxa"/>
            <w:shd w:val="clear" w:color="auto" w:fill="1F3864"/>
            <w:vAlign w:val="center"/>
          </w:tcPr>
          <w:p>
            <w:pPr>
              <w:spacing w:before="20" w:after="20" w:line="240" w:lineRule="auto"/>
            </w:pPr>
            <w:r>
              <w:rPr>
                <w:b/>
                <w:sz w:val="18"/>
                <w:szCs w:val="18"/>
                <w:color w:val="FFFFFF"/>
              </w:rPr>
              <w:t xml:space="preserve">Relative viscosity (-)</w:t>
            </w:r>
          </w:p>
        </w:tc>
        <w:tc>
          <w:tcPr>
            <w:tcW w:w="1872" w:type="dxa"/>
            <w:shd w:val="clear" w:color="auto" w:fill="1F3864"/>
            <w:vAlign w:val="center"/>
          </w:tcPr>
          <w:p>
            <w:pPr>
              <w:spacing w:before="20" w:after="20" w:line="240" w:lineRule="auto"/>
            </w:pPr>
            <w:r>
              <w:rPr>
                <w:b/>
                <w:sz w:val="18"/>
                <w:szCs w:val="18"/>
                <w:color w:val="FFFFFF"/>
              </w:rPr>
              <w:t xml:space="preserve">Density (kg/m3)</w:t>
            </w:r>
          </w:p>
        </w:tc>
        <w:tc>
          <w:tcPr>
            <w:tcW w:w="1872" w:type="dxa"/>
            <w:shd w:val="clear" w:color="auto" w:fill="1F3864"/>
            <w:vAlign w:val="center"/>
          </w:tcPr>
          <w:p>
            <w:pPr>
              <w:spacing w:before="20" w:after="20" w:line="240" w:lineRule="auto"/>
            </w:pPr>
            <w:r>
              <w:rPr>
                <w:b/>
                <w:sz w:val="18"/>
                <w:szCs w:val="18"/>
                <w:color w:val="FFFFFF"/>
              </w:rPr>
              <w:t xml:space="preserve">Specific heat (J/kg.K)</w:t>
            </w:r>
          </w:p>
        </w:tc>
      </w:tr>
      <w:tr>
        <w:tc>
          <w:tcPr>
            <w:tcW w:w="1872" w:type="dxa"/>
            <w:shd w:val="clear" w:color="auto" w:fill="F2F2F2"/>
            <w:vAlign w:val="center"/>
          </w:tcPr>
          <w:p>
            <w:pPr>
              <w:spacing w:before="20" w:after="20" w:line="240" w:lineRule="auto"/>
            </w:pPr>
            <w:r>
              <w:rPr>
                <w:sz w:val="18"/>
                <w:szCs w:val="18"/>
                <w:color w:val="000000"/>
              </w:rPr>
              <w:t xml:space="preserve">0.0</w:t>
            </w:r>
          </w:p>
        </w:tc>
        <w:tc>
          <w:tcPr>
            <w:tcW w:w="1872" w:type="dxa"/>
            <w:shd w:val="clear" w:color="auto" w:fill="F2F2F2"/>
            <w:vAlign w:val="center"/>
          </w:tcPr>
          <w:p>
            <w:pPr>
              <w:spacing w:before="20" w:after="20" w:line="240" w:lineRule="auto"/>
            </w:pPr>
            <w:r>
              <w:rPr>
                <w:sz w:val="18"/>
                <w:szCs w:val="18"/>
                <w:color w:val="000000"/>
              </w:rPr>
              <w:t xml:space="preserve">0.615</w:t>
            </w:r>
          </w:p>
        </w:tc>
        <w:tc>
          <w:tcPr>
            <w:tcW w:w="1872" w:type="dxa"/>
            <w:shd w:val="clear" w:color="auto" w:fill="F2F2F2"/>
            <w:vAlign w:val="center"/>
          </w:tcPr>
          <w:p>
            <w:pPr>
              <w:spacing w:before="20" w:after="20" w:line="240" w:lineRule="auto"/>
            </w:pPr>
            <w:r>
              <w:rPr>
                <w:sz w:val="18"/>
                <w:szCs w:val="18"/>
                <w:color w:val="000000"/>
              </w:rPr>
              <w:t xml:space="preserve">1.00</w:t>
            </w:r>
          </w:p>
        </w:tc>
        <w:tc>
          <w:tcPr>
            <w:tcW w:w="1872" w:type="dxa"/>
            <w:shd w:val="clear" w:color="auto" w:fill="F2F2F2"/>
            <w:vAlign w:val="center"/>
          </w:tcPr>
          <w:p>
            <w:pPr>
              <w:spacing w:before="20" w:after="20" w:line="240" w:lineRule="auto"/>
            </w:pPr>
            <w:r>
              <w:rPr>
                <w:sz w:val="18"/>
                <w:szCs w:val="18"/>
                <w:color w:val="000000"/>
              </w:rPr>
              <w:t xml:space="preserve">996</w:t>
            </w:r>
          </w:p>
        </w:tc>
        <w:tc>
          <w:tcPr>
            <w:tcW w:w="1872" w:type="dxa"/>
            <w:shd w:val="clear" w:color="auto" w:fill="F2F2F2"/>
            <w:vAlign w:val="center"/>
          </w:tcPr>
          <w:p>
            <w:pPr>
              <w:spacing w:before="20" w:after="20" w:line="240" w:lineRule="auto"/>
            </w:pPr>
            <w:r>
              <w:rPr>
                <w:sz w:val="18"/>
                <w:szCs w:val="18"/>
                <w:color w:val="000000"/>
              </w:rPr>
              <w:t xml:space="preserve">4178</w:t>
            </w:r>
          </w:p>
        </w:tc>
      </w:tr>
      <w:tr>
        <w:tc>
          <w:tcPr>
            <w:tcW w:w="1872" w:type="dxa"/>
            <w:shd w:val="clear" w:color="auto" w:fill="F2F2F2"/>
            <w:vAlign w:val="center"/>
          </w:tcPr>
          <w:p>
            <w:pPr>
              <w:spacing w:before="20" w:after="20" w:line="240" w:lineRule="auto"/>
            </w:pPr>
            <w:r>
              <w:rPr>
                <w:sz w:val="18"/>
                <w:szCs w:val="18"/>
                <w:color w:val="000000"/>
              </w:rPr>
              <w:t xml:space="preserve">0.5</w:t>
            </w:r>
          </w:p>
        </w:tc>
        <w:tc>
          <w:tcPr>
            <w:tcW w:w="1872" w:type="dxa"/>
            <w:shd w:val="clear" w:color="auto" w:fill="F2F2F2"/>
            <w:vAlign w:val="center"/>
          </w:tcPr>
          <w:p>
            <w:pPr>
              <w:spacing w:before="20" w:after="20" w:line="240" w:lineRule="auto"/>
            </w:pPr>
            <w:r>
              <w:rPr>
                <w:sz w:val="18"/>
                <w:szCs w:val="18"/>
                <w:color w:val="000000"/>
              </w:rPr>
              <w:t xml:space="preserve">0.634</w:t>
            </w:r>
          </w:p>
        </w:tc>
        <w:tc>
          <w:tcPr>
            <w:tcW w:w="1872" w:type="dxa"/>
            <w:shd w:val="clear" w:color="auto" w:fill="F2F2F2"/>
            <w:vAlign w:val="center"/>
          </w:tcPr>
          <w:p>
            <w:pPr>
              <w:spacing w:before="20" w:after="20" w:line="240" w:lineRule="auto"/>
            </w:pPr>
            <w:r>
              <w:rPr>
                <w:sz w:val="18"/>
                <w:szCs w:val="18"/>
                <w:color w:val="000000"/>
              </w:rPr>
              <w:t xml:space="preserve">1.07</w:t>
            </w:r>
          </w:p>
        </w:tc>
        <w:tc>
          <w:tcPr>
            <w:tcW w:w="1872" w:type="dxa"/>
            <w:shd w:val="clear" w:color="auto" w:fill="F2F2F2"/>
            <w:vAlign w:val="center"/>
          </w:tcPr>
          <w:p>
            <w:pPr>
              <w:spacing w:before="20" w:after="20" w:line="240" w:lineRule="auto"/>
            </w:pPr>
            <w:r>
              <w:rPr>
                <w:sz w:val="18"/>
                <w:szCs w:val="18"/>
                <w:color w:val="000000"/>
              </w:rPr>
              <w:t xml:space="preserve">1011</w:t>
            </w:r>
          </w:p>
        </w:tc>
        <w:tc>
          <w:tcPr>
            <w:tcW w:w="1872" w:type="dxa"/>
            <w:shd w:val="clear" w:color="auto" w:fill="F2F2F2"/>
            <w:vAlign w:val="center"/>
          </w:tcPr>
          <w:p>
            <w:pPr>
              <w:spacing w:before="20" w:after="20" w:line="240" w:lineRule="auto"/>
            </w:pPr>
            <w:r>
              <w:rPr>
                <w:sz w:val="18"/>
                <w:szCs w:val="18"/>
                <w:color w:val="000000"/>
              </w:rPr>
              <w:t xml:space="preserve">4093</w:t>
            </w:r>
          </w:p>
        </w:tc>
      </w:tr>
      <w:tr>
        <w:tc>
          <w:tcPr>
            <w:tcW w:w="1872" w:type="dxa"/>
            <w:shd w:val="clear" w:color="auto" w:fill="F2F2F2"/>
            <w:vAlign w:val="center"/>
          </w:tcPr>
          <w:p>
            <w:pPr>
              <w:spacing w:before="20" w:after="20" w:line="240" w:lineRule="auto"/>
            </w:pPr>
            <w:r>
              <w:rPr>
                <w:sz w:val="18"/>
                <w:szCs w:val="18"/>
                <w:color w:val="000000"/>
              </w:rPr>
              <w:t xml:space="preserve">1.0</w:t>
            </w:r>
          </w:p>
        </w:tc>
        <w:tc>
          <w:tcPr>
            <w:tcW w:w="1872" w:type="dxa"/>
            <w:shd w:val="clear" w:color="auto" w:fill="F2F2F2"/>
            <w:vAlign w:val="center"/>
          </w:tcPr>
          <w:p>
            <w:pPr>
              <w:spacing w:before="20" w:after="20" w:line="240" w:lineRule="auto"/>
            </w:pPr>
            <w:r>
              <w:rPr>
                <w:sz w:val="18"/>
                <w:szCs w:val="18"/>
                <w:color w:val="000000"/>
              </w:rPr>
              <w:t xml:space="preserve">0.653</w:t>
            </w:r>
          </w:p>
        </w:tc>
        <w:tc>
          <w:tcPr>
            <w:tcW w:w="1872" w:type="dxa"/>
            <w:shd w:val="clear" w:color="auto" w:fill="F2F2F2"/>
            <w:vAlign w:val="center"/>
          </w:tcPr>
          <w:p>
            <w:pPr>
              <w:spacing w:before="20" w:after="20" w:line="240" w:lineRule="auto"/>
            </w:pPr>
            <w:r>
              <w:rPr>
                <w:sz w:val="18"/>
                <w:szCs w:val="18"/>
                <w:color w:val="000000"/>
              </w:rPr>
              <w:t xml:space="preserve">1.16</w:t>
            </w:r>
          </w:p>
        </w:tc>
        <w:tc>
          <w:tcPr>
            <w:tcW w:w="1872" w:type="dxa"/>
            <w:shd w:val="clear" w:color="auto" w:fill="F2F2F2"/>
            <w:vAlign w:val="center"/>
          </w:tcPr>
          <w:p>
            <w:pPr>
              <w:spacing w:before="20" w:after="20" w:line="240" w:lineRule="auto"/>
            </w:pPr>
            <w:r>
              <w:rPr>
                <w:sz w:val="18"/>
                <w:szCs w:val="18"/>
                <w:color w:val="000000"/>
              </w:rPr>
              <w:t xml:space="preserve">1026</w:t>
            </w:r>
          </w:p>
        </w:tc>
        <w:tc>
          <w:tcPr>
            <w:tcW w:w="1872" w:type="dxa"/>
            <w:shd w:val="clear" w:color="auto" w:fill="F2F2F2"/>
            <w:vAlign w:val="center"/>
          </w:tcPr>
          <w:p>
            <w:pPr>
              <w:spacing w:before="20" w:after="20" w:line="240" w:lineRule="auto"/>
            </w:pPr>
            <w:r>
              <w:rPr>
                <w:sz w:val="18"/>
                <w:szCs w:val="18"/>
                <w:color w:val="000000"/>
              </w:rPr>
              <w:t xml:space="preserve">4010</w:t>
            </w:r>
          </w:p>
        </w:tc>
      </w:tr>
      <w:tr>
        <w:tc>
          <w:tcPr>
            <w:tcW w:w="1872" w:type="dxa"/>
            <w:shd w:val="clear" w:color="auto" w:fill="F2F2F2"/>
            <w:vAlign w:val="center"/>
          </w:tcPr>
          <w:p>
            <w:pPr>
              <w:spacing w:before="20" w:after="20" w:line="240" w:lineRule="auto"/>
            </w:pPr>
            <w:r>
              <w:rPr>
                <w:sz w:val="18"/>
                <w:szCs w:val="18"/>
                <w:color w:val="000000"/>
              </w:rPr>
              <w:t xml:space="preserve">2.0</w:t>
            </w:r>
          </w:p>
        </w:tc>
        <w:tc>
          <w:tcPr>
            <w:tcW w:w="1872" w:type="dxa"/>
            <w:shd w:val="clear" w:color="auto" w:fill="F2F2F2"/>
            <w:vAlign w:val="center"/>
          </w:tcPr>
          <w:p>
            <w:pPr>
              <w:spacing w:before="20" w:after="20" w:line="240" w:lineRule="auto"/>
            </w:pPr>
            <w:r>
              <w:rPr>
                <w:sz w:val="18"/>
                <w:szCs w:val="18"/>
                <w:color w:val="000000"/>
              </w:rPr>
              <w:t xml:space="preserve">0.691</w:t>
            </w:r>
          </w:p>
        </w:tc>
        <w:tc>
          <w:tcPr>
            <w:tcW w:w="1872" w:type="dxa"/>
            <w:shd w:val="clear" w:color="auto" w:fill="F2F2F2"/>
            <w:vAlign w:val="center"/>
          </w:tcPr>
          <w:p>
            <w:pPr>
              <w:spacing w:before="20" w:after="20" w:line="240" w:lineRule="auto"/>
            </w:pPr>
            <w:r>
              <w:rPr>
                <w:sz w:val="18"/>
                <w:szCs w:val="18"/>
                <w:color w:val="000000"/>
              </w:rPr>
              <w:t xml:space="preserve">1.41</w:t>
            </w:r>
          </w:p>
        </w:tc>
        <w:tc>
          <w:tcPr>
            <w:tcW w:w="1872" w:type="dxa"/>
            <w:shd w:val="clear" w:color="auto" w:fill="F2F2F2"/>
            <w:vAlign w:val="center"/>
          </w:tcPr>
          <w:p>
            <w:pPr>
              <w:spacing w:before="20" w:after="20" w:line="240" w:lineRule="auto"/>
            </w:pPr>
            <w:r>
              <w:rPr>
                <w:sz w:val="18"/>
                <w:szCs w:val="18"/>
                <w:color w:val="000000"/>
              </w:rPr>
              <w:t xml:space="preserve">1056</w:t>
            </w:r>
          </w:p>
        </w:tc>
        <w:tc>
          <w:tcPr>
            <w:tcW w:w="1872" w:type="dxa"/>
            <w:shd w:val="clear" w:color="auto" w:fill="F2F2F2"/>
            <w:vAlign w:val="center"/>
          </w:tcPr>
          <w:p>
            <w:pPr>
              <w:spacing w:before="20" w:after="20" w:line="240" w:lineRule="auto"/>
            </w:pPr>
            <w:r>
              <w:rPr>
                <w:sz w:val="18"/>
                <w:szCs w:val="18"/>
                <w:color w:val="000000"/>
              </w:rPr>
              <w:t xml:space="preserve">3855</w:t>
            </w:r>
          </w:p>
        </w:tc>
      </w:tr>
      <w:tr>
        <w:tc>
          <w:tcPr>
            <w:tcW w:w="1872" w:type="dxa"/>
            <w:shd w:val="clear" w:color="auto" w:fill="F2F2F2"/>
            <w:vAlign w:val="center"/>
          </w:tcPr>
          <w:p>
            <w:pPr>
              <w:spacing w:before="20" w:after="20" w:line="240" w:lineRule="auto"/>
            </w:pPr>
            <w:r>
              <w:rPr>
                <w:sz w:val="18"/>
                <w:szCs w:val="18"/>
                <w:color w:val="000000"/>
              </w:rPr>
              <w:t xml:space="preserve">3.0</w:t>
            </w:r>
          </w:p>
        </w:tc>
        <w:tc>
          <w:tcPr>
            <w:tcW w:w="1872" w:type="dxa"/>
            <w:shd w:val="clear" w:color="auto" w:fill="F2F2F2"/>
            <w:vAlign w:val="center"/>
          </w:tcPr>
          <w:p>
            <w:pPr>
              <w:spacing w:before="20" w:after="20" w:line="240" w:lineRule="auto"/>
            </w:pPr>
            <w:r>
              <w:rPr>
                <w:sz w:val="18"/>
                <w:szCs w:val="18"/>
                <w:color w:val="000000"/>
              </w:rPr>
              <w:t xml:space="preserve">0.729</w:t>
            </w:r>
          </w:p>
        </w:tc>
        <w:tc>
          <w:tcPr>
            <w:tcW w:w="1872" w:type="dxa"/>
            <w:shd w:val="clear" w:color="auto" w:fill="F2F2F2"/>
            <w:vAlign w:val="center"/>
          </w:tcPr>
          <w:p>
            <w:pPr>
              <w:spacing w:before="20" w:after="20" w:line="240" w:lineRule="auto"/>
            </w:pPr>
            <w:r>
              <w:rPr>
                <w:sz w:val="18"/>
                <w:szCs w:val="18"/>
                <w:color w:val="000000"/>
              </w:rPr>
              <w:t xml:space="preserve">1.79</w:t>
            </w:r>
          </w:p>
        </w:tc>
        <w:tc>
          <w:tcPr>
            <w:tcW w:w="1872" w:type="dxa"/>
            <w:shd w:val="clear" w:color="auto" w:fill="F2F2F2"/>
            <w:vAlign w:val="center"/>
          </w:tcPr>
          <w:p>
            <w:pPr>
              <w:spacing w:before="20" w:after="20" w:line="240" w:lineRule="auto"/>
            </w:pPr>
            <w:r>
              <w:rPr>
                <w:sz w:val="18"/>
                <w:szCs w:val="18"/>
                <w:color w:val="000000"/>
              </w:rPr>
              <w:t xml:space="preserve">1086</w:t>
            </w:r>
          </w:p>
        </w:tc>
        <w:tc>
          <w:tcPr>
            <w:tcW w:w="1872" w:type="dxa"/>
            <w:shd w:val="clear" w:color="auto" w:fill="F2F2F2"/>
            <w:vAlign w:val="center"/>
          </w:tcPr>
          <w:p>
            <w:pPr>
              <w:spacing w:before="20" w:after="20" w:line="240" w:lineRule="auto"/>
            </w:pPr>
            <w:r>
              <w:rPr>
                <w:sz w:val="18"/>
                <w:szCs w:val="18"/>
                <w:color w:val="000000"/>
              </w:rPr>
              <w:t xml:space="preserve">3712</w:t>
            </w:r>
          </w:p>
        </w:tc>
      </w:tr>
      <w:tr>
        <w:tc>
          <w:tcPr>
            <w:tcW w:w="1872" w:type="dxa"/>
            <w:shd w:val="clear" w:color="auto" w:fill="F2F2F2"/>
            <w:vAlign w:val="center"/>
          </w:tcPr>
          <w:p>
            <w:pPr>
              <w:spacing w:before="20" w:after="20" w:line="240" w:lineRule="auto"/>
            </w:pPr>
            <w:r>
              <w:rPr>
                <w:sz w:val="18"/>
                <w:szCs w:val="18"/>
                <w:color w:val="000000"/>
              </w:rPr>
              <w:t xml:space="preserve">4.0</w:t>
            </w:r>
          </w:p>
        </w:tc>
        <w:tc>
          <w:tcPr>
            <w:tcW w:w="1872" w:type="dxa"/>
            <w:shd w:val="clear" w:color="auto" w:fill="F2F2F2"/>
            <w:vAlign w:val="center"/>
          </w:tcPr>
          <w:p>
            <w:pPr>
              <w:spacing w:before="20" w:after="20" w:line="240" w:lineRule="auto"/>
            </w:pPr>
            <w:r>
              <w:rPr>
                <w:sz w:val="18"/>
                <w:szCs w:val="18"/>
                <w:color w:val="000000"/>
              </w:rPr>
              <w:t xml:space="preserve">0.766</w:t>
            </w:r>
          </w:p>
        </w:tc>
        <w:tc>
          <w:tcPr>
            <w:tcW w:w="1872" w:type="dxa"/>
            <w:shd w:val="clear" w:color="auto" w:fill="F2F2F2"/>
            <w:vAlign w:val="center"/>
          </w:tcPr>
          <w:p>
            <w:pPr>
              <w:spacing w:before="20" w:after="20" w:line="240" w:lineRule="auto"/>
            </w:pPr>
            <w:r>
              <w:rPr>
                <w:sz w:val="18"/>
                <w:szCs w:val="18"/>
                <w:color w:val="000000"/>
              </w:rPr>
              <w:t xml:space="preserve">2.32</w:t>
            </w:r>
          </w:p>
        </w:tc>
        <w:tc>
          <w:tcPr>
            <w:tcW w:w="1872" w:type="dxa"/>
            <w:shd w:val="clear" w:color="auto" w:fill="F2F2F2"/>
            <w:vAlign w:val="center"/>
          </w:tcPr>
          <w:p>
            <w:pPr>
              <w:spacing w:before="20" w:after="20" w:line="240" w:lineRule="auto"/>
            </w:pPr>
            <w:r>
              <w:rPr>
                <w:sz w:val="18"/>
                <w:szCs w:val="18"/>
                <w:color w:val="000000"/>
              </w:rPr>
              <w:t xml:space="preserve">1116</w:t>
            </w:r>
          </w:p>
        </w:tc>
        <w:tc>
          <w:tcPr>
            <w:tcW w:w="1872" w:type="dxa"/>
            <w:shd w:val="clear" w:color="auto" w:fill="F2F2F2"/>
            <w:vAlign w:val="center"/>
          </w:tcPr>
          <w:p>
            <w:pPr>
              <w:spacing w:before="20" w:after="20" w:line="240" w:lineRule="auto"/>
            </w:pPr>
            <w:r>
              <w:rPr>
                <w:sz w:val="18"/>
                <w:szCs w:val="18"/>
                <w:color w:val="000000"/>
              </w:rPr>
              <w:t xml:space="preserve">3580</w:t>
            </w:r>
          </w:p>
        </w:tc>
      </w:tr>
    </w:tbl>
    <w:p>
      <w:pPr>
        <w:spacing w:before="0" w:after="120" w:line="276" w:lineRule="auto"/>
      </w:pPr>
      <w:r>
        <w:t xml:space="preserve"/>
      </w:r>
    </w:p>
    <w:p>
      <w:pPr>
        <w:pStyle w:val="Heading2"/>
        <w:spacing w:before="240" w:after="120" w:line="276" w:lineRule="auto"/>
      </w:pPr>
      <w:r>
        <w:rPr>
          <w:b/>
          <w:sz w:val="26"/>
          <w:szCs w:val="26"/>
          <w:color w:val="1F3864"/>
        </w:rPr>
        <w:t xml:space="preserve">2.3 Heat Transfer and Flow Characteristics</w:t>
      </w:r>
    </w:p>
    <w:p>
      <w:pPr>
        <w:jc w:val="both"/>
        <w:spacing w:before="0" w:after="160" w:line="276" w:lineRule="auto"/>
      </w:pPr>
      <w:r>
        <w:t xml:space="preserve">The thermophysical properties discussed in the preceding section are of interest ultimately because they govern the behaviour of the nanofluid in the flow passages of real heat transfer equipment, and it is to this behaviour that the present section turns. The central practical question is whether, and by how much, a nanofluid improves the convective heat transfer coefficient relative to its base fluid, and, crucially, whether that improvement survives an honest accounting of the accompanying increase in pumping power. The answer depends on the flow regime, on the geometry of the passage, and on whether the thermal boundary condition is one of constant wall temperature or constant heat flux, and it has been the subject of an enormous experimental and computational literature [25].</w:t>
      </w:r>
    </w:p>
    <w:p>
      <w:pPr>
        <w:jc w:val="both"/>
        <w:spacing w:before="0" w:after="160" w:line="276" w:lineRule="auto"/>
      </w:pPr>
      <w:r>
        <w:t xml:space="preserve">In the laminar regime, which prevails in the fine passages of microchannel devices and in many biomedical and small-scale applications, the heat transfer coefficient of a conventional fluid in a fully developed flow is essentially independent of the flow rate and is set by the conductivity of the fluid and the dimensions of the passage. Under these conditions the enhanced conductivity of a nanofluid translates fairly directly into an enhanced heat transfer coefficient, and laminar-flow experiments have generally reported enhancements broadly consistent with the measured conductivity increase, though a number of studies have found enhancements in the developing, or entrance, region that exceed what the conductivity increase alone would predict, an excess attributed variously to a flattening of the velocity profile, to a migration of particles across the flow, and to a disruption of the boundary layer by the particles [25].</w:t>
      </w:r>
    </w:p>
    <w:p>
      <w:pPr>
        <w:jc w:val="both"/>
        <w:spacing w:before="0" w:after="160" w:line="276" w:lineRule="auto"/>
      </w:pPr>
      <w:r>
        <w:t xml:space="preserve">In the turbulent regime, characteristic of the larger passages of industrial heat exchangers and automotive cooling systems, the situation is more intricate because the heat transfer coefficient depends on the fluid properties through the combination expressed in the classical correlations, in which the conductivity, the viscosity, the density, and the specific heat all appear. The representative turbulent-flow data collected in Figure 2 show the Nusselt number rising with the Reynolds number in the familiar power-law fashion, and lying systematically above the base-fluid curve for the nanofluid, with the gap widening as the volume fraction increases [25]. A recurring and important finding is that when the Nusselt number of the nanofluid is compared with a classical correlation evaluated using the measured properties of the nanofluid itself, the agreement is frequently good, which supports the view that in turbulent flow the enhancement is largely a consequence of the altered bulk properties rather than of any additional nanoscale mechanism [26]. The systematic widening of the gap between the nanofluid and base-fluid curves of Figure 2 as the Reynolds number increases is consistent with this property-based interpretation.</w:t>
      </w:r>
    </w:p>
    <w:p>
      <w:pPr>
        <w:jc w:val="center"/>
        <w:spacing w:before="0" w:after="80" w:line="276" w:lineRule="auto"/>
      </w:pPr>
      <w:r>
        <w:drawing>
          <wp:inline distT="0" distB="0" distL="0" distR="0">
            <wp:extent cx="5334000" cy="3552825"/>
            <wp:effectExtent l="0" t="0" r="0" b="0"/>
            <wp:docPr id="89349" name="Picture 8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 name="Picture 89349"/>
                    <pic:cNvPicPr/>
                  </pic:nvPicPr>
                  <pic:blipFill>
                    <a:blip r:embed="rIdImg4"/>
                    <a:stretch>
                      <a:fillRect/>
                    </a:stretch>
                  </pic:blipFill>
                  <pic:spPr>
                    <a:xfrm>
                      <a:off x="0" y="0"/>
                      <a:ext cx="5334000" cy="3552825"/>
                    </a:xfrm>
                    <a:prstGeom prst="rect">
                      <a:avLst/>
                    </a:prstGeom>
                  </pic:spPr>
                </pic:pic>
              </a:graphicData>
            </a:graphic>
          </wp:inline>
        </w:drawing>
      </w:r>
    </w:p>
    <w:p>
      <w:pPr>
        <w:jc w:val="center"/>
        <w:spacing w:before="0" w:after="200" w:line="276" w:lineRule="auto"/>
      </w:pPr>
      <w:r>
        <w:rPr>
          <w:i/>
          <w:sz w:val="18"/>
          <w:szCs w:val="18"/>
          <w:color w:val="404040"/>
        </w:rPr>
        <w:t xml:space="preserve">Figure 2. Average Nusselt number as a function of Reynolds number in turbulent pipe flow for water and for an alumina-water nanofluid at two volume fractions, showing the systematic elevation of the nanofluid curves above that of the base fluid and the widening of the gap with increasing concentration.</w:t>
      </w:r>
    </w:p>
    <w:p>
      <w:pPr>
        <w:jc w:val="both"/>
        <w:spacing w:before="0" w:after="160" w:line="276" w:lineRule="auto"/>
      </w:pPr>
      <w:r>
        <w:t xml:space="preserve">This last conclusion carries an important corollary for the honest evaluation of nanofluid performance. If the enhancement in the heat transfer coefficient arises chiefly from the increased conductivity, and if that increased conductivity is accompanied by a disproportionately large increase in viscosity, then a comparison conducted at equal flow rate, which flatters the nanofluid by ignoring the extra pumping power, may present a misleadingly favourable picture. A fairer comparison holds the pumping power constant, and under this more demanding criterion the advantage of the nanofluid is considerably reduced and, for the more viscous suspensions at higher loading, may disappear entirely [26]. It is for this reason that the performance evaluation criterion introduced in Chapter 1, which weighs the gain in the Nusselt number against the penalty in the friction factor, has become the indispensable arbiter of nanofluid performance, and that Figure 4 presented such a criterion as the ultimate measure of merit [26].</w:t>
      </w:r>
    </w:p>
    <w:p>
      <w:pPr>
        <w:jc w:val="both"/>
        <w:spacing w:before="0" w:after="160" w:line="276" w:lineRule="auto"/>
      </w:pPr>
      <w:r>
        <w:t xml:space="preserve">The condensation of vapours in the presence of nanoparticles, though less studied than boiling, completes the picture of two-phase behaviour and presents phenomena of its own. When a nanofluid evaporates and the vapour subsequently condenses, the nanoparticles do not accompany the vapour but remain behind in the residual liquid, so that the condensate is nominally free of particles and the direct effect of the particles on the condensation process is slight. The particles left behind, however, may deposit upon the evaporating surface and modify its wettability and roughness in the manner already described for boiling, and in closed two-phase devices such as heat pipes and thermosyphons, in which the fluid repeatedly evaporates and condenses in a sealed loop, the progressive accumulation of a nanoparticle deposit on the evaporator has been found in some studies to enhance and in others to degrade the performance, according to whether the deposit improves the wettability and capillary action or instead impedes the return of the condensate. The behaviour of nanofluids in such devices is thus governed less by the properties of the suspension in bulk than by the evolving state of the surfaces it contacts, a further instance of the pervasive theme that the performance of a nanofluid cannot be divorced from its history and its interaction with the containing hardware.</w:t>
      </w:r>
    </w:p>
    <w:p>
      <w:pPr>
        <w:jc w:val="both"/>
        <w:spacing w:before="0" w:after="160" w:line="276" w:lineRule="auto"/>
      </w:pPr>
      <w:r>
        <w:t xml:space="preserve">The flow characteristics of nanofluids extend beyond the single-phase convection considered so far to embrace the rich and technologically important phenomena of boiling and condensation. In pool boiling, the addition of nanoparticles has been found to alter the critical heat flux, the point at which the boiling surface becomes blanketed by vapour and its temperature rises catastrophically, and a number of studies have reported substantial increases in the critical heat flux attributed to the deposition of a porous layer of nanoparticles on the heating surface, a layer that improves the wettability of the surface and promotes the rewetting of dry patches [27]. This enhancement of the critical heat flux is of great practical significance because the critical heat flux, rather than the heat transfer coefficient, is frequently the limiting factor in high-flux boiling systems, and its improvement could translate into a valuable margin of safety [27].</w:t>
      </w:r>
    </w:p>
    <w:p>
      <w:pPr>
        <w:jc w:val="both"/>
        <w:spacing w:before="0" w:after="160" w:line="276" w:lineRule="auto"/>
      </w:pPr>
      <w:r>
        <w:t xml:space="preserve">The behaviour of nanofluids in the entrance region of a heated passage, where the thermal boundary layer is still developing and has not yet attained its fully developed form, is of more than academic interest, since many practical passages, and above all the short channels of compact microscale devices, operate largely or wholly within this developing region. In the entrance region the heat transfer coefficient is higher than its fully developed value and falls with distance along the passage as the boundary layer thickens, and several studies have reported that the enhancement afforded by a nanofluid is greater in this region than in the fully developed flow downstream. The proposed explanations invoke a particle-induced flattening of the velocity profile, a migration of particles down the temperature and shear gradients that redistributes them across the passage, and a thinning of the developing thermal boundary layer by the micro-convective motion of the particles, but the effect is difficult to measure cleanly and its magnitude remains uncertain, so that a prudent designer treats the developing-region enhancement as a possible bonus rather than as a reliable design margin.</w:t>
      </w:r>
    </w:p>
    <w:p>
      <w:pPr>
        <w:jc w:val="both"/>
        <w:spacing w:before="0" w:after="160" w:line="276" w:lineRule="auto"/>
      </w:pPr>
      <w:r>
        <w:t xml:space="preserve">The particle migration alluded to above is itself a phenomenon of considerable subtlety and potential importance, for a suspension that is uniform at the inlet of a passage may develop a non-uniform particle distribution as it flows, with consequences for both the local properties and the local heat transfer. Particles are driven across the flow by gradients of shear rate, which tend to expel them from the high-shear region near the wall toward the low-shear core, by gradients of viscosity, and by gradients of temperature through the phenomenon of thermophoresis, in which particles drift down a temperature gradient. The resulting redistribution can either enhance or degrade the heat transfer depending on its direction, and its analysis requires a treatment of the suspension as a two-component medium rather than as a fluid of uniform effective properties, a level of sophistication that the more careful modelling studies have begun to adopt. The recognition that a nanofluid may not remain uniform as it flows is an important refinement of the simple effective-property picture and a caution against its uncritical application.</w:t>
      </w:r>
    </w:p>
    <w:p>
      <w:pPr>
        <w:jc w:val="both"/>
        <w:spacing w:before="0" w:after="160" w:line="276" w:lineRule="auto"/>
      </w:pPr>
      <w:r>
        <w:t xml:space="preserve">Returning to the phenomena of boiling, the influence of nanofluids on the boiling heat transfer coefficient itself, as distinct from the critical heat flux, has proved more equivocal and more dependent on the details of the system. The deposition of a nanoparticle layer on the heating surface, which so reliably enhances the critical heat flux by improving wettability, may simultaneously reduce the boiling heat transfer coefficient by filling and smoothing the surface cavities that serve as nucleation sites, so that the two figures of merit move in opposite directions. Whether the net effect on a given application is beneficial depends on whether it is the critical heat flux or the heat transfer coefficient that limits performance, and the designer must weigh the reliable enhancement of the former against the possible degradation of the latter. The progressive and cumulative nature of the surface deposition, moreover, means that the boiling performance of a nanofluid evolves over time as the layer builds up, so that a short experiment may not represent the long-term behaviour, a further instance of the pervasive importance of duration and durability in the assessment of these fluids.</w:t>
      </w:r>
    </w:p>
    <w:p>
      <w:pPr>
        <w:jc w:val="both"/>
        <w:spacing w:before="0" w:after="160" w:line="276" w:lineRule="auto"/>
      </w:pPr>
      <w:r>
        <w:t xml:space="preserve">The applications of nanofluids follow directly from the properties and flow characteristics that have been described, and they span an impressively broad range of engineering domains. In the thermal management of electronics, nanofluids have been proposed and tested as the working fluid in microchannel heat sinks and in the increasingly popular liquid-cooled loops of high-performance computing hardware [27]. In the automotive sector, the replacement of conventional engine coolant with a nanofluid offers the prospect of a smaller, lighter radiator for a given heat rejection duty, with attendant benefits for fuel economy and vehicle packaging [28]. In the energy sector, direct-absorption solar collectors, concentrated solar power plants, and thermal energy storage systems all present opportunities that have been explored with varying degrees of success [28]. Even in medicine, the magnetically guided delivery of drug-laden magnetic nanofluids and their use in the thermal ablation of tumours by localised heating illustrate the reach of the underlying concept far beyond conventional thermal engineering [28].</w:t>
      </w:r>
    </w:p>
    <w:p>
      <w:pPr>
        <w:jc w:val="both"/>
        <w:spacing w:before="0" w:after="160" w:line="276" w:lineRule="auto"/>
      </w:pPr>
      <w:r>
        <w:t xml:space="preserve">The automotive application repays a closer examination, for it is at once among the most commercially significant and among the most instructive of the potential uses of nanofluids. The engine of a motor vehicle rejects a large quantity of heat to a coolant that is in turn cooled by a front-mounted radiator, and the size of that radiator, together with the power consumed by the fan that draws air through it, represents a significant cost in weight, aerodynamic drag, and packaging volume. A coolant of enhanced heat transfer performance would permit the same heat to be rejected by a smaller radiator, with attendant savings in weight and drag that translate into improved fuel economy, and the prospect of such savings across a vast production volume has attracted serious industrial interest. The application is nonetheless a demanding one, for the coolant operates in vigorous turbulent flow, where the enhancement is diluted and the viscosity penalty most keenly felt, over a wide range of temperature, and for a service life of many years during which the stability of the suspension must be maintained without maintenance, so that it exemplifies the gap between the promise demonstrated in the laboratory and the robustness demanded in the field.</w:t>
      </w:r>
    </w:p>
    <w:p>
      <w:pPr>
        <w:jc w:val="both"/>
        <w:spacing w:before="0" w:after="160" w:line="276" w:lineRule="auto"/>
      </w:pPr>
      <w:r>
        <w:t xml:space="preserve">The cooling of high-performance electronics, at the opposite extreme of scale, presents a more favourable case, for here the passages are fine and the flow frequently laminar, the regime in which the nanofluid advantage is most reliably expressed, and the value of a compact, high-capacity thermal solution is high enough to justify the cost and complexity of a nanofluid. The microchannel heat sink, in which the coolant flows through an array of parallel channels a fraction of a millimetre in width machined directly into or bonded to the component to be cooled, achieves very high heat transfer coefficients by virtue of the small channel dimension, and the substitution of a nanofluid for the water conventionally used offers a further improvement that has been demonstrated in numerous studies. The risk of the fine channels becoming clogged by aggregated particles is, however, acute in this application, and it places an especial premium on the stability of the suspension and on the exclusion of oversized aggregates, so that the microchannel application, favourable in its flow regime, is exacting in its demand for a well-controlled and enduring dispersion.</w:t>
      </w:r>
    </w:p>
    <w:p>
      <w:pPr>
        <w:jc w:val="both"/>
        <w:spacing w:before="0" w:after="160" w:line="276" w:lineRule="auto"/>
      </w:pPr>
      <w:r>
        <w:t xml:space="preserve">The application of nanofluids to solar thermal systems warrants a fuller treatment, for it exploits a property of the suspension quite distinct from the conductivity that dominates the other applications, namely its optical absorption. In a conventional solar collector the incident radiation is absorbed at an opaque surface, which is thereby heated and which transfers its heat to the working fluid flowing beneath it, an arrangement in which the hot absorbing surface loses heat to the surroundings by radiation and convection and in which a thermal resistance separates the point of absorption from the fluid. In a direct-absorption collector, by contrast, the working fluid itself is seeded with nanoparticles chosen to absorb the solar spectrum, so that the radiation is absorbed volumetrically throughout the depth of the fluid rather than at a surface, the temperature is highest within the fluid rather than at an exposed surface, and the loss to the surroundings is correspondingly reduced. The design of such a collector is an intrinsically coupled radiative and convective problem, in which the concentration and optical properties of the particles must be tuned so that the radiation is absorbed neither too shallowly, which would concentrate the heat near the illuminated surface, nor too deeply, which would allow radiation to escape through the far side.</w:t>
      </w:r>
    </w:p>
    <w:p>
      <w:pPr>
        <w:jc w:val="both"/>
        <w:spacing w:before="0" w:after="160" w:line="276" w:lineRule="auto"/>
      </w:pPr>
      <w:r>
        <w:t xml:space="preserve">The thermal management of photovoltaic modules presents a different and instructive application, one in which the benefit sought is not the collection of heat but its removal, since the electrical efficiency of a solar cell declines as its temperature rises, and the cooling of the module therefore recovers electrical output that would otherwise be lost. A nanofluid circulated through channels bonded to the rear of a module removes heat more effectively than water on account of its enhanced conductivity, and in the increasingly studied photovoltaic-thermal systems the warmed coolant is put to use as a source of low-grade heat, so that the module yields both electricity and useful heat. The economic and energetic case for such systems rests on a careful balance of the additional pumping power against the recovered electrical and thermal output, and it exemplifies the general principle that the value of a nanofluid can be assessed only within the context of the complete system in which it operates, never by consideration of its thermal properties in isolation.</w:t>
      </w:r>
    </w:p>
    <w:p>
      <w:pPr>
        <w:jc w:val="both"/>
        <w:spacing w:before="0" w:after="160" w:line="276" w:lineRule="auto"/>
      </w:pPr>
      <w:r>
        <w:t xml:space="preserve">A sober appraisal of these applications reveals a consistent pattern. Nanofluids offer the greatest and most reliable advantage in the laminar regime, where the conductivity benefit is most directly expressed and the viscosity penalty least punishing, and in applications where the value of a compact, high-performance thermal system justifies the additional cost and complexity of preparing and maintaining a stable suspension. In the turbulent, high-flow-rate applications typical of large industrial heat exchangers, the case is more finely balanced and depends critically on the particular fluid and operating conditions [29]. The task of the experimentalist, to which the final chapter is devoted, is to supply the reliable, well-characterised data on which such application-specific judgements can be founded, and to do so with a rigour that the field's early history showed to be indispensable [29].</w:t>
      </w:r>
    </w:p>
    <w:p>
      <w:pPr>
        <w:pStyle w:val="Heading1"/>
        <w:spacing w:before="240" w:after="120" w:line="276" w:lineRule="auto"/>
      </w:pPr>
      <w:r>
        <w:rPr>
          <w:b/>
          <w:sz w:val="32"/>
          <w:szCs w:val="32"/>
          <w:color w:val="1F3864"/>
        </w:rPr>
        <w:t xml:space="preserve">Chapter 3. Experimental Investigation of Nanofluid Heat Transfer</w:t>
      </w:r>
    </w:p>
    <w:p>
      <w:pPr>
        <w:jc w:val="both"/>
        <w:spacing w:before="0" w:after="160" w:line="276" w:lineRule="auto"/>
      </w:pPr>
      <w:r>
        <w:t xml:space="preserve">The two preceding chapters have established the physical principles of heat transfer enhancement and the properties and behaviour of nanofluids as revealed by theory and by the accumulated findings of experiment. The present chapter turns to the experiment itself, to the apparatus and techniques by which the properties and performance of nanofluids are measured, to the systematic influence of the principal particle parameters, and to the rigorous evaluation of performance and quantification of uncertainty without which no measurement carries conviction. The emphasis throughout is on the discipline that distinguishes reliable from unreliable measurement, a discipline that the field acquired through the hard experience of its early irreproducibility and that now constitutes the accepted standard of good practice. For it is upon the quality of the experimental foundation that the entire edifice of nanofluid science rests, and the sobering history recounted in the opening chapter stands as a perpetual reminder of the cost of neglecting it.</w:t>
      </w:r>
    </w:p>
    <w:p>
      <w:pPr>
        <w:pStyle w:val="Heading2"/>
        <w:spacing w:before="240" w:after="120" w:line="276" w:lineRule="auto"/>
      </w:pPr>
      <w:r>
        <w:rPr>
          <w:b/>
          <w:sz w:val="26"/>
          <w:szCs w:val="26"/>
          <w:color w:val="1F3864"/>
        </w:rPr>
        <w:t xml:space="preserve">3.1 Experimental Techniques and Measurement Methods</w:t>
      </w:r>
    </w:p>
    <w:p>
      <w:pPr>
        <w:jc w:val="both"/>
        <w:spacing w:before="0" w:after="160" w:line="276" w:lineRule="auto"/>
      </w:pPr>
      <w:r>
        <w:t xml:space="preserve">The credibility of the entire nanofluid enterprise rests ultimately on the quality of the experimental data that underpin it, and the chastening early history of irreproducible conductivity measurements has bequeathed to the mature field an acute awareness of the demands of careful experimentation. An experimental investigation of nanofluid heat transfer divides naturally into two complementary undertakings, namely the characterisation of the thermophysical properties of the fluid in isolation and the measurement of its heat transfer and flow performance in a representative flow system, and each of these undertakings makes its own particular demands on apparatus and technique [29].</w:t>
      </w:r>
    </w:p>
    <w:p>
      <w:pPr>
        <w:jc w:val="both"/>
        <w:spacing w:before="0" w:after="160" w:line="276" w:lineRule="auto"/>
      </w:pPr>
      <w:r>
        <w:t xml:space="preserve">The measurement of thermal conductivity is the most delicate of the property characterisations and the one whose pitfalls have caused the greatest mischief. The dominant technique is the transient hot-wire method, in which a thin metallic wire immersed in the fluid serves simultaneously as a line heat source and as a resistance thermometer, the thermal conductivity being inferred from the rate at which the wire temperature rises when a known power is dissipated in it. The great virtue of the transient method is its speed, for the measurement is completed within a few seconds, before natural convection has time to develop and corrupt the purely conductive temperature field on which the analysis depends, a consideration of particular importance for the relatively low-viscosity aqueous suspensions that are most often studied [30]. Steady-state methods based on the parallel-plate or coaxial-cylinder geometry are also employed but are more vulnerable to the onset of convection and to heat losses, and they require longer measurement times during which the suspension may begin to sediment [30].</w:t>
      </w:r>
    </w:p>
    <w:p>
      <w:pPr>
        <w:jc w:val="both"/>
        <w:spacing w:before="0" w:after="160" w:line="276" w:lineRule="auto"/>
      </w:pPr>
      <w:r>
        <w:t xml:space="preserve">The measurement of viscosity is accomplished with rotational rheometers, in which the torque required to rotate a spindle immersed in the fluid at a controlled rate is related to the viscosity, or with capillary viscometers, in which the time taken for a fixed volume of fluid to drain through a narrow tube is measured. Because many nanofluids are non-Newtonian, a responsible characterisation reports the viscosity over a range of shear rates rather than at a single point, and because viscosity is strongly temperature dependent, close temperature control is essential [30]. The density and the specific heat, being far less problematic, are measured respectively with a vibrating-tube densitometer and with a differential scanning calorimeter, and both are generally found to agree closely with the predictions of the classical mixing rules, so that the experimental effort is rightly concentrated on the conductivity and the viscosity [31].</w:t>
      </w:r>
    </w:p>
    <w:p>
      <w:pPr>
        <w:jc w:val="both"/>
        <w:spacing w:before="0" w:after="160" w:line="276" w:lineRule="auto"/>
      </w:pPr>
      <w:r>
        <w:t xml:space="preserve">The measurement of the specific heat, though generally the least problematic of the four property determinations, illustrates a subtlety that has occasioned some confusion and that repays a moment's attention. The specific heat of a nanofluid may be defined and measured on either a mass or a volume basis, and the two differ because the density of the suspension exceeds that of the base fluid; more importantly, the correct mixing rule for the mass-based specific heat is the one derived from the conservation of energy, which weights the specific heats of the components by their mass fractions, rather than the simpler volume-weighted average that some early workers erroneously applied. The two rules diverge increasingly as the density contrast between particle and fluid grows, and the use of the incorrect volume-weighted rule leads to a systematic overestimate of the specific heat that propagates into any heat-balance calculation founded upon it. The differential scanning calorimeter, which measures the heat required to raise the temperature of a small sample at a controlled rate against a reference, provides a direct experimental check on these mixing rules, and its measurements have generally confirmed the energy-conservation rule, closing what was once a minor but real source of error.</w:t>
      </w:r>
    </w:p>
    <w:p>
      <w:pPr>
        <w:jc w:val="both"/>
        <w:spacing w:before="0" w:after="160" w:line="276" w:lineRule="auto"/>
      </w:pPr>
      <w:r>
        <w:t xml:space="preserve">Underlying all of these property measurements, and indispensable to their interpretation, is the characterisation of the particles and of their state of dispersion within the fluid, for a property measurement divorced from such characterisation is of little value and cannot be reproduced by others. The size and morphology of the individual particles are determined by transmission and scanning electron microscopy, the size distribution of the particles or aggregates as they exist in suspension is measured by dynamic light scattering, and the stability of the suspension over time is monitored by measurement of the zeta potential, a high absolute value of which indicates strong electrostatic stabilisation, and by direct observation of sedimentation through spectral transmission or simple visual inspection over days and weeks [31]. Only when a suspension has been characterised in this comprehensive manner can its measured properties be meaningfully compared with those reported by other workers, and the widespread adoption of such characterisation is the single most important methodological advance that the field has made since its turbulent beginnings [32].</w:t>
      </w:r>
    </w:p>
    <w:p>
      <w:pPr>
        <w:jc w:val="both"/>
        <w:spacing w:before="0" w:after="160" w:line="276" w:lineRule="auto"/>
      </w:pPr>
      <w:r>
        <w:t xml:space="preserve">The characterisation of dispersion by dynamic light scattering, one of the principal tools for probing the state of a suspension, operates on a principle worth setting out, since its results are frequently reported and as frequently misunderstood. A beam of coherent light passing through the suspension is scattered by the particles, and because the particles are in constant Brownian motion the scattered light exhibits fluctuations in intensity whose characteristic time scale depends on how rapidly the particles move, which in turn depends on their size, small particles diffusing quickly and producing rapid fluctuations while large particles diffuse slowly and produce slow ones. By analysing the time correlation of the scattered intensity the technique infers the distribution of diffusion coefficients and hence of particle sizes, and it is exquisitely sensitive to the presence of aggregates, since even a small population of large aggregates scatters light far more strongly than the numerous small particles and so dominates the signal. This sensitivity makes dynamic light scattering an excellent early-warning indicator of incipient aggregation, but it also means that the size it reports is weighted toward the large end of the distribution and must not be confused with the size of the primary particles as seen in the electron microscope, a distinction whose neglect has caused needless confusion in the reporting of nanofluid characterisation data.</w:t>
      </w:r>
    </w:p>
    <w:p>
      <w:pPr>
        <w:jc w:val="both"/>
        <w:spacing w:before="0" w:after="160" w:line="276" w:lineRule="auto"/>
      </w:pPr>
      <w:r>
        <w:t xml:space="preserve">The measurement of convective heat transfer performance requires a flow loop, the essential elements of which are a reservoir, a pump to circulate the fluid, a flow meter, a test section in which the heat transfer takes place, a heat exchanger to reject the absorbed heat and return the fluid to its initial temperature, and a dense array of thermocouples and pressure transducers to record the temperatures and pressures from which the performance is deduced. The test section is most commonly a straight tube heated either electrically, to impose a constant heat flux, or by a surrounding jacket of condensing steam or hot fluid, to impose a condition closer to constant wall temperature, and the local heat transfer coefficient is obtained from the measured wall and fluid temperatures together with the known heat input [32]. The simultaneous measurement of the pressure drop across the test section furnishes the friction factor, without which the all-important assessment of pumping power cannot be made, and the neglect of this pressure measurement in some early studies is one reason for their over-optimistic conclusions [32].</w:t>
      </w:r>
    </w:p>
    <w:p>
      <w:pPr>
        <w:jc w:val="both"/>
        <w:spacing w:before="0" w:after="160" w:line="276" w:lineRule="auto"/>
      </w:pPr>
      <w:r>
        <w:t xml:space="preserve">The transient hot-wire technique deserves a fuller description, both because it is the workhorse of nanofluid conductivity measurement and because an appreciation of its principle illuminates the sources of error that corrupted so many early results. A fine platinum wire, a few tens of micrometres in diameter, is suspended in the fluid and connected as one arm of a bridge circuit, and at the start of a measurement a step of electrical power is applied so that the wire dissipates heat at a constant rate along its length. The temperature of the wire, sensed through the temperature dependence of its electrical resistance, rises logarithmically with time in a manner whose slope is inversely proportional to the thermal conductivity of the surrounding fluid, so that a measurement of the slope over an interval of a few seconds yields the conductivity directly. The elegance of the method lies in its foundation on an exact analytical solution of the conduction equation for a line source, which requires no calibration against a reference fluid, though in practice a calibration with a fluid of known conductivity is performed to account for the finite dimensions of the real apparatus.</w:t>
      </w:r>
    </w:p>
    <w:p>
      <w:pPr>
        <w:jc w:val="both"/>
        <w:spacing w:before="0" w:after="160" w:line="276" w:lineRule="auto"/>
      </w:pPr>
      <w:r>
        <w:t xml:space="preserve">The vulnerabilities of the method, and the precautions they demand, are instructive. Because the analysis assumes pure conduction, any natural convection set up by the heating of the wire corrupts the result, and it is to outrun the onset of convection that the measurement is confined to the first few seconds; a measurement prolonged in the hope of improving the statistics may, paradoxically, be less accurate. Because the wire is electrically conducting and is immersed in a fluid that may contain conducting particles or dissolved ions, the wire must be insulated or the measurement arranged to tolerate the electrical conductivity of the fluid, a requirement of particular importance for metallic nanofluids. And because the method infers a bulk property from the behaviour in the immediate vicinity of the wire, a non-uniform particle distribution or a settled layer of particles on the wire can bias the result, which is one reason why the characterisation of dispersion is inseparable from the measurement of conductivity. The disregard of one or more of these precautions accounts for a substantial part of the scatter in the early literature.</w:t>
      </w:r>
    </w:p>
    <w:p>
      <w:pPr>
        <w:jc w:val="both"/>
        <w:spacing w:before="0" w:after="160" w:line="276" w:lineRule="auto"/>
      </w:pPr>
      <w:r>
        <w:t xml:space="preserve">The design and instrumentation of such a flow loop, and the meticulous calibration of every sensor within it, determine the accuracy of the final result, and it is a mark of the field's maturation that contemporary studies devote as much attention to the validation of the apparatus, typically by first reproducing the well-established heat transfer and friction correlations for the base fluid alone, as to the nanofluid measurements themselves [33]. A loop that cannot reproduce the classical results for pure water to within a few per cent has no business reporting nanofluid enhancements of a similar magnitude, and the requirement to demonstrate such a baseline validation has become a standard expectation [33].</w:t>
      </w:r>
    </w:p>
    <w:p>
      <w:pPr>
        <w:jc w:val="both"/>
        <w:spacing w:before="0" w:after="160" w:line="276" w:lineRule="auto"/>
      </w:pPr>
      <w:r>
        <w:t xml:space="preserve">The reduction of the raw flow-loop data to a heat transfer coefficient and a friction factor is a procedure with pitfalls of its own, and its correct execution is as important as the quality of the measurements it processes. The local heat transfer coefficient at a station along the test section is obtained by dividing the local heat flux, known from the electrical power and the heated area, by the difference between the local wall temperature and the local bulk fluid temperature, the latter deduced from an energy balance that accumulates the heat added upstream of the station. The wall temperature measured by a thermocouple attached to the outer surface of the tube must be corrected for the temperature drop through the tube wall to yield the inner-surface temperature that the heat transfer coefficient requires, a correction that demands accurate knowledge of the wall conductivity and thickness. The bulk fluid temperature, which cannot be measured directly in the presence of a temperature profile across the passage, is inferred from the energy balance and is sensitive to any heat loss that the balance fails to account for, which is why the minimisation and quantification of heat losses is so central to the accuracy of the result.</w:t>
      </w:r>
    </w:p>
    <w:p>
      <w:pPr>
        <w:jc w:val="both"/>
        <w:spacing w:before="0" w:after="160" w:line="276" w:lineRule="auto"/>
      </w:pPr>
      <w:r>
        <w:t xml:space="preserve">The property values used in reducing the data and in evaluating the correlations against which the results are compared are themselves a source of difficulty peculiar to nanofluids, for the properties of the suspension depend on temperature and, through any non-uniformity of the particle distribution, on position, and they are known only to the accuracy of the separate property measurements. An error in the assumed conductivity or viscosity of the nanofluid propagates into the reduced heat transfer coefficient and friction factor and into the dimensionless groups computed from them, so that the property characterisation and the heat transfer measurement are coupled and an error in the former masquerades as a peculiarity of the latter. This coupling is one reason why the most convincing heat transfer studies are those that measure the properties of the very batch of fluid used in the flow loop, rather than relying on literature values or on a correlation, and that report the property data alongside the heat transfer data so that the reader may judge their consistency.</w:t>
      </w:r>
    </w:p>
    <w:p>
      <w:pPr>
        <w:pStyle w:val="Heading2"/>
        <w:spacing w:before="240" w:after="120" w:line="276" w:lineRule="auto"/>
      </w:pPr>
      <w:r>
        <w:rPr>
          <w:b/>
          <w:sz w:val="26"/>
          <w:szCs w:val="26"/>
          <w:color w:val="1F3864"/>
        </w:rPr>
        <w:t xml:space="preserve">3.2 Effects of Particle Concentration, Size, and Shape</w:t>
      </w:r>
    </w:p>
    <w:p>
      <w:pPr>
        <w:jc w:val="both"/>
        <w:spacing w:before="0" w:after="160" w:line="276" w:lineRule="auto"/>
      </w:pPr>
      <w:r>
        <w:t xml:space="preserve">With reliable measurement techniques in hand, the experimental programme turns to the systematic exploration of the parameters that govern nanofluid performance, of which the three most important are the concentration, the size, and the shape of the dispersed particles. The influence of concentration is the most studied and the best understood, and its essential character has already been anticipated in the discussion of properties, for increasing the particle loading raises both the beneficial conductivity and the detrimental viscosity, the former approximately linearly and the latter more steeply, so that the net performance measured by an appropriate figure of merit rises to a maximum at some optimum concentration and declines thereafter [33]. The experimental determination of this optimum for a given combination of fluid, geometry, and operating condition is one of the principal objects of a concentration study, and the optimum is generally found at a volume fraction of the order of one to two per cent for the common oxide nanofluids, well below the loading at which the raw conductivity enhancement is greatest [34].</w:t>
      </w:r>
    </w:p>
    <w:p>
      <w:pPr>
        <w:jc w:val="both"/>
        <w:spacing w:before="0" w:after="160" w:line="276" w:lineRule="auto"/>
      </w:pPr>
      <w:r>
        <w:t xml:space="preserve">The influence of particle size is more subtle and has yielded results that are at first sight contradictory, a circumstance that reflects the competition between several opposing tendencies. On the one hand, reducing the particle size increases the specific surface area and hence the importance of any surface-related enhancement mechanism, such as the ordered nanolayer or the Brownian contribution, which would argue for greater enhancement with smaller particles [34]. On the other hand, the increased surface area also increases the surface energy that drives aggregation, so that smaller particles are more difficult to disperse and more prone to form the very clusters that a size reduction was intended to avoid, and the increased solid-liquid interfacial area raises the total interfacial thermal resistance, which acts to reduce the enhancement [34]. The net effect of these competing influences depends on the particular system and on the quality of the dispersion, which explains much of the apparent inconsistency in the literature and underscores once again the necessity of thorough characterisation [35].</w:t>
      </w:r>
    </w:p>
    <w:p>
      <w:pPr>
        <w:jc w:val="both"/>
        <w:spacing w:before="0" w:after="160" w:line="276" w:lineRule="auto"/>
      </w:pPr>
      <w:r>
        <w:t xml:space="preserve">The hybrid nanofluid, in which two distinct particle species are dispersed together, introduces an additional design variable, namely the proportion of the two species, and the experimental exploration of this variable has revealed possibilities inaccessible to any single-particle fluid. The rationale of the hybrid is that the two species may contribute complementary virtues, one a high conductivity and the other a favourable stability, a low viscosity, or a low cost, so that a judicious blend achieves a balance of properties superior to that of either constituent alone. A pairing of a highly conductive but expensive and unstable metal with an inexpensive and stable oxide, for example, may retain much of the conductivity benefit of the metal while inheriting the stability and economy of the oxide, and numerous such pairings have been investigated with generally encouraging results. The design of hybrids is complicated, however, by the possibility of unfavourable interactions between the two species, which may aggregate preferentially with one another and destabilise the suspension, and by the greatly enlarged parameter space that the additional variable creates, so that the systematic optimisation of hybrid composition is a demanding undertaking that has only begun to be addressed and that represents one of the more active frontiers of current research.</w:t>
      </w:r>
    </w:p>
    <w:p>
      <w:pPr>
        <w:jc w:val="both"/>
        <w:spacing w:before="0" w:after="160" w:line="276" w:lineRule="auto"/>
      </w:pPr>
      <w:r>
        <w:t xml:space="preserve">The influence of particle shape has emerged as a factor of the first importance, particularly since the advent of carbon nanotubes and other high-aspect-ratio nanostructures. Elongated particles such as nanotubes and nanorods, and flat particles such as graphene platelets, produce far greater conductivity enhancements at a given volume fraction than spherical particles of the same material, because their extended geometry allows them to bridge greater distances within the fluid and to form percolating conductive networks at lower loadings [35]. This shape dependence is captured phenomenologically by the shape factor in the Hamilton-Crosser extension of the effective-medium theory, and it explains the exceptional performance of carbon-nanotube nanofluids evident in the property data presented earlier [35]. The same elongated geometry, however, tends to raise the viscosity more sharply than an equal volume of spherical particles and to aggravate the difficulty of achieving a stable dispersion, so that the shape that most benefits conductivity is not necessarily the shape that most benefits the overall figure of merit [36].</w:t>
      </w:r>
    </w:p>
    <w:p>
      <w:pPr>
        <w:jc w:val="both"/>
        <w:spacing w:before="0" w:after="160" w:line="276" w:lineRule="auto"/>
      </w:pPr>
      <w:r>
        <w:t xml:space="preserve">The interfacial thermal resistance, sometimes termed the Kapitza resistance, that impedes the flow of heat across the boundary between a particle and the surrounding liquid is a factor whose importance grows as the particle size diminishes and whose effect runs counter to the naive expectation that smaller particles, with their greater surface area, should always enhance conductivity more. This resistance arises from the mismatch in the vibrational spectra of the solid and the liquid, which impedes the transmission of phonons across the interface, and it acts as a thermal barrier in series with the conductance of the particle itself. Because the total interfacial area per unit volume of solid increases as the particle size decreases, the aggregate effect of the interfacial resistance grows for smaller particles, and below a certain size, which depends on the material pairing, this growing interfacial penalty can overwhelm the benefit of the increased surface area and cause the conductivity enhancement actually to decrease with further size reduction. The existence of an optimum particle size, arising from the competition between the surface-area benefit and the interfacial penalty, is one of the more refined conclusions to have emerged from the careful study of the size dependence.</w:t>
      </w:r>
    </w:p>
    <w:p>
      <w:pPr>
        <w:jc w:val="both"/>
        <w:spacing w:before="0" w:after="160" w:line="276" w:lineRule="auto"/>
      </w:pPr>
      <w:r>
        <w:t xml:space="preserve">The characterisation of particle shape and its influence introduces its own measurement challenges, for the shape of a nanoparticle is not always well defined and may not be uniform across a population. Spherical particles are the simplest case, described by a single diameter, but many technologically important particles are far from spherical, ranging from the nearly one-dimensional carbon nanotubes and nanowires, through the two-dimensional platelets of graphene and certain clays, to the irregular polyhedra of many oxide powders. The aspect ratio, the ratio of the longest to the shortest dimension, is the single most important shape parameter for conductivity, since it governs the ability of the particle to bridge the fluid and to participate in a percolating network, and it enters the Hamilton-Crosser shape factor explicitly. The measurement of the aspect ratio and its distribution by electron microscopy, and the recognition that the shape may change through breakage or bending during the vigorous sonication used to disperse the particles, are necessary parts of a responsible shape study.</w:t>
      </w:r>
    </w:p>
    <w:p>
      <w:pPr>
        <w:jc w:val="both"/>
        <w:spacing w:before="0" w:after="160" w:line="276" w:lineRule="auto"/>
      </w:pPr>
      <w:r>
        <w:t xml:space="preserve">The systematic character of these dependences is summarised in Table 3, which collates the qualitative influence of each of the three principal particle parameters on the four thermophysical properties and on the resulting heat transfer performance, and which serves as a compact guide to the design of a nanofluid for a specified duty [36]. The essential lesson that emerges from the table, and from the large body of experimental work that it distils, is that no single parameter can be optimised in isolation, because each of the levers available to the designer, whether concentration, size, or shape, acts simultaneously and in opposite directions on the conductivity and the viscosity, so that the design of a nanofluid is irreducibly a problem of compromise [36].</w:t>
      </w:r>
    </w:p>
    <w:p>
      <w:pPr>
        <w:jc w:val="both"/>
        <w:spacing w:before="160" w:after="80" w:line="276" w:lineRule="auto"/>
      </w:pPr>
      <w:r>
        <w:rPr>
          <w:b/>
          <w:sz w:val="18"/>
          <w:szCs w:val="18"/>
        </w:rPr>
        <w:t xml:space="preserve">Table 3. Qualitative influence of the principal particle parameters on the properties and performance of a nanofluid (an upward arrow denotes an increase, a downward arrow a decrease, and a tilde a weak or system-dependent effect).</w:t>
      </w:r>
    </w:p>
    <w:tbl>
      <w:tblPr>
        <w:tblStyle w:val="TableGrid"/>
        <w:tblW w:w="9360" w:type="dxa"/>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val="04A0" w:firstRow="1" w:lastRow="0" w:firstColumn="1" w:lastColumn="0" w:noHBand="0" w:noVBand="1"/>
      </w:tblPr>
      <w:tblGrid>
        <w:gridCol w:w="1872"/>
        <w:gridCol w:w="1872"/>
        <w:gridCol w:w="1872"/>
        <w:gridCol w:w="1872"/>
        <w:gridCol w:w="1872"/>
      </w:tblGrid>
      <w:tr>
        <w:trPr>
          <w:tblHeader/>
        </w:trPr>
        <w:tc>
          <w:tcPr>
            <w:tcW w:w="1872" w:type="dxa"/>
            <w:shd w:val="clear" w:color="auto" w:fill="1F3864"/>
            <w:vAlign w:val="center"/>
          </w:tcPr>
          <w:p>
            <w:pPr>
              <w:spacing w:before="20" w:after="20" w:line="240" w:lineRule="auto"/>
            </w:pPr>
            <w:r>
              <w:rPr>
                <w:b/>
                <w:sz w:val="18"/>
                <w:szCs w:val="18"/>
                <w:color w:val="FFFFFF"/>
              </w:rPr>
              <w:t xml:space="preserve">Parameter increased</w:t>
            </w:r>
          </w:p>
        </w:tc>
        <w:tc>
          <w:tcPr>
            <w:tcW w:w="1872" w:type="dxa"/>
            <w:shd w:val="clear" w:color="auto" w:fill="1F3864"/>
            <w:vAlign w:val="center"/>
          </w:tcPr>
          <w:p>
            <w:pPr>
              <w:spacing w:before="20" w:after="20" w:line="240" w:lineRule="auto"/>
            </w:pPr>
            <w:r>
              <w:rPr>
                <w:b/>
                <w:sz w:val="18"/>
                <w:szCs w:val="18"/>
                <w:color w:val="FFFFFF"/>
              </w:rPr>
              <w:t xml:space="preserve">Thermal conductivity</w:t>
            </w:r>
          </w:p>
        </w:tc>
        <w:tc>
          <w:tcPr>
            <w:tcW w:w="1872" w:type="dxa"/>
            <w:shd w:val="clear" w:color="auto" w:fill="1F3864"/>
            <w:vAlign w:val="center"/>
          </w:tcPr>
          <w:p>
            <w:pPr>
              <w:spacing w:before="20" w:after="20" w:line="240" w:lineRule="auto"/>
            </w:pPr>
            <w:r>
              <w:rPr>
                <w:b/>
                <w:sz w:val="18"/>
                <w:szCs w:val="18"/>
                <w:color w:val="FFFFFF"/>
              </w:rPr>
              <w:t xml:space="preserve">Viscosity</w:t>
            </w:r>
          </w:p>
        </w:tc>
        <w:tc>
          <w:tcPr>
            <w:tcW w:w="1872" w:type="dxa"/>
            <w:shd w:val="clear" w:color="auto" w:fill="1F3864"/>
            <w:vAlign w:val="center"/>
          </w:tcPr>
          <w:p>
            <w:pPr>
              <w:spacing w:before="20" w:after="20" w:line="240" w:lineRule="auto"/>
            </w:pPr>
            <w:r>
              <w:rPr>
                <w:b/>
                <w:sz w:val="18"/>
                <w:szCs w:val="18"/>
                <w:color w:val="FFFFFF"/>
              </w:rPr>
              <w:t xml:space="preserve">Dispersion stability</w:t>
            </w:r>
          </w:p>
        </w:tc>
        <w:tc>
          <w:tcPr>
            <w:tcW w:w="1872" w:type="dxa"/>
            <w:shd w:val="clear" w:color="auto" w:fill="1F3864"/>
            <w:vAlign w:val="center"/>
          </w:tcPr>
          <w:p>
            <w:pPr>
              <w:spacing w:before="20" w:after="20" w:line="240" w:lineRule="auto"/>
            </w:pPr>
            <w:r>
              <w:rPr>
                <w:b/>
                <w:sz w:val="18"/>
                <w:szCs w:val="18"/>
                <w:color w:val="FFFFFF"/>
              </w:rPr>
              <w:t xml:space="preserve">Overall figure of merit</w:t>
            </w:r>
          </w:p>
        </w:tc>
      </w:tr>
      <w:tr>
        <w:tc>
          <w:tcPr>
            <w:tcW w:w="1872" w:type="dxa"/>
            <w:shd w:val="clear" w:color="auto" w:fill="F2F2F2"/>
            <w:vAlign w:val="center"/>
          </w:tcPr>
          <w:p>
            <w:pPr>
              <w:spacing w:before="20" w:after="20" w:line="240" w:lineRule="auto"/>
            </w:pPr>
            <w:r>
              <w:rPr>
                <w:sz w:val="18"/>
                <w:szCs w:val="18"/>
                <w:color w:val="000000"/>
              </w:rPr>
              <w:t xml:space="preserve">Particle concentration</w:t>
            </w:r>
          </w:p>
        </w:tc>
        <w:tc>
          <w:tcPr>
            <w:tcW w:w="1872" w:type="dxa"/>
            <w:shd w:val="clear" w:color="auto" w:fill="F2F2F2"/>
            <w:vAlign w:val="center"/>
          </w:tcPr>
          <w:p>
            <w:pPr>
              <w:spacing w:before="20" w:after="20" w:line="240" w:lineRule="auto"/>
            </w:pPr>
            <w:r>
              <w:rPr>
                <w:sz w:val="18"/>
                <w:szCs w:val="18"/>
                <w:color w:val="000000"/>
              </w:rPr>
              <w:t xml:space="preserve">Increase</w:t>
            </w:r>
          </w:p>
        </w:tc>
        <w:tc>
          <w:tcPr>
            <w:tcW w:w="1872" w:type="dxa"/>
            <w:shd w:val="clear" w:color="auto" w:fill="F2F2F2"/>
            <w:vAlign w:val="center"/>
          </w:tcPr>
          <w:p>
            <w:pPr>
              <w:spacing w:before="20" w:after="20" w:line="240" w:lineRule="auto"/>
            </w:pPr>
            <w:r>
              <w:rPr>
                <w:sz w:val="18"/>
                <w:szCs w:val="18"/>
                <w:color w:val="000000"/>
              </w:rPr>
              <w:t xml:space="preserve">Strong increase</w:t>
            </w:r>
          </w:p>
        </w:tc>
        <w:tc>
          <w:tcPr>
            <w:tcW w:w="1872" w:type="dxa"/>
            <w:shd w:val="clear" w:color="auto" w:fill="F2F2F2"/>
            <w:vAlign w:val="center"/>
          </w:tcPr>
          <w:p>
            <w:pPr>
              <w:spacing w:before="20" w:after="20" w:line="240" w:lineRule="auto"/>
            </w:pPr>
            <w:r>
              <w:rPr>
                <w:sz w:val="18"/>
                <w:szCs w:val="18"/>
                <w:color w:val="000000"/>
              </w:rPr>
              <w:t xml:space="preserve">Decrease</w:t>
            </w:r>
          </w:p>
        </w:tc>
        <w:tc>
          <w:tcPr>
            <w:tcW w:w="1872" w:type="dxa"/>
            <w:shd w:val="clear" w:color="auto" w:fill="F2F2F2"/>
            <w:vAlign w:val="center"/>
          </w:tcPr>
          <w:p>
            <w:pPr>
              <w:spacing w:before="20" w:after="20" w:line="240" w:lineRule="auto"/>
            </w:pPr>
            <w:r>
              <w:rPr>
                <w:sz w:val="18"/>
                <w:szCs w:val="18"/>
                <w:color w:val="000000"/>
              </w:rPr>
              <w:t xml:space="preserve">Peak at optimum</w:t>
            </w:r>
          </w:p>
        </w:tc>
      </w:tr>
      <w:tr>
        <w:tc>
          <w:tcPr>
            <w:tcW w:w="1872" w:type="dxa"/>
            <w:shd w:val="clear" w:color="auto" w:fill="F2F2F2"/>
            <w:vAlign w:val="center"/>
          </w:tcPr>
          <w:p>
            <w:pPr>
              <w:spacing w:before="20" w:after="20" w:line="240" w:lineRule="auto"/>
            </w:pPr>
            <w:r>
              <w:rPr>
                <w:sz w:val="18"/>
                <w:szCs w:val="18"/>
                <w:color w:val="000000"/>
              </w:rPr>
              <w:t xml:space="preserve">Particle size (larger)</w:t>
            </w:r>
          </w:p>
        </w:tc>
        <w:tc>
          <w:tcPr>
            <w:tcW w:w="1872" w:type="dxa"/>
            <w:shd w:val="clear" w:color="auto" w:fill="F2F2F2"/>
            <w:vAlign w:val="center"/>
          </w:tcPr>
          <w:p>
            <w:pPr>
              <w:spacing w:before="20" w:after="20" w:line="240" w:lineRule="auto"/>
            </w:pPr>
            <w:r>
              <w:rPr>
                <w:sz w:val="18"/>
                <w:szCs w:val="18"/>
                <w:color w:val="000000"/>
              </w:rPr>
              <w:t xml:space="preserve">Weak decrease</w:t>
            </w:r>
          </w:p>
        </w:tc>
        <w:tc>
          <w:tcPr>
            <w:tcW w:w="1872" w:type="dxa"/>
            <w:shd w:val="clear" w:color="auto" w:fill="F2F2F2"/>
            <w:vAlign w:val="center"/>
          </w:tcPr>
          <w:p>
            <w:pPr>
              <w:spacing w:before="20" w:after="20" w:line="240" w:lineRule="auto"/>
            </w:pPr>
            <w:r>
              <w:rPr>
                <w:sz w:val="18"/>
                <w:szCs w:val="18"/>
                <w:color w:val="000000"/>
              </w:rPr>
              <w:t xml:space="preserve">Weak decrease</w:t>
            </w:r>
          </w:p>
        </w:tc>
        <w:tc>
          <w:tcPr>
            <w:tcW w:w="1872" w:type="dxa"/>
            <w:shd w:val="clear" w:color="auto" w:fill="F2F2F2"/>
            <w:vAlign w:val="center"/>
          </w:tcPr>
          <w:p>
            <w:pPr>
              <w:spacing w:before="20" w:after="20" w:line="240" w:lineRule="auto"/>
            </w:pPr>
            <w:r>
              <w:rPr>
                <w:sz w:val="18"/>
                <w:szCs w:val="18"/>
                <w:color w:val="000000"/>
              </w:rPr>
              <w:t xml:space="preserve">Increase</w:t>
            </w:r>
          </w:p>
        </w:tc>
        <w:tc>
          <w:tcPr>
            <w:tcW w:w="1872" w:type="dxa"/>
            <w:shd w:val="clear" w:color="auto" w:fill="F2F2F2"/>
            <w:vAlign w:val="center"/>
          </w:tcPr>
          <w:p>
            <w:pPr>
              <w:spacing w:before="20" w:after="20" w:line="240" w:lineRule="auto"/>
            </w:pPr>
            <w:r>
              <w:rPr>
                <w:sz w:val="18"/>
                <w:szCs w:val="18"/>
                <w:color w:val="000000"/>
              </w:rPr>
              <w:t xml:space="preserve">System dependent</w:t>
            </w:r>
          </w:p>
        </w:tc>
      </w:tr>
      <w:tr>
        <w:tc>
          <w:tcPr>
            <w:tcW w:w="1872" w:type="dxa"/>
            <w:shd w:val="clear" w:color="auto" w:fill="F2F2F2"/>
            <w:vAlign w:val="center"/>
          </w:tcPr>
          <w:p>
            <w:pPr>
              <w:spacing w:before="20" w:after="20" w:line="240" w:lineRule="auto"/>
            </w:pPr>
            <w:r>
              <w:rPr>
                <w:sz w:val="18"/>
                <w:szCs w:val="18"/>
                <w:color w:val="000000"/>
              </w:rPr>
              <w:t xml:space="preserve">Aspect ratio (elongation)</w:t>
            </w:r>
          </w:p>
        </w:tc>
        <w:tc>
          <w:tcPr>
            <w:tcW w:w="1872" w:type="dxa"/>
            <w:shd w:val="clear" w:color="auto" w:fill="F2F2F2"/>
            <w:vAlign w:val="center"/>
          </w:tcPr>
          <w:p>
            <w:pPr>
              <w:spacing w:before="20" w:after="20" w:line="240" w:lineRule="auto"/>
            </w:pPr>
            <w:r>
              <w:rPr>
                <w:sz w:val="18"/>
                <w:szCs w:val="18"/>
                <w:color w:val="000000"/>
              </w:rPr>
              <w:t xml:space="preserve">Strong increase</w:t>
            </w:r>
          </w:p>
        </w:tc>
        <w:tc>
          <w:tcPr>
            <w:tcW w:w="1872" w:type="dxa"/>
            <w:shd w:val="clear" w:color="auto" w:fill="F2F2F2"/>
            <w:vAlign w:val="center"/>
          </w:tcPr>
          <w:p>
            <w:pPr>
              <w:spacing w:before="20" w:after="20" w:line="240" w:lineRule="auto"/>
            </w:pPr>
            <w:r>
              <w:rPr>
                <w:sz w:val="18"/>
                <w:szCs w:val="18"/>
                <w:color w:val="000000"/>
              </w:rPr>
              <w:t xml:space="preserve">Strong increase</w:t>
            </w:r>
          </w:p>
        </w:tc>
        <w:tc>
          <w:tcPr>
            <w:tcW w:w="1872" w:type="dxa"/>
            <w:shd w:val="clear" w:color="auto" w:fill="F2F2F2"/>
            <w:vAlign w:val="center"/>
          </w:tcPr>
          <w:p>
            <w:pPr>
              <w:spacing w:before="20" w:after="20" w:line="240" w:lineRule="auto"/>
            </w:pPr>
            <w:r>
              <w:rPr>
                <w:sz w:val="18"/>
                <w:szCs w:val="18"/>
                <w:color w:val="000000"/>
              </w:rPr>
              <w:t xml:space="preserve">Decrease</w:t>
            </w:r>
          </w:p>
        </w:tc>
        <w:tc>
          <w:tcPr>
            <w:tcW w:w="1872" w:type="dxa"/>
            <w:shd w:val="clear" w:color="auto" w:fill="F2F2F2"/>
            <w:vAlign w:val="center"/>
          </w:tcPr>
          <w:p>
            <w:pPr>
              <w:spacing w:before="20" w:after="20" w:line="240" w:lineRule="auto"/>
            </w:pPr>
            <w:r>
              <w:rPr>
                <w:sz w:val="18"/>
                <w:szCs w:val="18"/>
                <w:color w:val="000000"/>
              </w:rPr>
              <w:t xml:space="preserve">System dependent</w:t>
            </w:r>
          </w:p>
        </w:tc>
      </w:tr>
      <w:tr>
        <w:tc>
          <w:tcPr>
            <w:tcW w:w="1872" w:type="dxa"/>
            <w:shd w:val="clear" w:color="auto" w:fill="F2F2F2"/>
            <w:vAlign w:val="center"/>
          </w:tcPr>
          <w:p>
            <w:pPr>
              <w:spacing w:before="20" w:after="20" w:line="240" w:lineRule="auto"/>
            </w:pPr>
            <w:r>
              <w:rPr>
                <w:sz w:val="18"/>
                <w:szCs w:val="18"/>
                <w:color w:val="000000"/>
              </w:rPr>
              <w:t xml:space="preserve">Temperature</w:t>
            </w:r>
          </w:p>
        </w:tc>
        <w:tc>
          <w:tcPr>
            <w:tcW w:w="1872" w:type="dxa"/>
            <w:shd w:val="clear" w:color="auto" w:fill="F2F2F2"/>
            <w:vAlign w:val="center"/>
          </w:tcPr>
          <w:p>
            <w:pPr>
              <w:spacing w:before="20" w:after="20" w:line="240" w:lineRule="auto"/>
            </w:pPr>
            <w:r>
              <w:rPr>
                <w:sz w:val="18"/>
                <w:szCs w:val="18"/>
                <w:color w:val="000000"/>
              </w:rPr>
              <w:t xml:space="preserve">Increase</w:t>
            </w:r>
          </w:p>
        </w:tc>
        <w:tc>
          <w:tcPr>
            <w:tcW w:w="1872" w:type="dxa"/>
            <w:shd w:val="clear" w:color="auto" w:fill="F2F2F2"/>
            <w:vAlign w:val="center"/>
          </w:tcPr>
          <w:p>
            <w:pPr>
              <w:spacing w:before="20" w:after="20" w:line="240" w:lineRule="auto"/>
            </w:pPr>
            <w:r>
              <w:rPr>
                <w:sz w:val="18"/>
                <w:szCs w:val="18"/>
                <w:color w:val="000000"/>
              </w:rPr>
              <w:t xml:space="preserve">Strong decrease</w:t>
            </w:r>
          </w:p>
        </w:tc>
        <w:tc>
          <w:tcPr>
            <w:tcW w:w="1872" w:type="dxa"/>
            <w:shd w:val="clear" w:color="auto" w:fill="F2F2F2"/>
            <w:vAlign w:val="center"/>
          </w:tcPr>
          <w:p>
            <w:pPr>
              <w:spacing w:before="20" w:after="20" w:line="240" w:lineRule="auto"/>
            </w:pPr>
            <w:r>
              <w:rPr>
                <w:sz w:val="18"/>
                <w:szCs w:val="18"/>
                <w:color w:val="000000"/>
              </w:rPr>
              <w:t xml:space="preserve">Variable</w:t>
            </w:r>
          </w:p>
        </w:tc>
        <w:tc>
          <w:tcPr>
            <w:tcW w:w="1872" w:type="dxa"/>
            <w:shd w:val="clear" w:color="auto" w:fill="F2F2F2"/>
            <w:vAlign w:val="center"/>
          </w:tcPr>
          <w:p>
            <w:pPr>
              <w:spacing w:before="20" w:after="20" w:line="240" w:lineRule="auto"/>
            </w:pPr>
            <w:r>
              <w:rPr>
                <w:sz w:val="18"/>
                <w:szCs w:val="18"/>
                <w:color w:val="000000"/>
              </w:rPr>
              <w:t xml:space="preserve">Increase</w:t>
            </w:r>
          </w:p>
        </w:tc>
      </w:tr>
    </w:tbl>
    <w:p>
      <w:pPr>
        <w:spacing w:before="0" w:after="120" w:line="276" w:lineRule="auto"/>
      </w:pPr>
      <w:r>
        <w:t xml:space="preserve"/>
      </w:r>
    </w:p>
    <w:p>
      <w:pPr>
        <w:jc w:val="both"/>
        <w:spacing w:before="0" w:after="160" w:line="276" w:lineRule="auto"/>
      </w:pPr>
      <w:r>
        <w:t xml:space="preserve">The design of a systematic concentration study, which is the most basic and most frequently undertaken of nanofluid investigations, illustrates the methodological principles that govern the whole enterprise. A series of suspensions is prepared at several volume fractions spanning the range of interest, each by the same documented method and from the same batch of particles and base fluid, so that concentration is the sole variable and the confounding influence of differing dispersion quality is minimised. The four thermophysical properties are measured for each suspension over the temperature range of the intended application, and the heat transfer and friction performance are measured in the same validated flow loop over a common range of Reynolds numbers, care being taken that the comparison among concentrations is made on a consistent and clearly stated basis. From these data the performance criterion is computed as a function of concentration and its maximum identified, yielding the optimum loading, while the property data illuminate the mechanism by which that optimum arises. Such a study, modest in conception but demanding in execution, constitutes the fundamental unit of empirical knowledge in the field, and the accumulation of many such studies across the space of materials, sizes, shapes, and base fluids is the means by which the collective understanding advances.</w:t>
      </w:r>
    </w:p>
    <w:p>
      <w:pPr>
        <w:jc w:val="both"/>
        <w:spacing w:before="0" w:after="160" w:line="276" w:lineRule="auto"/>
      </w:pPr>
      <w:r>
        <w:t xml:space="preserve">The concentration dependence deserves a final quantitative comment, for it is the parameter over which the designer has the most direct control and the one whose optimisation yields the most reliable dividend. The enhancement in the heat transfer coefficient for a range of materials at two representative concentrations was displayed in Figure 3, and the systematic increase from the lower to the higher loading visible in that figure confirms the general trend, while the wide variation between materials at each loading underscores that concentration alone does not determine performance [37]. The interplay of concentration with the flow regime is likewise important, for the optimum concentration in laminar flow, where the viscosity penalty is felt through the pumping power alone, generally differs from that in turbulent flow, where the viscosity also enters the heat transfer correlation directly, so that the optimisation must in the end be performed for the specific application [37].</w:t>
      </w:r>
    </w:p>
    <w:p>
      <w:pPr>
        <w:jc w:val="both"/>
        <w:spacing w:before="0" w:after="160" w:line="276" w:lineRule="auto"/>
      </w:pPr>
      <w:r>
        <w:t xml:space="preserve">A recurring difficulty in the interpretation of concentration studies, and one that deserves explicit warning, is the confounding of concentration with dispersion quality, for it is often harder to disperse a suspension well at high concentration than at low, so that the more concentrated members of a series may be more aggregated as well as more loaded. When this occurs the measured trend with concentration conflates the intrinsic effect of loading with the incidental effect of poorer dispersion, and a conclusion drawn from such data may be quite misleading. The guard against this confounding is the characterisation of the dispersion at every concentration, so that any systematic variation of dispersion quality across the series is detected and either corrected or acknowledged, and the practice of preparing every member of the series by an identical protocol and verifying the stability of each. The care required to isolate the effect of a single variable, holding all others constant, is the same care that governs any sound experiment, but it is peculiarly demanding in the study of nanofluids because so many of the variables are coupled and because the state of the suspension is so easily and so invisibly altered.</w:t>
      </w:r>
    </w:p>
    <w:p>
      <w:pPr>
        <w:pStyle w:val="Heading2"/>
        <w:spacing w:before="240" w:after="120" w:line="276" w:lineRule="auto"/>
      </w:pPr>
      <w:r>
        <w:rPr>
          <w:b/>
          <w:sz w:val="26"/>
          <w:szCs w:val="26"/>
          <w:color w:val="1F3864"/>
        </w:rPr>
        <w:t xml:space="preserve">3.3 Thermal Performance Evaluation and Uncertainty Analysis</w:t>
      </w:r>
    </w:p>
    <w:p>
      <w:pPr>
        <w:jc w:val="both"/>
        <w:spacing w:before="0" w:after="160" w:line="276" w:lineRule="auto"/>
      </w:pPr>
      <w:r>
        <w:t xml:space="preserve">The final and in some respects the most important task of the experimental investigation is the rigorous evaluation of thermal performance and the honest quantification of the uncertainty that attends every measured quantity, for a reported enhancement is meaningless unless it is accompanied by a credible estimate of its uncertainty and unless the comparison on which it rests is a fair one. The fairness of the comparison, as has been emphasised repeatedly, hinges on the basis chosen for it, and the several possible bases can lead to strikingly different conclusions from the very same data [38]. A comparison at equal flow rate, or equal Reynolds number, flatters the nanofluid by ignoring the extra pumping power its higher viscosity demands; a comparison at equal pumping power is far more demanding and far more relevant to practice; and a comparison at equal pressure drop occupies an intermediate position [38].</w:t>
      </w:r>
    </w:p>
    <w:p>
      <w:pPr>
        <w:jc w:val="both"/>
        <w:spacing w:before="0" w:after="160" w:line="276" w:lineRule="auto"/>
      </w:pPr>
      <w:r>
        <w:t xml:space="preserve">The performance evaluation criterion introduced in the first chapter provides the accepted means of conducting a fair comparison, and it is worth restating its logic in the context of the experimental data to which it is applied. The criterion expresses the ratio of the enhancement in the heat transfer coefficient, or equivalently the Nusselt number, to the accompanying penalty in the friction factor, each raised to an appropriate power dictated by the constraint under which the comparison is made, and a value of the criterion exceeding unity signals that the nanofluid delivers a genuine net benefit under that constraint while a value below unity signals that the viscosity penalty has overwhelmed the thermal benefit [38]. The application of this criterion to carefully measured data is the ultimate purpose of the experimental programme, and its behaviour as a function of concentration, which rises to a maximum and then declines exactly as the schematic of Figure 4 indicated, provides the clearest possible guidance to the designer seeking the optimum loading [39].</w:t>
      </w:r>
    </w:p>
    <w:p>
      <w:pPr>
        <w:jc w:val="both"/>
        <w:spacing w:before="0" w:after="160" w:line="276" w:lineRule="auto"/>
      </w:pPr>
      <w:r>
        <w:t xml:space="preserve">No experimental result, however carefully obtained, is complete without an analysis of its uncertainty, and the propagation of uncertainty through the chain of calculation that leads from the raw sensor readings to the final heat transfer coefficient is a discipline in its own right. The standard approach, codified in the widely used method of Kline and McClintock and in the international guides that have followed it, expresses the uncertainty in a derived quantity as the root-sum-square of the contributions of the uncertainties in each of the measured quantities on which it depends, each contribution being weighted by the sensitivity of the derived quantity to the measurement in question [39]. Applied to a convective heat transfer experiment, this analysis reveals that the uncertainty in the heat transfer coefficient is frequently dominated by the uncertainty in the small temperature difference between the wall and the fluid, a difference that appears in the denominator and whose measurement is therefore the critical determinant of the overall accuracy [39].</w:t>
      </w:r>
    </w:p>
    <w:p>
      <w:pPr>
        <w:jc w:val="both"/>
        <w:spacing w:before="0" w:after="160" w:line="276" w:lineRule="auto"/>
      </w:pPr>
      <w:r>
        <w:t xml:space="preserve">The question of repeatability and reproducibility, which the field's early history brought so painfully to the fore, deserves explicit treatment as a distinct component of the uncertainty analysis, for it addresses a source of variation that the propagation of instrument uncertainties does not capture. Repeatability concerns the agreement among measurements made by the same experimenter with the same apparatus on the same sample over a short interval, and it reflects the random scatter of the measurement process; reproducibility concerns the far more demanding agreement among measurements made by different experimenters, with different apparatus, on nominally identical but separately prepared samples, and it reflects, in addition to the random scatter, all the systematic differences in preparation, dispersion, and technique that distinguish one laboratory from another. The international benchmark exercise revealed that the reproducibility of nanofluid conductivity measurements was far poorer than their repeatability, which is to say that each laboratory could obtain a consistent result but that the results of different laboratories disagreed, a pattern that pointed unmistakably to uncontrolled systematic differences in sample preparation rather than to random measurement error. The lesson, that the reproducible specification of a nanofluid requires the full documentation of its preparation and characterisation, has been thoroughly absorbed by the mature field.</w:t>
      </w:r>
    </w:p>
    <w:p>
      <w:pPr>
        <w:jc w:val="both"/>
        <w:spacing w:before="0" w:after="160" w:line="276" w:lineRule="auto"/>
      </w:pPr>
      <w:r>
        <w:t xml:space="preserve">The practical consequence of this analysis is that the pursuit of accuracy in a nanofluid heat transfer experiment reduces very largely to the pursuit of accuracy in temperature measurement, and in particular to the accurate determination of the temperature difference driving the heat transfer, which places a premium on the calibration of the thermocouples against a common reference and on the minimisation of the parasitic heat losses that would otherwise corrupt the energy balance [40]. A typical well-conducted experiment achieves an uncertainty in the heat transfer coefficient of a few per cent, and it is a sobering reflection that a number of the more spectacular enhancements reported in the early literature lay within the uncertainty band of the measurements from which they were derived, and were therefore not statistically significant at all, a realisation that did much to instil the current insistence on rigorous uncertainty analysis [40]. Table 4 presents a representative uncertainty budget for a convective heat transfer experiment, apportioning the total uncertainty among its principal contributing sources [40].</w:t>
      </w:r>
    </w:p>
    <w:p>
      <w:pPr>
        <w:jc w:val="both"/>
        <w:spacing w:before="160" w:after="80" w:line="276" w:lineRule="auto"/>
      </w:pPr>
      <w:r>
        <w:rPr>
          <w:b/>
          <w:sz w:val="18"/>
          <w:szCs w:val="18"/>
        </w:rPr>
        <w:t xml:space="preserve">Table 4. Representative uncertainty budget for the determination of the convective heat transfer coefficient in a nanofluid flow-loop experiment (indicative values illustrating the relative contribution of each source).</w:t>
      </w:r>
    </w:p>
    <w:tbl>
      <w:tblPr>
        <w:tblStyle w:val="TableGrid"/>
        <w:tblW w:w="9360" w:type="dxa"/>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val="04A0" w:firstRow="1" w:lastRow="0" w:firstColumn="1" w:lastColumn="0" w:noHBand="0" w:noVBand="1"/>
      </w:tblPr>
      <w:tblGrid>
        <w:gridCol w:w="2340"/>
        <w:gridCol w:w="2340"/>
        <w:gridCol w:w="2340"/>
        <w:gridCol w:w="2340"/>
      </w:tblGrid>
      <w:tr>
        <w:trPr>
          <w:tblHeader/>
        </w:trPr>
        <w:tc>
          <w:tcPr>
            <w:tcW w:w="2340" w:type="dxa"/>
            <w:shd w:val="clear" w:color="auto" w:fill="1F3864"/>
            <w:vAlign w:val="center"/>
          </w:tcPr>
          <w:p>
            <w:pPr>
              <w:spacing w:before="20" w:after="20" w:line="240" w:lineRule="auto"/>
            </w:pPr>
            <w:r>
              <w:rPr>
                <w:b/>
                <w:sz w:val="18"/>
                <w:szCs w:val="18"/>
                <w:color w:val="FFFFFF"/>
              </w:rPr>
              <w:t xml:space="preserve">Measured quantity</w:t>
            </w:r>
          </w:p>
        </w:tc>
        <w:tc>
          <w:tcPr>
            <w:tcW w:w="2340" w:type="dxa"/>
            <w:shd w:val="clear" w:color="auto" w:fill="1F3864"/>
            <w:vAlign w:val="center"/>
          </w:tcPr>
          <w:p>
            <w:pPr>
              <w:spacing w:before="20" w:after="20" w:line="240" w:lineRule="auto"/>
            </w:pPr>
            <w:r>
              <w:rPr>
                <w:b/>
                <w:sz w:val="18"/>
                <w:szCs w:val="18"/>
                <w:color w:val="FFFFFF"/>
              </w:rPr>
              <w:t xml:space="preserve">Typical uncertainty</w:t>
            </w:r>
          </w:p>
        </w:tc>
        <w:tc>
          <w:tcPr>
            <w:tcW w:w="2340" w:type="dxa"/>
            <w:shd w:val="clear" w:color="auto" w:fill="1F3864"/>
            <w:vAlign w:val="center"/>
          </w:tcPr>
          <w:p>
            <w:pPr>
              <w:spacing w:before="20" w:after="20" w:line="240" w:lineRule="auto"/>
            </w:pPr>
            <w:r>
              <w:rPr>
                <w:b/>
                <w:sz w:val="18"/>
                <w:szCs w:val="18"/>
                <w:color w:val="FFFFFF"/>
              </w:rPr>
              <w:t xml:space="preserve">Sensitivity</w:t>
            </w:r>
          </w:p>
        </w:tc>
        <w:tc>
          <w:tcPr>
            <w:tcW w:w="2340" w:type="dxa"/>
            <w:shd w:val="clear" w:color="auto" w:fill="1F3864"/>
            <w:vAlign w:val="center"/>
          </w:tcPr>
          <w:p>
            <w:pPr>
              <w:spacing w:before="20" w:after="20" w:line="240" w:lineRule="auto"/>
            </w:pPr>
            <w:r>
              <w:rPr>
                <w:b/>
                <w:sz w:val="18"/>
                <w:szCs w:val="18"/>
                <w:color w:val="FFFFFF"/>
              </w:rPr>
              <w:t xml:space="preserve">Contribution to h (%)</w:t>
            </w:r>
          </w:p>
        </w:tc>
      </w:tr>
      <w:tr>
        <w:tc>
          <w:tcPr>
            <w:tcW w:w="2340" w:type="dxa"/>
            <w:shd w:val="clear" w:color="auto" w:fill="F2F2F2"/>
            <w:vAlign w:val="center"/>
          </w:tcPr>
          <w:p>
            <w:pPr>
              <w:spacing w:before="20" w:after="20" w:line="240" w:lineRule="auto"/>
            </w:pPr>
            <w:r>
              <w:rPr>
                <w:sz w:val="18"/>
                <w:szCs w:val="18"/>
                <w:color w:val="000000"/>
              </w:rPr>
              <w:t xml:space="preserve">Wall-to-fluid temperature difference</w:t>
            </w:r>
          </w:p>
        </w:tc>
        <w:tc>
          <w:tcPr>
            <w:tcW w:w="2340" w:type="dxa"/>
            <w:shd w:val="clear" w:color="auto" w:fill="F2F2F2"/>
            <w:vAlign w:val="center"/>
          </w:tcPr>
          <w:p>
            <w:pPr>
              <w:spacing w:before="20" w:after="20" w:line="240" w:lineRule="auto"/>
            </w:pPr>
            <w:r>
              <w:rPr>
                <w:sz w:val="18"/>
                <w:szCs w:val="18"/>
                <w:color w:val="000000"/>
              </w:rPr>
              <w:t xml:space="preserve">+/- 0.2 K</w:t>
            </w:r>
          </w:p>
        </w:tc>
        <w:tc>
          <w:tcPr>
            <w:tcW w:w="2340" w:type="dxa"/>
            <w:shd w:val="clear" w:color="auto" w:fill="F2F2F2"/>
            <w:vAlign w:val="center"/>
          </w:tcPr>
          <w:p>
            <w:pPr>
              <w:spacing w:before="20" w:after="20" w:line="240" w:lineRule="auto"/>
            </w:pPr>
            <w:r>
              <w:rPr>
                <w:sz w:val="18"/>
                <w:szCs w:val="18"/>
                <w:color w:val="000000"/>
              </w:rPr>
              <w:t xml:space="preserve">High</w:t>
            </w:r>
          </w:p>
        </w:tc>
        <w:tc>
          <w:tcPr>
            <w:tcW w:w="2340" w:type="dxa"/>
            <w:shd w:val="clear" w:color="auto" w:fill="F2F2F2"/>
            <w:vAlign w:val="center"/>
          </w:tcPr>
          <w:p>
            <w:pPr>
              <w:spacing w:before="20" w:after="20" w:line="240" w:lineRule="auto"/>
            </w:pPr>
            <w:r>
              <w:rPr>
                <w:sz w:val="18"/>
                <w:szCs w:val="18"/>
                <w:color w:val="000000"/>
              </w:rPr>
              <w:t xml:space="preserve">3.8</w:t>
            </w:r>
          </w:p>
        </w:tc>
      </w:tr>
      <w:tr>
        <w:tc>
          <w:tcPr>
            <w:tcW w:w="2340" w:type="dxa"/>
            <w:shd w:val="clear" w:color="auto" w:fill="F2F2F2"/>
            <w:vAlign w:val="center"/>
          </w:tcPr>
          <w:p>
            <w:pPr>
              <w:spacing w:before="20" w:after="20" w:line="240" w:lineRule="auto"/>
            </w:pPr>
            <w:r>
              <w:rPr>
                <w:sz w:val="18"/>
                <w:szCs w:val="18"/>
                <w:color w:val="000000"/>
              </w:rPr>
              <w:t xml:space="preserve">Electrical power input</w:t>
            </w:r>
          </w:p>
        </w:tc>
        <w:tc>
          <w:tcPr>
            <w:tcW w:w="2340" w:type="dxa"/>
            <w:shd w:val="clear" w:color="auto" w:fill="F2F2F2"/>
            <w:vAlign w:val="center"/>
          </w:tcPr>
          <w:p>
            <w:pPr>
              <w:spacing w:before="20" w:after="20" w:line="240" w:lineRule="auto"/>
            </w:pPr>
            <w:r>
              <w:rPr>
                <w:sz w:val="18"/>
                <w:szCs w:val="18"/>
                <w:color w:val="000000"/>
              </w:rPr>
              <w:t xml:space="preserve">+/- 0.5 %</w:t>
            </w:r>
          </w:p>
        </w:tc>
        <w:tc>
          <w:tcPr>
            <w:tcW w:w="2340" w:type="dxa"/>
            <w:shd w:val="clear" w:color="auto" w:fill="F2F2F2"/>
            <w:vAlign w:val="center"/>
          </w:tcPr>
          <w:p>
            <w:pPr>
              <w:spacing w:before="20" w:after="20" w:line="240" w:lineRule="auto"/>
            </w:pPr>
            <w:r>
              <w:rPr>
                <w:sz w:val="18"/>
                <w:szCs w:val="18"/>
                <w:color w:val="000000"/>
              </w:rPr>
              <w:t xml:space="preserve">Moderate</w:t>
            </w:r>
          </w:p>
        </w:tc>
        <w:tc>
          <w:tcPr>
            <w:tcW w:w="2340" w:type="dxa"/>
            <w:shd w:val="clear" w:color="auto" w:fill="F2F2F2"/>
            <w:vAlign w:val="center"/>
          </w:tcPr>
          <w:p>
            <w:pPr>
              <w:spacing w:before="20" w:after="20" w:line="240" w:lineRule="auto"/>
            </w:pPr>
            <w:r>
              <w:rPr>
                <w:sz w:val="18"/>
                <w:szCs w:val="18"/>
                <w:color w:val="000000"/>
              </w:rPr>
              <w:t xml:space="preserve">0.5</w:t>
            </w:r>
          </w:p>
        </w:tc>
      </w:tr>
      <w:tr>
        <w:tc>
          <w:tcPr>
            <w:tcW w:w="2340" w:type="dxa"/>
            <w:shd w:val="clear" w:color="auto" w:fill="F2F2F2"/>
            <w:vAlign w:val="center"/>
          </w:tcPr>
          <w:p>
            <w:pPr>
              <w:spacing w:before="20" w:after="20" w:line="240" w:lineRule="auto"/>
            </w:pPr>
            <w:r>
              <w:rPr>
                <w:sz w:val="18"/>
                <w:szCs w:val="18"/>
                <w:color w:val="000000"/>
              </w:rPr>
              <w:t xml:space="preserve">Volumetric flow rate</w:t>
            </w:r>
          </w:p>
        </w:tc>
        <w:tc>
          <w:tcPr>
            <w:tcW w:w="2340" w:type="dxa"/>
            <w:shd w:val="clear" w:color="auto" w:fill="F2F2F2"/>
            <w:vAlign w:val="center"/>
          </w:tcPr>
          <w:p>
            <w:pPr>
              <w:spacing w:before="20" w:after="20" w:line="240" w:lineRule="auto"/>
            </w:pPr>
            <w:r>
              <w:rPr>
                <w:sz w:val="18"/>
                <w:szCs w:val="18"/>
                <w:color w:val="000000"/>
              </w:rPr>
              <w:t xml:space="preserve">+/- 1.0 %</w:t>
            </w:r>
          </w:p>
        </w:tc>
        <w:tc>
          <w:tcPr>
            <w:tcW w:w="2340" w:type="dxa"/>
            <w:shd w:val="clear" w:color="auto" w:fill="F2F2F2"/>
            <w:vAlign w:val="center"/>
          </w:tcPr>
          <w:p>
            <w:pPr>
              <w:spacing w:before="20" w:after="20" w:line="240" w:lineRule="auto"/>
            </w:pPr>
            <w:r>
              <w:rPr>
                <w:sz w:val="18"/>
                <w:szCs w:val="18"/>
                <w:color w:val="000000"/>
              </w:rPr>
              <w:t xml:space="preserve">Moderate</w:t>
            </w:r>
          </w:p>
        </w:tc>
        <w:tc>
          <w:tcPr>
            <w:tcW w:w="2340" w:type="dxa"/>
            <w:shd w:val="clear" w:color="auto" w:fill="F2F2F2"/>
            <w:vAlign w:val="center"/>
          </w:tcPr>
          <w:p>
            <w:pPr>
              <w:spacing w:before="20" w:after="20" w:line="240" w:lineRule="auto"/>
            </w:pPr>
            <w:r>
              <w:rPr>
                <w:sz w:val="18"/>
                <w:szCs w:val="18"/>
                <w:color w:val="000000"/>
              </w:rPr>
              <w:t xml:space="preserve">0.9</w:t>
            </w:r>
          </w:p>
        </w:tc>
      </w:tr>
      <w:tr>
        <w:tc>
          <w:tcPr>
            <w:tcW w:w="2340" w:type="dxa"/>
            <w:shd w:val="clear" w:color="auto" w:fill="F2F2F2"/>
            <w:vAlign w:val="center"/>
          </w:tcPr>
          <w:p>
            <w:pPr>
              <w:spacing w:before="20" w:after="20" w:line="240" w:lineRule="auto"/>
            </w:pPr>
            <w:r>
              <w:rPr>
                <w:sz w:val="18"/>
                <w:szCs w:val="18"/>
                <w:color w:val="000000"/>
              </w:rPr>
              <w:t xml:space="preserve">Test-section diameter</w:t>
            </w:r>
          </w:p>
        </w:tc>
        <w:tc>
          <w:tcPr>
            <w:tcW w:w="2340" w:type="dxa"/>
            <w:shd w:val="clear" w:color="auto" w:fill="F2F2F2"/>
            <w:vAlign w:val="center"/>
          </w:tcPr>
          <w:p>
            <w:pPr>
              <w:spacing w:before="20" w:after="20" w:line="240" w:lineRule="auto"/>
            </w:pPr>
            <w:r>
              <w:rPr>
                <w:sz w:val="18"/>
                <w:szCs w:val="18"/>
                <w:color w:val="000000"/>
              </w:rPr>
              <w:t xml:space="preserve">+/- 0.5 %</w:t>
            </w:r>
          </w:p>
        </w:tc>
        <w:tc>
          <w:tcPr>
            <w:tcW w:w="2340" w:type="dxa"/>
            <w:shd w:val="clear" w:color="auto" w:fill="F2F2F2"/>
            <w:vAlign w:val="center"/>
          </w:tcPr>
          <w:p>
            <w:pPr>
              <w:spacing w:before="20" w:after="20" w:line="240" w:lineRule="auto"/>
            </w:pPr>
            <w:r>
              <w:rPr>
                <w:sz w:val="18"/>
                <w:szCs w:val="18"/>
                <w:color w:val="000000"/>
              </w:rPr>
              <w:t xml:space="preserve">Moderate</w:t>
            </w:r>
          </w:p>
        </w:tc>
        <w:tc>
          <w:tcPr>
            <w:tcW w:w="2340" w:type="dxa"/>
            <w:shd w:val="clear" w:color="auto" w:fill="F2F2F2"/>
            <w:vAlign w:val="center"/>
          </w:tcPr>
          <w:p>
            <w:pPr>
              <w:spacing w:before="20" w:after="20" w:line="240" w:lineRule="auto"/>
            </w:pPr>
            <w:r>
              <w:rPr>
                <w:sz w:val="18"/>
                <w:szCs w:val="18"/>
                <w:color w:val="000000"/>
              </w:rPr>
              <w:t xml:space="preserve">0.7</w:t>
            </w:r>
          </w:p>
        </w:tc>
      </w:tr>
      <w:tr>
        <w:tc>
          <w:tcPr>
            <w:tcW w:w="2340" w:type="dxa"/>
            <w:shd w:val="clear" w:color="auto" w:fill="F2F2F2"/>
            <w:vAlign w:val="center"/>
          </w:tcPr>
          <w:p>
            <w:pPr>
              <w:spacing w:before="20" w:after="20" w:line="240" w:lineRule="auto"/>
            </w:pPr>
            <w:r>
              <w:rPr>
                <w:sz w:val="18"/>
                <w:szCs w:val="18"/>
                <w:color w:val="000000"/>
              </w:rPr>
              <w:t xml:space="preserve">Fluid property values</w:t>
            </w:r>
          </w:p>
        </w:tc>
        <w:tc>
          <w:tcPr>
            <w:tcW w:w="2340" w:type="dxa"/>
            <w:shd w:val="clear" w:color="auto" w:fill="F2F2F2"/>
            <w:vAlign w:val="center"/>
          </w:tcPr>
          <w:p>
            <w:pPr>
              <w:spacing w:before="20" w:after="20" w:line="240" w:lineRule="auto"/>
            </w:pPr>
            <w:r>
              <w:rPr>
                <w:sz w:val="18"/>
                <w:szCs w:val="18"/>
                <w:color w:val="000000"/>
              </w:rPr>
              <w:t xml:space="preserve">+/- 2.0 %</w:t>
            </w:r>
          </w:p>
        </w:tc>
        <w:tc>
          <w:tcPr>
            <w:tcW w:w="2340" w:type="dxa"/>
            <w:shd w:val="clear" w:color="auto" w:fill="F2F2F2"/>
            <w:vAlign w:val="center"/>
          </w:tcPr>
          <w:p>
            <w:pPr>
              <w:spacing w:before="20" w:after="20" w:line="240" w:lineRule="auto"/>
            </w:pPr>
            <w:r>
              <w:rPr>
                <w:sz w:val="18"/>
                <w:szCs w:val="18"/>
                <w:color w:val="000000"/>
              </w:rPr>
              <w:t xml:space="preserve">Moderate</w:t>
            </w:r>
          </w:p>
        </w:tc>
        <w:tc>
          <w:tcPr>
            <w:tcW w:w="2340" w:type="dxa"/>
            <w:shd w:val="clear" w:color="auto" w:fill="F2F2F2"/>
            <w:vAlign w:val="center"/>
          </w:tcPr>
          <w:p>
            <w:pPr>
              <w:spacing w:before="20" w:after="20" w:line="240" w:lineRule="auto"/>
            </w:pPr>
            <w:r>
              <w:rPr>
                <w:sz w:val="18"/>
                <w:szCs w:val="18"/>
                <w:color w:val="000000"/>
              </w:rPr>
              <w:t xml:space="preserve">2.0</w:t>
            </w:r>
          </w:p>
        </w:tc>
      </w:tr>
      <w:tr>
        <w:tc>
          <w:tcPr>
            <w:tcW w:w="2340" w:type="dxa"/>
            <w:shd w:val="clear" w:color="auto" w:fill="F2F2F2"/>
            <w:vAlign w:val="center"/>
          </w:tcPr>
          <w:p>
            <w:pPr>
              <w:spacing w:before="20" w:after="20" w:line="240" w:lineRule="auto"/>
            </w:pPr>
            <w:r>
              <w:rPr>
                <w:sz w:val="18"/>
                <w:szCs w:val="18"/>
                <w:color w:val="000000"/>
              </w:rPr>
              <w:t xml:space="preserve">Combined standard uncertainty in h</w:t>
            </w:r>
          </w:p>
        </w:tc>
        <w:tc>
          <w:tcPr>
            <w:tcW w:w="2340" w:type="dxa"/>
            <w:shd w:val="clear" w:color="auto" w:fill="F2F2F2"/>
            <w:vAlign w:val="center"/>
          </w:tcPr>
          <w:p>
            <w:pPr>
              <w:spacing w:before="20" w:after="20" w:line="240" w:lineRule="auto"/>
            </w:pPr>
            <w:r>
              <w:rPr>
                <w:sz w:val="18"/>
                <w:szCs w:val="18"/>
                <w:color w:val="000000"/>
              </w:rPr>
              <w:t xml:space="preserve">-</w:t>
            </w:r>
          </w:p>
        </w:tc>
        <w:tc>
          <w:tcPr>
            <w:tcW w:w="2340" w:type="dxa"/>
            <w:shd w:val="clear" w:color="auto" w:fill="F2F2F2"/>
            <w:vAlign w:val="center"/>
          </w:tcPr>
          <w:p>
            <w:pPr>
              <w:spacing w:before="20" w:after="20" w:line="240" w:lineRule="auto"/>
            </w:pPr>
            <w:r>
              <w:rPr>
                <w:sz w:val="18"/>
                <w:szCs w:val="18"/>
                <w:color w:val="000000"/>
              </w:rPr>
              <w:t xml:space="preserve">-</w:t>
            </w:r>
          </w:p>
        </w:tc>
        <w:tc>
          <w:tcPr>
            <w:tcW w:w="2340" w:type="dxa"/>
            <w:shd w:val="clear" w:color="auto" w:fill="F2F2F2"/>
            <w:vAlign w:val="center"/>
          </w:tcPr>
          <w:p>
            <w:pPr>
              <w:spacing w:before="20" w:after="20" w:line="240" w:lineRule="auto"/>
            </w:pPr>
            <w:r>
              <w:rPr>
                <w:sz w:val="18"/>
                <w:szCs w:val="18"/>
                <w:color w:val="000000"/>
              </w:rPr>
              <w:t xml:space="preserve">4.5</w:t>
            </w:r>
          </w:p>
        </w:tc>
      </w:tr>
    </w:tbl>
    <w:p>
      <w:pPr>
        <w:spacing w:before="0" w:after="120" w:line="276" w:lineRule="auto"/>
      </w:pPr>
      <w:r>
        <w:t xml:space="preserve"/>
      </w:r>
    </w:p>
    <w:p>
      <w:pPr>
        <w:jc w:val="both"/>
        <w:spacing w:before="0" w:after="160" w:line="276" w:lineRule="auto"/>
      </w:pPr>
      <w:r>
        <w:t xml:space="preserve">The uncertainty budget of Table 4 conveys a lesson of general applicability, namely that the overall accuracy of the experiment is limited by a small number of dominant sources, chief among them the temperature difference, and that effort expended on reducing the smaller contributions is largely wasted while the dominant source remains uncontrolled [41]. The same principle governs the property measurements, where the uncertainty in the reported conductivity enhancement must be small compared with the enhancement itself if the result is to carry conviction, a requirement that the transient hot-wire method, with its inherent accuracy of the order of one to two per cent, is generally able to meet for the larger enhancements but not for the marginal ones [41]. It was precisely the failure to observe this requirement, and the consequent reporting of enhancements comparable in magnitude to their own uncertainty, that gave rise to much of the early confusion and that the disciplined practice of the mature field is designed to prevent [41].</w:t>
      </w:r>
    </w:p>
    <w:p>
      <w:pPr>
        <w:jc w:val="both"/>
        <w:spacing w:before="0" w:after="160" w:line="276" w:lineRule="auto"/>
      </w:pPr>
      <w:r>
        <w:t xml:space="preserve">The distinction between random and systematic uncertainty, sometimes termed precision and bias, is fundamental to a proper analysis and is frequently blurred in careless work. A random uncertainty arises from the irreproducible scatter of repeated measurements and may be reduced by averaging over many repetitions, its magnitude estimated from the standard deviation of the sample; a systematic uncertainty arises from a persistent bias in the measurement, such as a miscalibrated sensor or an unaccounted heat loss, and is not reduced by repetition but must be bounded by careful calibration and by the analysis of the physical sources of bias. In a nanofluid heat transfer experiment the systematic uncertainties are frequently the more troublesome, for a small persistent bias in the temperature measurement or an unrecognised heat loss can shift the apparent heat transfer coefficient by an amount comparable to the enhancement under investigation, and no amount of averaging will reveal the error. The insistence on the independent calibration of every sensor against a common traceable reference, and on the demonstration of a closed energy balance, is the discipline by which such systematic errors are brought under control.</w:t>
      </w:r>
    </w:p>
    <w:p>
      <w:pPr>
        <w:jc w:val="both"/>
        <w:spacing w:before="0" w:after="160" w:line="276" w:lineRule="auto"/>
      </w:pPr>
      <w:r>
        <w:t xml:space="preserve">The validation of the apparatus against established correlations for the base fluid, already mentioned as a mark of good practice, functions as the single most powerful safeguard against undetected systematic error, for it subjects the entire measurement chain to a test against a known answer. If the loop reproduces the classical Nusselt-number and friction-factor correlations for pure water across the range of Reynolds numbers to be used with the nanofluid, then the geometry, the instrumentation, the calibrations, and the data-reduction procedure are all vindicated together, and a subsequent departure of the nanofluid data from the base-fluid correlation may be attributed with some confidence to the nanofluid itself rather than to an artefact of the apparatus. This baseline validation, conducted with the very fluid, loop, and procedure to be used for the nanofluid, is far more convincing than any calculation of uncertainty in the abstract, and its routine inclusion in contemporary studies marks a decisive advance over the practice of the field's early years.</w:t>
      </w:r>
    </w:p>
    <w:p>
      <w:pPr>
        <w:jc w:val="both"/>
        <w:spacing w:before="0" w:after="160" w:line="276" w:lineRule="auto"/>
      </w:pPr>
      <w:r>
        <w:t xml:space="preserve">Drawing together the threads of the experimental investigation, a coherent methodology for the responsible characterisation of a nanofluid may be articulated. It begins with the careful preparation of a well-dispersed and stable suspension by a documented method, proceeds through the comprehensive characterisation of the particles and their state of dispersion, continues with the accurate measurement of all four thermophysical properties over the relevant ranges of concentration and temperature, advances to the measurement of the heat transfer and friction performance in a validated flow loop, and culminates in the evaluation of a fair performance criterion accompanied by a rigorous uncertainty analysis [42]. Each stage builds upon the last, and the omission of any one of them compromises the value of the whole, a truth that the field learned through hard experience and that now constitutes the accepted standard of good practice [42].</w:t>
      </w:r>
    </w:p>
    <w:p>
      <w:pPr>
        <w:jc w:val="both"/>
        <w:spacing w:before="0" w:after="160" w:line="276" w:lineRule="auto"/>
      </w:pPr>
      <w:r>
        <w:t xml:space="preserve">The role of numerical simulation as a complement to physical experiment deserves acknowledgement in any account of the modern investigation of nanofluid heat transfer, for computation has come to occupy a place beside the flow loop and the hot-wire apparatus in the study of these fluids. Two broad computational approaches are distinguished. The single-phase, or homogeneous, approach treats the nanofluid as a fluid of uniform effective properties, computed from the property models discussed earlier, and solves the ordinary equations of fluid flow and heat transfer for this effective fluid, an approach economical in computation and adequate wherever the particle distribution remains uniform. The two-phase approach, by contrast, treats the particles and the liquid as distinct interpenetrating phases coupled by exchanges of momentum and energy, and it is capable of representing the migration and non-uniform distribution of particles that the single-phase approach cannot, at a considerably greater computational cost. The comparison of these approaches against carefully measured data has itself become a subject of study, and the general finding, that the single-phase approach suffices for many turbulent flows while the two-phase approach is needed to capture the developing-region and migration effects in laminar flow, mirrors and reinforces the regime-dependent picture that the experiments have painted.</w:t>
      </w:r>
    </w:p>
    <w:p>
      <w:pPr>
        <w:jc w:val="both"/>
        <w:spacing w:before="0" w:after="160" w:line="276" w:lineRule="auto"/>
      </w:pPr>
      <w:r>
        <w:t xml:space="preserve">The experimental investigation of nanofluid heat transfer has thus matured from an enterprise marked by exuberant but irreproducible claims into a disciplined branch of thermal science governed by rigorous standards of preparation, characterisation, measurement, and analysis. The picture that has emerged from this maturation is neither as dazzling as the earliest reports suggested nor as bleak as the subsequent reaction feared, but is rather a nuanced and application-dependent one in which nanofluids offer genuine and useful advantages in certain regimes, most notably in laminar flow and in high-flux boiling, while offering more marginal or even negative benefit in others, most notably in high-Reynolds-number turbulent flow with the more viscous suspensions [42]. The reliable delineation of these regimes, so that the technology may be deployed where it helps and avoided where it does not, is the enduring contribution of careful experimentation and the fitting conclusion of this study [43].</w:t>
      </w:r>
    </w:p>
    <w:p>
      <w:pPr>
        <w:jc w:val="both"/>
        <w:spacing w:before="0" w:after="160" w:line="276" w:lineRule="auto"/>
      </w:pPr>
      <w:r>
        <w:t xml:space="preserve">It is worth setting out explicitly the several forms that the performance evaluation criterion assumes under the different constraints of comparison, since the numerical verdict on a nanofluid depends sharply on which constraint is imposed. Under the constraint of equal pumping power, which is the most relevant to an application in which the pump is the limiting resource, the criterion weighs the ratio of the Nusselt numbers against the cube root of the ratio of the friction factors, so that a friction penalty must be substantial before it offsets a given thermal benefit. Under the constraint of equal mass flow rate, appropriate where the flow rate is fixed by another consideration, the friction penalty enters less severely, and the nanofluid appears more favourable. Under the constraint of equal pressure drop, intermediate between the two, the friction penalty enters with an intermediate weight. A responsible report states clearly which constraint has been adopted and, ideally, presents the verdict under more than one, so that the reader may judge the robustness of the conclusion, for a nanofluid that is beneficial under one constraint and detrimental under another is a very different proposition from one that is beneficial under all.</w:t>
      </w:r>
    </w:p>
    <w:p>
      <w:pPr>
        <w:jc w:val="both"/>
        <w:spacing w:before="0" w:after="160" w:line="276" w:lineRule="auto"/>
      </w:pPr>
      <w:r>
        <w:t xml:space="preserve">The graphical presentation of performance data is itself an art that materially affects the clarity of the conclusions drawn, and certain conventions have proved especially illuminating. The plotting of the enhancement in the heat transfer coefficient against the enhancement in the pumping power, each relative to the base fluid, places every candidate fluid and operating condition as a point in a plane divided by a line of unit slope, above which the thermal benefit outweighs the pumping penalty and below which it does not, and it reduces the complex, multi-parameter question of merit to a single glance. The plotting of the performance criterion against concentration, as in the schematic presented earlier, reveals the optimum loading directly, while the plotting of the Nusselt number against the Reynolds number, with the base-fluid correlation drawn for reference, exposes at once both the magnitude of the enhancement and its consistency with a property-based interpretation. The thoughtful choice of such representations is not a mere cosmetic matter but a genuine aid to understanding, and it distinguishes the more insightful studies from the merely competent.</w:t>
      </w:r>
    </w:p>
    <w:p>
      <w:pPr>
        <w:jc w:val="both"/>
        <w:spacing w:before="0" w:after="160" w:line="276" w:lineRule="auto"/>
      </w:pPr>
      <w:r>
        <w:t xml:space="preserve">Looking beyond the present state of the art, several directions of continuing investigation promise to sharpen and extend these conclusions. The rational design of hybrid nanofluids, in which the proportions of two or more particle species are tuned to optimise the overall figure of merit, offers a route to performance unattainable with any single species, and the systematic experimental mapping of the hybrid design space is a natural extension of the concentration, size, and shape studies described in this chapter [43]. The integration of nanofluid coolants with the advanced surface-enhancement techniques surveyed in the first chapter holds out the prospect of a compound benefit, and the experimental verification of such synergy, or its absence, is an important open question [43]. Above all, the long-term stability and durability of nanofluids under the thermal cycling and prolonged operation of real service, as opposed to the brief duration of a laboratory test, remains insufficiently characterised and constitutes perhaps the single greatest obstacle to the wider industrial adoption of a technology whose fundamental promise this monograph has sought to explain and whose practical realisation awaits the continued patient labour of the experimentalist [44].</w:t>
      </w:r>
    </w:p>
    <w:p>
      <w:pPr>
        <w:jc w:val="both"/>
        <w:spacing w:before="0" w:after="160" w:line="276" w:lineRule="auto"/>
      </w:pPr>
      <w:r>
        <w:t xml:space="preserve">A final methodological reflection concerns the reporting and archiving of nanofluid data, a matter that transcends the individual experiment and bears upon the cumulative progress of the field as a whole. Because the performance of a nanofluid depends so intimately upon its preparation and its state of dispersion, a datum reported without the full accompanying characterisation is of little enduring value, incapable of being reproduced or of being meaningfully compared with the data of others, and the accumulation of such isolated and incompletely specified data has been a persistent obstacle to the synthesis of a coherent understanding. The remedy, increasingly urged and increasingly practised, is the adoption of reporting standards that require the full specification of the particle material, size, and shape, of the base fluid, of the preparation method and any stabilising additive, of the measured state of dispersion, and of the uncertainty of every reported quantity, so that each datum may take its place in a comparable and cumulative body of knowledge. The construction of curated databases embodying these standards, and the application to them of the modern tools of data analysis, promises to extract from the vast and hitherto disorderly literature a clarity that no single study could provide, and it represents one of the more promising developments in the contemporary practice of the field.</w:t>
      </w:r>
    </w:p>
    <w:p>
      <w:pPr>
        <w:pStyle w:val="Heading2"/>
        <w:spacing w:before="240" w:after="120" w:line="276" w:lineRule="auto"/>
      </w:pPr>
      <w:r>
        <w:rPr>
          <w:b/>
          <w:sz w:val="26"/>
          <w:szCs w:val="26"/>
          <w:color w:val="1F3864"/>
        </w:rPr>
        <w:t xml:space="preserve">Concluding Synthesis</w:t>
      </w:r>
    </w:p>
    <w:p>
      <w:pPr>
        <w:jc w:val="both"/>
        <w:spacing w:before="0" w:after="160" w:line="276" w:lineRule="auto"/>
      </w:pPr>
      <w:r>
        <w:t xml:space="preserve">The three chapters of this monograph have traced a path from the fundamental physics of heat transfer, through the constitution and properties of nanofluids, to the experimental methods by which their performance is measured and judged, and it remains to draw the several conclusions together into a unified assessment. The central finding, which recurs in different guises throughout the work, is that the value of a nanofluid is determined not by its thermal conductivity alone but by the balance between the benefit that the enhanced conductivity confers and the penalty that the accompanying increase in viscosity exacts, a balance that is captured by an appropriate performance criterion and that depends sensitively upon the flow regime, the geometry, and the constraint under which the comparison is framed. A nanofluid is neither the universal remedy that its earliest enthusiasts proclaimed nor the illusion that its harshest critics alleged, but a genuine and useful tool whose successful application demands a clear understanding of both its underlying physics and its practical limitations [44].</w:t>
      </w:r>
    </w:p>
    <w:p>
      <w:pPr>
        <w:jc w:val="both"/>
        <w:spacing w:before="0" w:after="160" w:line="276" w:lineRule="auto"/>
      </w:pPr>
      <w:r>
        <w:t xml:space="preserve">From the physics of the properties, the mature consensus is that the conductivity of the great majority of well-characterised oxide nanofluids is adequately described by the classical effective-medium theory, suitably corrected for aggregation, and that the anomalous enhancements once widely reported were in large part artefacts of insufficient characterisation and of the intrusion of convection into transient measurements. The genuinely nanoscale mechanisms of Brownian motion, the ordered nanolayer, ballistic phonon transport, and aggregation each play a real but generally secondary role, capable of modest enhancements under favourable conditions but insufficient to overturn the essentially classical picture, save in the carbon-based and certain metallic systems where the high aspect ratio of the particles produces conductive networks of genuine consequence [45]. The viscosity, meanwhile, rises more steeply than the conductivity and in a manner that classical theory underpredicts, so that the honest accounting of the viscosity penalty is the indispensable discipline that separates a sound assessment from an over-optimistic one [45].</w:t>
      </w:r>
    </w:p>
    <w:p>
      <w:pPr>
        <w:jc w:val="both"/>
        <w:spacing w:before="0" w:after="160" w:line="276" w:lineRule="auto"/>
      </w:pPr>
      <w:r>
        <w:t xml:space="preserve">From the study of the flow and heat transfer behaviour, the conclusion is a regime-dependent one that resists any simple summary but that may be stated in its essentials. In laminar flow, and above all in the fine passages of microscale devices, the enhanced conductivity translates fairly directly into enhanced heat transfer, the viscosity penalty is felt only through the pumping power, and the nanofluid offers its most reliable advantage. In turbulent flow, and above all at the high Reynolds numbers of large industrial equipment, the enhancement is diluted, the viscosity penalty enters the heat transfer correlation directly as well as through the pumping power, and the case for the nanofluid is finely balanced and often unfavourable for the more viscous suspensions at higher loading. In boiling, the deposition of a nanoparticle layer reliably enhances the critical heat flux while equivocally affecting the boiling heat transfer coefficient, offering a valuable margin of safety in high-flux systems at the cost of a performance that evolves over time [45].</w:t>
      </w:r>
    </w:p>
    <w:p>
      <w:pPr>
        <w:jc w:val="both"/>
        <w:spacing w:before="0" w:after="160" w:line="276" w:lineRule="auto"/>
      </w:pPr>
      <w:r>
        <w:t xml:space="preserve">From the experimental methodology, the lesson is one of discipline hard won and dearly bought. The reproducible characterisation of a nanofluid demands the careful preparation of a stable and well-dispersed suspension by a documented method, the comprehensive characterisation of the particles and their state of dispersion, the accurate measurement of all four thermophysical properties over the relevant ranges, the measurement of the heat transfer and friction performance in a flow loop validated against the base fluid, and the evaluation of a fair performance criterion accompanied by a rigorous uncertainty analysis that distinguishes the random from the systematic and that identifies the dominant sources of error. The neglect of any of these stages compromises the value of the whole, and the collective adoption of this discipline is the achievement that transformed the field from an enterprise of exuberant but irreproducible claims into a sober branch of thermal science [46].</w:t>
      </w:r>
    </w:p>
    <w:p>
      <w:pPr>
        <w:jc w:val="both"/>
        <w:spacing w:before="0" w:after="160" w:line="276" w:lineRule="auto"/>
      </w:pPr>
      <w:r>
        <w:t xml:space="preserve">The directions of future advance follow naturally from the present state of understanding. The rational design of hybrid nanofluids, tuning the proportions of two or more species to optimise the overall figure of merit, offers performance unattainable with any single species and a vast and largely unexplored design space. The integration of nanofluid coolants with the mature surface-enhancement techniques holds out the prospect of a compound benefit whose reality remains to be established. The development of preparation methods that combine the scalability of the two-step route with the stability of the one-step route would remove a principal obstacle to industrial adoption, as would surface-functionalisation chemistries that confer durable stability without the thermal limitations of surfactants [46]. Above all, the long-term stability and durability of nanofluids under the thermal cycling and prolonged operation of real service, as distinct from the brief duration of a laboratory test, remains insufficiently characterised and constitutes perhaps the single greatest impediment to the wider deployment of a technology whose fundamental promise is now well understood [46].</w:t>
      </w:r>
    </w:p>
    <w:p>
      <w:pPr>
        <w:jc w:val="both"/>
        <w:spacing w:before="0" w:after="160" w:line="276" w:lineRule="auto"/>
      </w:pPr>
      <w:r>
        <w:t xml:space="preserve">It is fitting to close with a reflection on the broader significance of the nanofluid concept within the enterprise of thermal engineering. The demand for the effective management of heat grows without cease, driven by the miniaturisation of electronics, the electrification of transport, and the transition to renewable energy, and it presses ever harder against the intrinsic limitations of the conventional working fluids. The nanofluid represents one response to this pressure, an attempt to reach beyond the properties that nature provides by engineering the coolant at the nanoscale, and if its benefit has proved more modest and more conditional than was first hoped, it remains a genuine benefit, valuable precisely in those demanding applications that have exhausted the easier gains and for which even an incremental improvement carries a high worth [47]. The patient and rigorous investigation of these fluids, of which this monograph has sought to give an account, is thus not a curiosity at the margin of thermal science but a contribution to one of the defining engineering challenges of the age, and the continued labour of the experimentalist and the theorist alike will determine how large that contribution ultimately proves to be [47].</w:t>
      </w:r>
    </w:p>
    <w:p>
      <w:pPr>
        <w:pStyle w:val="Heading2"/>
        <w:spacing w:before="240" w:after="120" w:line="276" w:lineRule="auto"/>
      </w:pPr>
      <w:r>
        <w:rPr>
          <w:b/>
          <w:sz w:val="26"/>
          <w:szCs w:val="26"/>
          <w:color w:val="1F3864"/>
        </w:rPr>
        <w:t xml:space="preserve">References</w:t>
      </w:r>
    </w:p>
    <w:p>
      <w:pPr>
        <w:jc w:val="both"/>
        <w:spacing w:before="0" w:after="80" w:line="276" w:lineRule="auto"/>
      </w:pPr>
      <w:r>
        <w:rPr>
          <w:b/>
          <w:sz w:val="20"/>
          <w:szCs w:val="20"/>
        </w:rPr>
        <w:t xml:space="preserve">[1]  </w:t>
      </w:r>
      <w:r>
        <w:rPr>
          <w:sz w:val="20"/>
          <w:szCs w:val="20"/>
        </w:rPr>
        <w:t xml:space="preserve">Incropera, F. P., DeWitt, D. P., Bergman, T. L., and Lavine, A. S., Fundamentals of Heat and Mass Transfer, 7th ed., John Wiley &amp; Sons, Hoboken, NJ, 2011.</w:t>
      </w:r>
    </w:p>
    <w:p>
      <w:pPr>
        <w:jc w:val="both"/>
        <w:spacing w:before="0" w:after="80" w:line="276" w:lineRule="auto"/>
      </w:pPr>
      <w:r>
        <w:rPr>
          <w:b/>
          <w:sz w:val="20"/>
          <w:szCs w:val="20"/>
        </w:rPr>
        <w:t xml:space="preserve">[2]  </w:t>
      </w:r>
      <w:r>
        <w:rPr>
          <w:sz w:val="20"/>
          <w:szCs w:val="20"/>
        </w:rPr>
        <w:t xml:space="preserve">Bergman, T. L., and Lavine, A. S., Introduction to Heat Transfer, 6th ed., John Wiley &amp; Sons, Hoboken, NJ, 2011.</w:t>
      </w:r>
    </w:p>
    <w:p>
      <w:pPr>
        <w:jc w:val="both"/>
        <w:spacing w:before="0" w:after="80" w:line="276" w:lineRule="auto"/>
      </w:pPr>
      <w:r>
        <w:rPr>
          <w:b/>
          <w:sz w:val="20"/>
          <w:szCs w:val="20"/>
        </w:rPr>
        <w:t xml:space="preserve">[3]  </w:t>
      </w:r>
      <w:r>
        <w:rPr>
          <w:sz w:val="20"/>
          <w:szCs w:val="20"/>
        </w:rPr>
        <w:t xml:space="preserve">Choi, S. U. S., and Eastman, J. A., Enhancing thermal conductivity of fluids with nanoparticles, ASME International Mechanical Engineering Congress and Exposition, San Francisco, CA, 1995, pp. 99-105.</w:t>
      </w:r>
    </w:p>
    <w:p>
      <w:pPr>
        <w:jc w:val="both"/>
        <w:spacing w:before="0" w:after="80" w:line="276" w:lineRule="auto"/>
      </w:pPr>
      <w:r>
        <w:rPr>
          <w:b/>
          <w:sz w:val="20"/>
          <w:szCs w:val="20"/>
        </w:rPr>
        <w:t xml:space="preserve">[4]  </w:t>
      </w:r>
      <w:r>
        <w:rPr>
          <w:sz w:val="20"/>
          <w:szCs w:val="20"/>
        </w:rPr>
        <w:t xml:space="preserve">Kays, W. M., Crawford, M. E., and Weigand, B., Convective Heat and Mass Transfer, 4th ed., McGraw-Hill, New York, 2005.</w:t>
      </w:r>
    </w:p>
    <w:p>
      <w:pPr>
        <w:jc w:val="both"/>
        <w:spacing w:before="0" w:after="80" w:line="276" w:lineRule="auto"/>
      </w:pPr>
      <w:r>
        <w:rPr>
          <w:b/>
          <w:sz w:val="20"/>
          <w:szCs w:val="20"/>
        </w:rPr>
        <w:t xml:space="preserve">[5]  </w:t>
      </w:r>
      <w:r>
        <w:rPr>
          <w:sz w:val="20"/>
          <w:szCs w:val="20"/>
        </w:rPr>
        <w:t xml:space="preserve">Das, S. K., Choi, S. U. S., Yu, W., and Pradeep, T., Nanofluids: Science and Technology, John Wiley &amp; Sons, Hoboken, NJ, 2007.</w:t>
      </w:r>
    </w:p>
    <w:p>
      <w:pPr>
        <w:jc w:val="both"/>
        <w:spacing w:before="0" w:after="80" w:line="276" w:lineRule="auto"/>
      </w:pPr>
      <w:r>
        <w:rPr>
          <w:b/>
          <w:sz w:val="20"/>
          <w:szCs w:val="20"/>
        </w:rPr>
        <w:t xml:space="preserve">[6]  </w:t>
      </w:r>
      <w:r>
        <w:rPr>
          <w:sz w:val="20"/>
          <w:szCs w:val="20"/>
        </w:rPr>
        <w:t xml:space="preserve">Gnielinski, V., New equations for heat and mass transfer in turbulent pipe and channel flow, International Chemical Engineering, Vol. 16, No. 2, 1976, pp. 359-368.</w:t>
      </w:r>
    </w:p>
    <w:p>
      <w:pPr>
        <w:jc w:val="both"/>
        <w:spacing w:before="0" w:after="80" w:line="276" w:lineRule="auto"/>
      </w:pPr>
      <w:r>
        <w:rPr>
          <w:b/>
          <w:sz w:val="20"/>
          <w:szCs w:val="20"/>
        </w:rPr>
        <w:t xml:space="preserve">[7]  </w:t>
      </w:r>
      <w:r>
        <w:rPr>
          <w:sz w:val="20"/>
          <w:szCs w:val="20"/>
        </w:rPr>
        <w:t xml:space="preserve">Xuan, Y., and Roetzel, W., Conceptions for heat transfer correlation of nanofluids, International Journal of Heat and Mass Transfer, Vol. 43, No. 19, 2000, pp. 3701-3707.</w:t>
      </w:r>
    </w:p>
    <w:p>
      <w:pPr>
        <w:jc w:val="both"/>
        <w:spacing w:before="0" w:after="80" w:line="276" w:lineRule="auto"/>
      </w:pPr>
      <w:r>
        <w:rPr>
          <w:b/>
          <w:sz w:val="20"/>
          <w:szCs w:val="20"/>
        </w:rPr>
        <w:t xml:space="preserve">[8]  </w:t>
      </w:r>
      <w:r>
        <w:rPr>
          <w:sz w:val="20"/>
          <w:szCs w:val="20"/>
        </w:rPr>
        <w:t xml:space="preserve">Modest, M. F., Radiative Heat Transfer, 3rd ed., Academic Press, Oxford, 2013.</w:t>
      </w:r>
    </w:p>
    <w:p>
      <w:pPr>
        <w:jc w:val="both"/>
        <w:spacing w:before="0" w:after="80" w:line="276" w:lineRule="auto"/>
      </w:pPr>
      <w:r>
        <w:rPr>
          <w:b/>
          <w:sz w:val="20"/>
          <w:szCs w:val="20"/>
        </w:rPr>
        <w:t xml:space="preserve">[9]  </w:t>
      </w:r>
      <w:r>
        <w:rPr>
          <w:sz w:val="20"/>
          <w:szCs w:val="20"/>
        </w:rPr>
        <w:t xml:space="preserve">Tyagi, H., Phelan, P., and Prasher, R., Predicted efficiency of a low-temperature nanofluid-based direct absorption solar collector, Journal of Solar Energy Engineering, Vol. 131, No. 4, 2009, 041004.</w:t>
      </w:r>
    </w:p>
    <w:p>
      <w:pPr>
        <w:jc w:val="both"/>
        <w:spacing w:before="0" w:after="80" w:line="276" w:lineRule="auto"/>
      </w:pPr>
      <w:r>
        <w:rPr>
          <w:b/>
          <w:sz w:val="20"/>
          <w:szCs w:val="20"/>
        </w:rPr>
        <w:t xml:space="preserve">[10]  </w:t>
      </w:r>
      <w:r>
        <w:rPr>
          <w:sz w:val="20"/>
          <w:szCs w:val="20"/>
        </w:rPr>
        <w:t xml:space="preserve">Otanicar, T. P., Phelan, P. E., Prasher, R. S., Rosengarten, G., and Taylor, R. A., Nanofluid-based direct absorption solar collector, Journal of Renewable and Sustainable Energy, Vol. 2, No. 3, 2010, 033102.</w:t>
      </w:r>
    </w:p>
    <w:p>
      <w:pPr>
        <w:jc w:val="both"/>
        <w:spacing w:before="0" w:after="80" w:line="276" w:lineRule="auto"/>
      </w:pPr>
      <w:r>
        <w:rPr>
          <w:b/>
          <w:sz w:val="20"/>
          <w:szCs w:val="20"/>
        </w:rPr>
        <w:t xml:space="preserve">[11]  </w:t>
      </w:r>
      <w:r>
        <w:rPr>
          <w:sz w:val="20"/>
          <w:szCs w:val="20"/>
        </w:rPr>
        <w:t xml:space="preserve">Holman, J. P., Heat Transfer, 10th ed., McGraw-Hill, New York, 2010.</w:t>
      </w:r>
    </w:p>
    <w:p>
      <w:pPr>
        <w:jc w:val="both"/>
        <w:spacing w:before="0" w:after="80" w:line="276" w:lineRule="auto"/>
      </w:pPr>
      <w:r>
        <w:rPr>
          <w:b/>
          <w:sz w:val="20"/>
          <w:szCs w:val="20"/>
        </w:rPr>
        <w:t xml:space="preserve">[12]  </w:t>
      </w:r>
      <w:r>
        <w:rPr>
          <w:sz w:val="20"/>
          <w:szCs w:val="20"/>
        </w:rPr>
        <w:t xml:space="preserve">Cengel, Y. A., and Ghajar, A. J., Heat and Mass Transfer: Fundamentals and Applications, 5th ed., McGraw-Hill, New York, 2015.</w:t>
      </w:r>
    </w:p>
    <w:p>
      <w:pPr>
        <w:jc w:val="both"/>
        <w:spacing w:before="0" w:after="80" w:line="276" w:lineRule="auto"/>
      </w:pPr>
      <w:r>
        <w:rPr>
          <w:b/>
          <w:sz w:val="20"/>
          <w:szCs w:val="20"/>
        </w:rPr>
        <w:t xml:space="preserve">[13]  </w:t>
      </w:r>
      <w:r>
        <w:rPr>
          <w:sz w:val="20"/>
          <w:szCs w:val="20"/>
        </w:rPr>
        <w:t xml:space="preserve">Bergles, A. E., ExHFT for fourth generation heat transfer technology, Experimental Thermal and Fluid Science, Vol. 26, No. 2-4, 2002, pp. 335-344.</w:t>
      </w:r>
    </w:p>
    <w:p>
      <w:pPr>
        <w:jc w:val="both"/>
        <w:spacing w:before="0" w:after="80" w:line="276" w:lineRule="auto"/>
      </w:pPr>
      <w:r>
        <w:rPr>
          <w:b/>
          <w:sz w:val="20"/>
          <w:szCs w:val="20"/>
        </w:rPr>
        <w:t xml:space="preserve">[14]  </w:t>
      </w:r>
      <w:r>
        <w:rPr>
          <w:sz w:val="20"/>
          <w:szCs w:val="20"/>
        </w:rPr>
        <w:t xml:space="preserve">Webb, R. L., and Kim, N. H., Principles of Enhanced Heat Transfer, 2nd ed., Taylor &amp; Francis, New York, 2005.</w:t>
      </w:r>
    </w:p>
    <w:p>
      <w:pPr>
        <w:jc w:val="both"/>
        <w:spacing w:before="0" w:after="80" w:line="276" w:lineRule="auto"/>
      </w:pPr>
      <w:r>
        <w:rPr>
          <w:b/>
          <w:sz w:val="20"/>
          <w:szCs w:val="20"/>
        </w:rPr>
        <w:t xml:space="preserve">[15]  </w:t>
      </w:r>
      <w:r>
        <w:rPr>
          <w:sz w:val="20"/>
          <w:szCs w:val="20"/>
        </w:rPr>
        <w:t xml:space="preserve">Kern, D. Q., and Kraus, A. D., Extended Surface Heat Transfer, McGraw-Hill, New York, 1972.</w:t>
      </w:r>
    </w:p>
    <w:p>
      <w:pPr>
        <w:jc w:val="both"/>
        <w:spacing w:before="0" w:after="80" w:line="276" w:lineRule="auto"/>
      </w:pPr>
      <w:r>
        <w:rPr>
          <w:b/>
          <w:sz w:val="20"/>
          <w:szCs w:val="20"/>
        </w:rPr>
        <w:t xml:space="preserve">[16]  </w:t>
      </w:r>
      <w:r>
        <w:rPr>
          <w:sz w:val="20"/>
          <w:szCs w:val="20"/>
        </w:rPr>
        <w:t xml:space="preserve">Manglik, R. M., and Bergles, A. E., Heat transfer and pressure drop correlations for twisted-tape inserts in isothermal tubes, Journal of Heat Transfer, Vol. 115, No. 4, 1993, pp. 890-896.</w:t>
      </w:r>
    </w:p>
    <w:p>
      <w:pPr>
        <w:jc w:val="both"/>
        <w:spacing w:before="0" w:after="80" w:line="276" w:lineRule="auto"/>
      </w:pPr>
      <w:r>
        <w:rPr>
          <w:b/>
          <w:sz w:val="20"/>
          <w:szCs w:val="20"/>
        </w:rPr>
        <w:t xml:space="preserve">[17]  </w:t>
      </w:r>
      <w:r>
        <w:rPr>
          <w:sz w:val="20"/>
          <w:szCs w:val="20"/>
        </w:rPr>
        <w:t xml:space="preserve">Bergles, A. E., and Manglik, R. M., Current progress and new developments in enhanced heat and mass transfer, Journal of Enhanced Heat Transfer, Vol. 20, No. 1, 2013, pp. 1-15.</w:t>
      </w:r>
    </w:p>
    <w:p>
      <w:pPr>
        <w:jc w:val="both"/>
        <w:spacing w:before="0" w:after="80" w:line="276" w:lineRule="auto"/>
      </w:pPr>
      <w:r>
        <w:rPr>
          <w:b/>
          <w:sz w:val="20"/>
          <w:szCs w:val="20"/>
        </w:rPr>
        <w:t xml:space="preserve">[18]  </w:t>
      </w:r>
      <w:r>
        <w:rPr>
          <w:sz w:val="20"/>
          <w:szCs w:val="20"/>
        </w:rPr>
        <w:t xml:space="preserve">Bejan, A., and Kraus, A. D. (eds.), Heat Transfer Handbook, John Wiley &amp; Sons, Hoboken, NJ, 2003.</w:t>
      </w:r>
    </w:p>
    <w:p>
      <w:pPr>
        <w:jc w:val="both"/>
        <w:spacing w:before="0" w:after="80" w:line="276" w:lineRule="auto"/>
      </w:pPr>
      <w:r>
        <w:rPr>
          <w:b/>
          <w:sz w:val="20"/>
          <w:szCs w:val="20"/>
        </w:rPr>
        <w:t xml:space="preserve">[19]  </w:t>
      </w:r>
      <w:r>
        <w:rPr>
          <w:sz w:val="20"/>
          <w:szCs w:val="20"/>
        </w:rPr>
        <w:t xml:space="preserve">Liu, S., and Sakr, M., A comprehensive review on passive heat transfer enhancements in pipe exchangers, Renewable and Sustainable Energy Reviews, Vol. 19, 2013, pp. 64-81.</w:t>
      </w:r>
    </w:p>
    <w:p>
      <w:pPr>
        <w:jc w:val="both"/>
        <w:spacing w:before="0" w:after="80" w:line="276" w:lineRule="auto"/>
      </w:pPr>
      <w:r>
        <w:rPr>
          <w:b/>
          <w:sz w:val="20"/>
          <w:szCs w:val="20"/>
        </w:rPr>
        <w:t xml:space="preserve">[20]  </w:t>
      </w:r>
      <w:r>
        <w:rPr>
          <w:sz w:val="20"/>
          <w:szCs w:val="20"/>
        </w:rPr>
        <w:t xml:space="preserve">Sheikholeslami, M., and Ganji, D. D., Nanofluid convective heat transfer using semi-analytical and numerical approaches: a review, Journal of the Taiwan Institute of Chemical Engineers, Vol. 65, 2016, pp. 43-77.</w:t>
      </w:r>
    </w:p>
    <w:p>
      <w:pPr>
        <w:jc w:val="both"/>
        <w:spacing w:before="0" w:after="80" w:line="276" w:lineRule="auto"/>
      </w:pPr>
      <w:r>
        <w:rPr>
          <w:b/>
          <w:sz w:val="20"/>
          <w:szCs w:val="20"/>
        </w:rPr>
        <w:t xml:space="preserve">[21]  </w:t>
      </w:r>
      <w:r>
        <w:rPr>
          <w:sz w:val="20"/>
          <w:szCs w:val="20"/>
        </w:rPr>
        <w:t xml:space="preserve">Yu, W., France, D. M., Routbort, J. L., and Choi, S. U. S., Review and comparison of nanofluid thermal conductivity and heat transfer enhancements, Heat Transfer Engineering, Vol. 29, No. 5, 2008, pp. 432-460.</w:t>
      </w:r>
    </w:p>
    <w:p>
      <w:pPr>
        <w:jc w:val="both"/>
        <w:spacing w:before="0" w:after="80" w:line="276" w:lineRule="auto"/>
      </w:pPr>
      <w:r>
        <w:rPr>
          <w:b/>
          <w:sz w:val="20"/>
          <w:szCs w:val="20"/>
        </w:rPr>
        <w:t xml:space="preserve">[22]  </w:t>
      </w:r>
      <w:r>
        <w:rPr>
          <w:sz w:val="20"/>
          <w:szCs w:val="20"/>
        </w:rPr>
        <w:t xml:space="preserve">Wang, X.-Q., and Mujumdar, A. S., Heat transfer characteristics of nanofluids: a review, International Journal of Thermal Sciences, Vol. 46, No. 1, 2007, pp. 1-19.</w:t>
      </w:r>
    </w:p>
    <w:p>
      <w:pPr>
        <w:jc w:val="both"/>
        <w:spacing w:before="0" w:after="80" w:line="276" w:lineRule="auto"/>
      </w:pPr>
      <w:r>
        <w:rPr>
          <w:b/>
          <w:sz w:val="20"/>
          <w:szCs w:val="20"/>
        </w:rPr>
        <w:t xml:space="preserve">[23]  </w:t>
      </w:r>
      <w:r>
        <w:rPr>
          <w:sz w:val="20"/>
          <w:szCs w:val="20"/>
        </w:rPr>
        <w:t xml:space="preserve">Keblinski, P., Phillpot, S. R., Choi, S. U. S., and Eastman, J. A., Mechanisms of heat flow in suspensions of nano-sized particles (nanofluids), International Journal of Heat and Mass Transfer, Vol. 45, No. 4, 2002, pp. 855-863.</w:t>
      </w:r>
    </w:p>
    <w:p>
      <w:pPr>
        <w:jc w:val="both"/>
        <w:spacing w:before="0" w:after="80" w:line="276" w:lineRule="auto"/>
      </w:pPr>
      <w:r>
        <w:rPr>
          <w:b/>
          <w:sz w:val="20"/>
          <w:szCs w:val="20"/>
        </w:rPr>
        <w:t xml:space="preserve">[24]  </w:t>
      </w:r>
      <w:r>
        <w:rPr>
          <w:sz w:val="20"/>
          <w:szCs w:val="20"/>
        </w:rPr>
        <w:t xml:space="preserve">Eastman, J. A., Phillpot, S. R., Choi, S. U. S., and Keblinski, P., Thermal transport in nanofluids, Annual Review of Materials Research, Vol. 34, 2004, pp. 219-246.</w:t>
      </w:r>
    </w:p>
    <w:p>
      <w:pPr>
        <w:jc w:val="both"/>
        <w:spacing w:before="0" w:after="80" w:line="276" w:lineRule="auto"/>
      </w:pPr>
      <w:r>
        <w:rPr>
          <w:b/>
          <w:sz w:val="20"/>
          <w:szCs w:val="20"/>
        </w:rPr>
        <w:t xml:space="preserve">[25]  </w:t>
      </w:r>
      <w:r>
        <w:rPr>
          <w:sz w:val="20"/>
          <w:szCs w:val="20"/>
        </w:rPr>
        <w:t xml:space="preserve">Garimella, S. V., Fleischer, A. S., Murthy, J. Y., et al., Thermal challenges in next-generation electronic systems, IEEE Transactions on Components and Packaging Technologies, Vol. 31, No. 4, 2008, pp. 801-815.</w:t>
      </w:r>
    </w:p>
    <w:p>
      <w:pPr>
        <w:jc w:val="both"/>
        <w:spacing w:before="0" w:after="80" w:line="276" w:lineRule="auto"/>
      </w:pPr>
      <w:r>
        <w:rPr>
          <w:b/>
          <w:sz w:val="20"/>
          <w:szCs w:val="20"/>
        </w:rPr>
        <w:t xml:space="preserve">[26]  </w:t>
      </w:r>
      <w:r>
        <w:rPr>
          <w:sz w:val="20"/>
          <w:szCs w:val="20"/>
        </w:rPr>
        <w:t xml:space="preserve">Tuckerman, D. B., and Pease, R. F. W., High-performance heat sinking for VLSI, IEEE Electron Device Letters, Vol. 2, No. 5, 1981, pp. 126-129.</w:t>
      </w:r>
    </w:p>
    <w:p>
      <w:pPr>
        <w:jc w:val="both"/>
        <w:spacing w:before="0" w:after="80" w:line="276" w:lineRule="auto"/>
      </w:pPr>
      <w:r>
        <w:rPr>
          <w:b/>
          <w:sz w:val="20"/>
          <w:szCs w:val="20"/>
        </w:rPr>
        <w:t xml:space="preserve">[27]  </w:t>
      </w:r>
      <w:r>
        <w:rPr>
          <w:sz w:val="20"/>
          <w:szCs w:val="20"/>
        </w:rPr>
        <w:t xml:space="preserve">Kandlikar, S. G., History, advances, and challenges in liquid flow and flow boiling heat transfer in microchannels, Journal of Heat Transfer, Vol. 134, No. 3, 2012, 034001.</w:t>
      </w:r>
    </w:p>
    <w:p>
      <w:pPr>
        <w:jc w:val="both"/>
        <w:spacing w:before="0" w:after="80" w:line="276" w:lineRule="auto"/>
      </w:pPr>
      <w:r>
        <w:rPr>
          <w:b/>
          <w:sz w:val="20"/>
          <w:szCs w:val="20"/>
        </w:rPr>
        <w:t xml:space="preserve">[28]  </w:t>
      </w:r>
      <w:r>
        <w:rPr>
          <w:sz w:val="20"/>
          <w:szCs w:val="20"/>
        </w:rPr>
        <w:t xml:space="preserve">Sarkar, J., Ghosh, P., and Adil, A., A review on hybrid nanofluids: recent research, development and applications, Renewable and Sustainable Energy Reviews, Vol. 43, 2015, pp. 164-177.</w:t>
      </w:r>
    </w:p>
    <w:p>
      <w:pPr>
        <w:jc w:val="both"/>
        <w:spacing w:before="0" w:after="80" w:line="276" w:lineRule="auto"/>
      </w:pPr>
      <w:r>
        <w:rPr>
          <w:b/>
          <w:sz w:val="20"/>
          <w:szCs w:val="20"/>
        </w:rPr>
        <w:t xml:space="preserve">[29]  </w:t>
      </w:r>
      <w:r>
        <w:rPr>
          <w:sz w:val="20"/>
          <w:szCs w:val="20"/>
        </w:rPr>
        <w:t xml:space="preserve">Kakac, S., and Pramuanjaroenkij, A., Review of convective heat transfer enhancement with nanofluids, International Journal of Heat and Mass Transfer, Vol. 52, No. 13-14, 2009, pp. 3187-3196.</w:t>
      </w:r>
    </w:p>
    <w:p>
      <w:pPr>
        <w:jc w:val="both"/>
        <w:spacing w:before="0" w:after="80" w:line="276" w:lineRule="auto"/>
      </w:pPr>
      <w:r>
        <w:rPr>
          <w:b/>
          <w:sz w:val="20"/>
          <w:szCs w:val="20"/>
        </w:rPr>
        <w:t xml:space="preserve">[30]  </w:t>
      </w:r>
      <w:r>
        <w:rPr>
          <w:sz w:val="20"/>
          <w:szCs w:val="20"/>
        </w:rPr>
        <w:t xml:space="preserve">Saidur, R., Leong, K. Y., and Mohammad, H. A., A review on applications and challenges of nanofluids, Renewable and Sustainable Energy Reviews, Vol. 15, No. 3, 2011, pp. 1646-1668.</w:t>
      </w:r>
    </w:p>
    <w:p>
      <w:pPr>
        <w:jc w:val="both"/>
        <w:spacing w:before="0" w:after="80" w:line="276" w:lineRule="auto"/>
      </w:pPr>
      <w:r>
        <w:rPr>
          <w:b/>
          <w:sz w:val="20"/>
          <w:szCs w:val="20"/>
        </w:rPr>
        <w:t xml:space="preserve">[31]  </w:t>
      </w:r>
      <w:r>
        <w:rPr>
          <w:sz w:val="20"/>
          <w:szCs w:val="20"/>
        </w:rPr>
        <w:t xml:space="preserve">Wong, K. V., and De Leon, O., Applications of nanofluids: current and future, Advances in Mechanical Engineering, Vol. 2, 2010, 519659.</w:t>
      </w:r>
    </w:p>
    <w:p>
      <w:pPr>
        <w:jc w:val="both"/>
        <w:spacing w:before="0" w:after="80" w:line="276" w:lineRule="auto"/>
      </w:pPr>
      <w:r>
        <w:rPr>
          <w:b/>
          <w:sz w:val="20"/>
          <w:szCs w:val="20"/>
        </w:rPr>
        <w:t xml:space="preserve">[32]  </w:t>
      </w:r>
      <w:r>
        <w:rPr>
          <w:sz w:val="20"/>
          <w:szCs w:val="20"/>
        </w:rPr>
        <w:t xml:space="preserve">Ghadimi, A., Saidur, R., and Metselaar, H. S. C., A review of nanofluid stability properties and characterization in stationary conditions, International Journal of Heat and Mass Transfer, Vol. 54, No. 17-18, 2011, pp. 4051-4068.</w:t>
      </w:r>
    </w:p>
    <w:p>
      <w:pPr>
        <w:jc w:val="both"/>
        <w:spacing w:before="0" w:after="80" w:line="276" w:lineRule="auto"/>
      </w:pPr>
      <w:r>
        <w:rPr>
          <w:b/>
          <w:sz w:val="20"/>
          <w:szCs w:val="20"/>
        </w:rPr>
        <w:t xml:space="preserve">[33]  </w:t>
      </w:r>
      <w:r>
        <w:rPr>
          <w:sz w:val="20"/>
          <w:szCs w:val="20"/>
        </w:rPr>
        <w:t xml:space="preserve">Prasher, R., Song, D., Wang, J., and Phelan, P., Measurements of nanofluid viscosity and its implications for thermal applications, Applied Physics Letters, Vol. 89, No. 13, 2006, 133108.</w:t>
      </w:r>
    </w:p>
    <w:p>
      <w:pPr>
        <w:jc w:val="both"/>
        <w:spacing w:before="0" w:after="80" w:line="276" w:lineRule="auto"/>
      </w:pPr>
      <w:r>
        <w:rPr>
          <w:b/>
          <w:sz w:val="20"/>
          <w:szCs w:val="20"/>
        </w:rPr>
        <w:t xml:space="preserve">[34]  </w:t>
      </w:r>
      <w:r>
        <w:rPr>
          <w:sz w:val="20"/>
          <w:szCs w:val="20"/>
        </w:rPr>
        <w:t xml:space="preserve">Yu, W., and Xie, H., A review on nanofluids: preparation, stability mechanisms, and applications, Journal of Nanomaterials, Vol. 2012, 2012, 435873.</w:t>
      </w:r>
    </w:p>
    <w:p>
      <w:pPr>
        <w:jc w:val="both"/>
        <w:spacing w:before="0" w:after="80" w:line="276" w:lineRule="auto"/>
      </w:pPr>
      <w:r>
        <w:rPr>
          <w:b/>
          <w:sz w:val="20"/>
          <w:szCs w:val="20"/>
        </w:rPr>
        <w:t xml:space="preserve">[35]  </w:t>
      </w:r>
      <w:r>
        <w:rPr>
          <w:sz w:val="20"/>
          <w:szCs w:val="20"/>
        </w:rPr>
        <w:t xml:space="preserve">Buongiorno, J., Venerus, D. C., Prabhat, N., et al., A benchmark study on the thermal conductivity of nanofluids, Journal of Applied Physics, Vol. 106, No. 9, 2009, 094312.</w:t>
      </w:r>
    </w:p>
    <w:p>
      <w:pPr>
        <w:jc w:val="both"/>
        <w:spacing w:before="0" w:after="80" w:line="276" w:lineRule="auto"/>
      </w:pPr>
      <w:r>
        <w:rPr>
          <w:b/>
          <w:sz w:val="20"/>
          <w:szCs w:val="20"/>
        </w:rPr>
        <w:t xml:space="preserve">[36]  </w:t>
      </w:r>
      <w:r>
        <w:rPr>
          <w:sz w:val="20"/>
          <w:szCs w:val="20"/>
        </w:rPr>
        <w:t xml:space="preserve">Trisaksri, V., and Wongwises, S., Critical review of heat transfer characteristics of nanofluids, Renewable and Sustainable Energy Reviews, Vol. 11, No. 3, 2007, pp. 512-523.</w:t>
      </w:r>
    </w:p>
    <w:p>
      <w:pPr>
        <w:jc w:val="both"/>
        <w:spacing w:before="0" w:after="80" w:line="276" w:lineRule="auto"/>
      </w:pPr>
      <w:r>
        <w:rPr>
          <w:b/>
          <w:sz w:val="20"/>
          <w:szCs w:val="20"/>
        </w:rPr>
        <w:t xml:space="preserve">[37]  </w:t>
      </w:r>
      <w:r>
        <w:rPr>
          <w:sz w:val="20"/>
          <w:szCs w:val="20"/>
        </w:rPr>
        <w:t xml:space="preserve">Lee, S., Choi, S. U. S., Li, S., and Eastman, J. A., Measuring thermal conductivity of fluids containing oxide nanoparticles, Journal of Heat Transfer, Vol. 121, No. 2, 1999, pp. 280-289.</w:t>
      </w:r>
    </w:p>
    <w:p>
      <w:pPr>
        <w:jc w:val="both"/>
        <w:spacing w:before="0" w:after="80" w:line="276" w:lineRule="auto"/>
      </w:pPr>
      <w:r>
        <w:rPr>
          <w:b/>
          <w:sz w:val="20"/>
          <w:szCs w:val="20"/>
        </w:rPr>
        <w:t xml:space="preserve">[38]  </w:t>
      </w:r>
      <w:r>
        <w:rPr>
          <w:sz w:val="20"/>
          <w:szCs w:val="20"/>
        </w:rPr>
        <w:t xml:space="preserve">Eastman, J. A., Choi, S. U. S., Li, S., Yu, W., and Thompson, L. J., Anomalously increased effective thermal conductivities of ethylene glycol-based nanofluids containing copper nanoparticles, Applied Physics Letters, Vol. 78, No. 6, 2001, pp. 718-720.</w:t>
      </w:r>
    </w:p>
    <w:p>
      <w:pPr>
        <w:jc w:val="both"/>
        <w:spacing w:before="0" w:after="80" w:line="276" w:lineRule="auto"/>
      </w:pPr>
      <w:r>
        <w:rPr>
          <w:b/>
          <w:sz w:val="20"/>
          <w:szCs w:val="20"/>
        </w:rPr>
        <w:t xml:space="preserve">[39]  </w:t>
      </w:r>
      <w:r>
        <w:rPr>
          <w:sz w:val="20"/>
          <w:szCs w:val="20"/>
        </w:rPr>
        <w:t xml:space="preserve">Maxwell, J. C., A Treatise on Electricity and Magnetism, Vol. 1, Clarendon Press, Oxford, 1873.</w:t>
      </w:r>
    </w:p>
    <w:p>
      <w:pPr>
        <w:jc w:val="both"/>
        <w:spacing w:before="0" w:after="80" w:line="276" w:lineRule="auto"/>
      </w:pPr>
      <w:r>
        <w:rPr>
          <w:b/>
          <w:sz w:val="20"/>
          <w:szCs w:val="20"/>
        </w:rPr>
        <w:t xml:space="preserve">[40]  </w:t>
      </w:r>
      <w:r>
        <w:rPr>
          <w:sz w:val="20"/>
          <w:szCs w:val="20"/>
        </w:rPr>
        <w:t xml:space="preserve">Hamilton, R. L., and Crosser, O. K., Thermal conductivity of heterogeneous two-component systems, Industrial &amp; Engineering Chemistry Fundamentals, Vol. 1, No. 3, 1962, pp. 187-191.</w:t>
      </w:r>
    </w:p>
    <w:p>
      <w:pPr>
        <w:jc w:val="both"/>
        <w:spacing w:before="0" w:after="80" w:line="276" w:lineRule="auto"/>
      </w:pPr>
      <w:r>
        <w:rPr>
          <w:b/>
          <w:sz w:val="20"/>
          <w:szCs w:val="20"/>
        </w:rPr>
        <w:t xml:space="preserve">[41]  </w:t>
      </w:r>
      <w:r>
        <w:rPr>
          <w:sz w:val="20"/>
          <w:szCs w:val="20"/>
        </w:rPr>
        <w:t xml:space="preserve">Einstein, A., Eine neue Bestimmung der Molekuldimensionen, Annalen der Physik, Vol. 19, 1906, pp. 289-306.</w:t>
      </w:r>
    </w:p>
    <w:p>
      <w:pPr>
        <w:jc w:val="both"/>
        <w:spacing w:before="0" w:after="80" w:line="276" w:lineRule="auto"/>
      </w:pPr>
      <w:r>
        <w:rPr>
          <w:b/>
          <w:sz w:val="20"/>
          <w:szCs w:val="20"/>
        </w:rPr>
        <w:t xml:space="preserve">[42]  </w:t>
      </w:r>
      <w:r>
        <w:rPr>
          <w:sz w:val="20"/>
          <w:szCs w:val="20"/>
        </w:rPr>
        <w:t xml:space="preserve">Batchelor, G. K., The effect of Brownian motion on the bulk stress in a suspension of spherical particles, Journal of Fluid Mechanics, Vol. 83, No. 1, 1977, pp. 97-117.</w:t>
      </w:r>
    </w:p>
    <w:p>
      <w:pPr>
        <w:jc w:val="both"/>
        <w:spacing w:before="0" w:after="80" w:line="276" w:lineRule="auto"/>
      </w:pPr>
      <w:r>
        <w:rPr>
          <w:b/>
          <w:sz w:val="20"/>
          <w:szCs w:val="20"/>
        </w:rPr>
        <w:t xml:space="preserve">[43]  </w:t>
      </w:r>
      <w:r>
        <w:rPr>
          <w:sz w:val="20"/>
          <w:szCs w:val="20"/>
        </w:rPr>
        <w:t xml:space="preserve">Pak, B. C., and Cho, Y. I., Hydrodynamic and heat transfer study of dispersed fluids with submicron metallic oxide particles, Experimental Heat Transfer, Vol. 11, No. 2, 1998, pp. 151-170.</w:t>
      </w:r>
    </w:p>
    <w:p>
      <w:pPr>
        <w:jc w:val="both"/>
        <w:spacing w:before="0" w:after="80" w:line="276" w:lineRule="auto"/>
      </w:pPr>
      <w:r>
        <w:rPr>
          <w:b/>
          <w:sz w:val="20"/>
          <w:szCs w:val="20"/>
        </w:rPr>
        <w:t xml:space="preserve">[44]  </w:t>
      </w:r>
      <w:r>
        <w:rPr>
          <w:sz w:val="20"/>
          <w:szCs w:val="20"/>
        </w:rPr>
        <w:t xml:space="preserve">Xuan, Y., and Li, Q., Investigation on convective heat transfer and flow features of nanofluids, Journal of Heat Transfer, Vol. 125, No. 1, 2003, pp. 151-155.</w:t>
      </w:r>
    </w:p>
    <w:p>
      <w:pPr>
        <w:jc w:val="both"/>
        <w:spacing w:before="0" w:after="80" w:line="276" w:lineRule="auto"/>
      </w:pPr>
      <w:r>
        <w:rPr>
          <w:b/>
          <w:sz w:val="20"/>
          <w:szCs w:val="20"/>
        </w:rPr>
        <w:t xml:space="preserve">[45]  </w:t>
      </w:r>
      <w:r>
        <w:rPr>
          <w:sz w:val="20"/>
          <w:szCs w:val="20"/>
        </w:rPr>
        <w:t xml:space="preserve">Wen, D., and Ding, Y., Experimental investigation into convective heat transfer of nanofluids at the entrance region under laminar flow conditions, International Journal of Heat and Mass Transfer, Vol. 47, No. 24, 2004, pp. 5181-5188.</w:t>
      </w:r>
    </w:p>
    <w:p>
      <w:pPr>
        <w:jc w:val="both"/>
        <w:spacing w:before="0" w:after="80" w:line="276" w:lineRule="auto"/>
      </w:pPr>
      <w:r>
        <w:rPr>
          <w:b/>
          <w:sz w:val="20"/>
          <w:szCs w:val="20"/>
        </w:rPr>
        <w:t xml:space="preserve">[46]  </w:t>
      </w:r>
      <w:r>
        <w:rPr>
          <w:sz w:val="20"/>
          <w:szCs w:val="20"/>
        </w:rPr>
        <w:t xml:space="preserve">Buongiorno, J., Convective transport in nanofluids, Journal of Heat Transfer, Vol. 128, No. 3, 2006, pp. 240-250.</w:t>
      </w:r>
    </w:p>
    <w:p>
      <w:pPr>
        <w:jc w:val="both"/>
        <w:spacing w:before="0" w:after="80" w:line="276" w:lineRule="auto"/>
      </w:pPr>
      <w:r>
        <w:rPr>
          <w:b/>
          <w:sz w:val="20"/>
          <w:szCs w:val="20"/>
        </w:rPr>
        <w:t xml:space="preserve">[47]  </w:t>
      </w:r>
      <w:r>
        <w:rPr>
          <w:sz w:val="20"/>
          <w:szCs w:val="20"/>
        </w:rPr>
        <w:t xml:space="preserve">Kline, S. J., and McClintock, F. A., Describing uncertainties in single-sample experiments, Mechanical Engineering, Vol. 75, No. 1, 1953, pp. 3-8.</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mbria" w:hAnsi="Cambria" w:cs="Cambria"/>
        <w:sz w:val="22"/>
        <w:szCs w:val="22"/>
        <w:lang w:val="en-US"/>
      </w:rPr>
    </w:rPrDefault>
    <w:pPrDefault>
      <w:pPr>
        <w:spacing w:after="160" w:line="276" w:lineRule="auto"/>
      </w:pPr>
    </w:pPrDefault>
  </w:docDefaults>
  <w:style w:type="paragraph" w:default="1" w:styleId="Normal">
    <w:name w:val="Normal"/>
  </w:style>
  <w:style w:type="paragraph" w:styleId="Heading1">
    <w:name w:val="heading 1"/>
    <w:basedOn w:val="Normal"/>
    <w:next w:val="Normal"/>
    <w:qFormat/>
    <w:pPr>
      <w:keepNext/>
      <w:outlineLvl w:val="0"/>
    </w:pPr>
    <w:rPr>
      <w:rFonts w:ascii="Cambria" w:hAnsi="Cambria"/>
      <w:b/>
      <w:sz w:val="32"/>
      <w:szCs w:val="32"/>
      <w:color w:val="1F3864"/>
    </w:rPr>
  </w:style>
  <w:style w:type="paragraph" w:styleId="Heading2">
    <w:name w:val="heading 2"/>
    <w:basedOn w:val="Normal"/>
    <w:next w:val="Normal"/>
    <w:qFormat/>
    <w:pPr>
      <w:keepNext/>
      <w:outlineLvl w:val="1"/>
    </w:pPr>
    <w:rPr>
      <w:rFonts w:ascii="Cambria" w:hAnsi="Cambria"/>
      <w:b/>
      <w:sz w:val="26"/>
      <w:szCs w:val="26"/>
      <w:color w:val="1F3864"/>
    </w:rPr>
  </w:style>
  <w:style w:type="paragraph" w:styleId="Heading3">
    <w:name w:val="heading 3"/>
    <w:basedOn w:val="Normal"/>
    <w:next w:val="Normal"/>
    <w:qFormat/>
    <w:pPr>
      <w:keepNext/>
      <w:outlineLvl w:val="2"/>
    </w:pPr>
    <w:rPr>
      <w:rFonts w:ascii="Cambria" w:hAnsi="Cambria"/>
      <w:b/>
      <w:sz w:val="22"/>
      <w:szCs w:val="22"/>
      <w:color w:val="1F3864"/>
    </w:rPr>
  </w:style>
  <w:style w:type="table" w:styleId="TableGrid">
    <w:name w:val="Table Grid"/>
    <w:basedOn w:val="TableNormal"/>
    <w:tblP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Pr>
  </w:style>
  <w:style w:type="table" w:default="1" w:styleId="TableNormal">
    <w:name w:val="Normal Table"/>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figure3_htc_enhancement.png"/><Relationship Id="rIdImg2" Type="http://schemas.openxmlformats.org/officeDocument/2006/relationships/image" Target="media/figure1_thermal_conductivity.png"/><Relationship Id="rIdImg3" Type="http://schemas.openxmlformats.org/officeDocument/2006/relationships/image" Target="media/figure4_viscosity_pec.png"/><Relationship Id="rIdImg4" Type="http://schemas.openxmlformats.org/officeDocument/2006/relationships/image" Target="media/figure2_nusselt_reynolds.png"/></Relationships>
</file>

<file path=docProps/app.xml><?xml version="1.0" encoding="utf-8"?>
<Properties xmlns="http://schemas.openxmlformats.org/officeDocument/2006/extended-properties">
  <Application>Python-Stdlib-DOCX-Builder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Nanofluids for Thermal Enhancement: Fundamentals, Properties, and Experimental Investigation</dc:title>
  <dc:creator>Nanofluid Monograph Generator</dc:creator>
  <cp:lastModifiedBy>Nanofluid Monograph Generator</cp:lastModifiedBy>
  <dcterms:created xsi:type="dcterms:W3CDTF">2026-08-31T00:00:00Z</dcterms:created>
  <dcterms:modified xsi:type="dcterms:W3CDTF">2026-08-31T00:00:00Z</dcterms:modified>
</cp:coreProperties>
</file>