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rFonts w:ascii="Times New Roman" w:hAnsi="Times New Roman"/>
          <w:sz w:val="40"/>
          <w:szCs w:val="40"/>
        </w:rPr>
        <w:t xml:space="preserve">Chapter 4: Experimentation</w:t>
      </w:r>
    </w:p>
    <w:p>
      <w:pPr>
        <w:pStyle w:val="Heading2"/>
      </w:pPr>
      <w:r>
        <w:rPr>
          <w:b/>
          <w:rFonts w:ascii="Times New Roman" w:hAnsi="Times New Roman"/>
          <w:sz w:val="28"/>
          <w:szCs w:val="28"/>
        </w:rPr>
        <w:t xml:space="preserve">4.1  Selection of Suitable Minerals Used as Fluxes for Submerged Arc Welding</w:t>
      </w:r>
    </w:p>
    <w:p>
      <w:pPr>
        <w:jc w:val="both"/>
      </w:pPr>
      <w:r>
        <w:rPr>
          <w:rFonts w:ascii="Times New Roman" w:hAnsi="Times New Roman"/>
          <w:sz w:val="24"/>
          <w:szCs w:val="24"/>
        </w:rPr>
        <w:t xml:space="preserve">Controlled mineral blends optimized for harsh and saltwater conditions were developed into fluxes for use in marine and offshore welding applications. Silica (SiO₂), titanium dioxide (TiO₂), calcium fluoride (CaF₂), barium oxide (BaO), manganese oxide (MnO) and calcium oxide (CaO) were added in controlled ratios, with CaO kept constant to stabilize the slag chemistry. The mineral powders used were 99% pure, and the composition of each batch was confirmed by X-ray fluorescence (XRF) analysis to ensure reproducibility and quality control of the composition.</w:t>
      </w:r>
    </w:p>
    <w:p>
      <w:pPr>
        <w:jc w:val="both"/>
      </w:pPr>
      <w:r>
        <w:rPr>
          <w:rFonts w:ascii="Times New Roman" w:hAnsi="Times New Roman"/>
          <w:sz w:val="24"/>
          <w:szCs w:val="24"/>
        </w:rPr>
        <w:t xml:space="preserve">All mineral constituents were selected for their specific functions in the submerged arc welding process. The amount of silica (A) was adjusted to 5.0–10.0 g, which provides fluxing activity and slag fluidity. The titanium dioxide (B) content was varied between 10.0–20.0 g to improve arc stability and slag detachability. The addition of calcium fluoride decreased the melting point, and calcium fluoride (C) of 20.0–35.0 g was added to create the conditions suited to offshore welding. To stabilize the effectiveness of the arc and to help form the slag, barium oxide (D) was loaded at 5.0–10.0 g and manganese oxide (E) at 10.0–25.0 g as a deoxidizer and to refine the weld-metal microstructure. The formulation was designed to add 8.0 g calcium oxide (F) as a baseline basic condition and to control slag viscosity.</w:t>
      </w:r>
    </w:p>
    <w:p>
      <w:pPr>
        <w:jc w:val="both"/>
      </w:pPr>
      <w:r>
        <w:rPr>
          <w:rFonts w:ascii="Times New Roman" w:hAnsi="Times New Roman"/>
          <w:sz w:val="24"/>
          <w:szCs w:val="24"/>
        </w:rPr>
        <w:t xml:space="preserve">The range of mineral constituent composition of the flux formulation is summarized in Table 4.1. A novel additive was used, red ochre, an iron-rich by-product of iron-ore mining in Rajasthan, India, which is edible. The red ochre was dried in an oven at 110°C for 24 h and milled to less than 45 µm before mixing. The inclusion ranged between 5.0 and 15.0 g per 100 g batch, which replaced an equal fraction of silica in the batch. High levels of iron make red ochre a good electrical conductor, promote arc stability, and modify the weld-metal chemistry and microstructure to improve corrosion resistance.</w:t>
      </w:r>
    </w:p>
    <w:p>
      <w:pPr>
        <w:jc w:val="center"/>
        <w:spacing w:before="160" w:after="60"/>
        <w:keepNext/>
      </w:pPr>
      <w:r>
        <w:rPr>
          <w:b/>
          <w:rFonts w:ascii="Times New Roman" w:hAnsi="Times New Roman"/>
          <w:sz w:val="22"/>
          <w:szCs w:val="22"/>
        </w:rPr>
        <w:t xml:space="preserve">Table 4.1  Mineral constituent composition ranges for flux formulation</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2340"/>
        <w:gridCol w:w="2340"/>
        <w:gridCol w:w="2340"/>
        <w:gridCol w:w="2340"/>
      </w:tblGrid>
      <w:tr>
        <w:trPr>
          <w:tblHeader/>
        </w:trPr>
        <w:tc>
          <w:tcPr>
            <w:tcW w:w="2340" w:type="dxa"/>
            <w:vAlign w:val="center"/>
            <w:shd w:val="clear" w:color="auto" w:fill="D9E2F3"/>
          </w:tcPr>
          <w:p>
            <w:pPr>
              <w:jc w:val="center"/>
              <w:spacing w:after="20" w:line="240" w:lineRule="auto"/>
            </w:pPr>
            <w:r>
              <w:rPr>
                <w:b/>
                <w:rFonts w:ascii="Times New Roman" w:hAnsi="Times New Roman"/>
                <w:sz w:val="22"/>
                <w:szCs w:val="22"/>
              </w:rPr>
              <w:t xml:space="preserve">S. No.</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Mineral Constituent</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Denoting Symbol</w:t>
            </w:r>
          </w:p>
        </w:tc>
        <w:tc>
          <w:tcPr>
            <w:tcW w:w="2340" w:type="dxa"/>
            <w:vAlign w:val="center"/>
            <w:shd w:val="clear" w:color="auto" w:fill="D9E2F3"/>
          </w:tcPr>
          <w:p>
            <w:pPr>
              <w:jc w:val="center"/>
              <w:spacing w:after="20" w:line="240" w:lineRule="auto"/>
            </w:pPr>
            <w:r>
              <w:rPr>
                <w:b/>
                <w:rFonts w:ascii="Times New Roman" w:hAnsi="Times New Roman"/>
                <w:sz w:val="22"/>
                <w:szCs w:val="22"/>
              </w:rPr>
              <w:t xml:space="preserve">Range (g/100 g batch)</w:t>
            </w:r>
          </w:p>
        </w:tc>
      </w:tr>
      <w:tr>
        <w:tc>
          <w:tcPr>
            <w:tcW w:w="2340" w:type="dxa"/>
            <w:vAlign w:val="center"/>
          </w:tcPr>
          <w:p>
            <w:pPr>
              <w:jc w:val="center"/>
              <w:spacing w:after="20" w:line="240" w:lineRule="auto"/>
            </w:pPr>
            <w:r>
              <w:rPr>
                <w:rFonts w:ascii="Times New Roman" w:hAnsi="Times New Roman"/>
                <w:sz w:val="22"/>
                <w:szCs w:val="22"/>
              </w:rPr>
              <w:t xml:space="preserve">1</w:t>
            </w:r>
          </w:p>
        </w:tc>
        <w:tc>
          <w:tcPr>
            <w:tcW w:w="2340" w:type="dxa"/>
            <w:vAlign w:val="center"/>
          </w:tcPr>
          <w:p>
            <w:pPr>
              <w:jc w:val="center"/>
              <w:spacing w:after="20" w:line="240" w:lineRule="auto"/>
            </w:pPr>
            <w:r>
              <w:rPr>
                <w:rFonts w:ascii="Times New Roman" w:hAnsi="Times New Roman"/>
                <w:sz w:val="22"/>
                <w:szCs w:val="22"/>
              </w:rPr>
              <w:t xml:space="preserve">SiO₂</w:t>
            </w:r>
          </w:p>
        </w:tc>
        <w:tc>
          <w:tcPr>
            <w:tcW w:w="2340" w:type="dxa"/>
            <w:vAlign w:val="center"/>
          </w:tcPr>
          <w:p>
            <w:pPr>
              <w:jc w:val="center"/>
              <w:spacing w:after="20" w:line="240" w:lineRule="auto"/>
            </w:pPr>
            <w:r>
              <w:rPr>
                <w:rFonts w:ascii="Times New Roman" w:hAnsi="Times New Roman"/>
                <w:sz w:val="22"/>
                <w:szCs w:val="22"/>
              </w:rPr>
              <w:t xml:space="preserve">A</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2</w:t>
            </w:r>
          </w:p>
        </w:tc>
        <w:tc>
          <w:tcPr>
            <w:tcW w:w="2340" w:type="dxa"/>
            <w:vAlign w:val="center"/>
          </w:tcPr>
          <w:p>
            <w:pPr>
              <w:jc w:val="center"/>
              <w:spacing w:after="20" w:line="240" w:lineRule="auto"/>
            </w:pPr>
            <w:r>
              <w:rPr>
                <w:rFonts w:ascii="Times New Roman" w:hAnsi="Times New Roman"/>
                <w:sz w:val="22"/>
                <w:szCs w:val="22"/>
              </w:rPr>
              <w:t xml:space="preserve">TiO₂</w:t>
            </w:r>
          </w:p>
        </w:tc>
        <w:tc>
          <w:tcPr>
            <w:tcW w:w="2340" w:type="dxa"/>
            <w:vAlign w:val="center"/>
          </w:tcPr>
          <w:p>
            <w:pPr>
              <w:jc w:val="center"/>
              <w:spacing w:after="20" w:line="240" w:lineRule="auto"/>
            </w:pPr>
            <w:r>
              <w:rPr>
                <w:rFonts w:ascii="Times New Roman" w:hAnsi="Times New Roman"/>
                <w:sz w:val="22"/>
                <w:szCs w:val="22"/>
              </w:rPr>
              <w:t xml:space="preserve">B</w:t>
            </w:r>
          </w:p>
        </w:tc>
        <w:tc>
          <w:tcPr>
            <w:tcW w:w="2340" w:type="dxa"/>
            <w:vAlign w:val="center"/>
          </w:tcPr>
          <w:p>
            <w:pPr>
              <w:jc w:val="center"/>
              <w:spacing w:after="20" w:line="240" w:lineRule="auto"/>
            </w:pPr>
            <w:r>
              <w:rPr>
                <w:rFonts w:ascii="Times New Roman" w:hAnsi="Times New Roman"/>
                <w:sz w:val="22"/>
                <w:szCs w:val="22"/>
              </w:rPr>
              <w:t xml:space="preserve">10.0 – 20.0</w:t>
            </w:r>
          </w:p>
        </w:tc>
      </w:tr>
      <w:tr>
        <w:tc>
          <w:tcPr>
            <w:tcW w:w="2340" w:type="dxa"/>
            <w:vAlign w:val="center"/>
          </w:tcPr>
          <w:p>
            <w:pPr>
              <w:jc w:val="center"/>
              <w:spacing w:after="20" w:line="240" w:lineRule="auto"/>
            </w:pPr>
            <w:r>
              <w:rPr>
                <w:rFonts w:ascii="Times New Roman" w:hAnsi="Times New Roman"/>
                <w:sz w:val="22"/>
                <w:szCs w:val="22"/>
              </w:rPr>
              <w:t xml:space="preserve">3</w:t>
            </w:r>
          </w:p>
        </w:tc>
        <w:tc>
          <w:tcPr>
            <w:tcW w:w="2340" w:type="dxa"/>
            <w:vAlign w:val="center"/>
          </w:tcPr>
          <w:p>
            <w:pPr>
              <w:jc w:val="center"/>
              <w:spacing w:after="20" w:line="240" w:lineRule="auto"/>
            </w:pPr>
            <w:r>
              <w:rPr>
                <w:rFonts w:ascii="Times New Roman" w:hAnsi="Times New Roman"/>
                <w:sz w:val="22"/>
                <w:szCs w:val="22"/>
              </w:rPr>
              <w:t xml:space="preserve">CaF₂</w:t>
            </w:r>
          </w:p>
        </w:tc>
        <w:tc>
          <w:tcPr>
            <w:tcW w:w="2340" w:type="dxa"/>
            <w:vAlign w:val="center"/>
          </w:tcPr>
          <w:p>
            <w:pPr>
              <w:jc w:val="center"/>
              <w:spacing w:after="20" w:line="240" w:lineRule="auto"/>
            </w:pPr>
            <w:r>
              <w:rPr>
                <w:rFonts w:ascii="Times New Roman" w:hAnsi="Times New Roman"/>
                <w:sz w:val="22"/>
                <w:szCs w:val="22"/>
              </w:rPr>
              <w:t xml:space="preserve">C</w:t>
            </w:r>
          </w:p>
        </w:tc>
        <w:tc>
          <w:tcPr>
            <w:tcW w:w="2340" w:type="dxa"/>
            <w:vAlign w:val="center"/>
          </w:tcPr>
          <w:p>
            <w:pPr>
              <w:jc w:val="center"/>
              <w:spacing w:after="20" w:line="240" w:lineRule="auto"/>
            </w:pPr>
            <w:r>
              <w:rPr>
                <w:rFonts w:ascii="Times New Roman" w:hAnsi="Times New Roman"/>
                <w:sz w:val="22"/>
                <w:szCs w:val="22"/>
              </w:rPr>
              <w:t xml:space="preserve">20.0 – 35.0</w:t>
            </w:r>
          </w:p>
        </w:tc>
      </w:tr>
      <w:tr>
        <w:tc>
          <w:tcPr>
            <w:tcW w:w="2340" w:type="dxa"/>
            <w:vAlign w:val="center"/>
          </w:tcPr>
          <w:p>
            <w:pPr>
              <w:jc w:val="center"/>
              <w:spacing w:after="20" w:line="240" w:lineRule="auto"/>
            </w:pPr>
            <w:r>
              <w:rPr>
                <w:rFonts w:ascii="Times New Roman" w:hAnsi="Times New Roman"/>
                <w:sz w:val="22"/>
                <w:szCs w:val="22"/>
              </w:rPr>
              <w:t xml:space="preserve">4</w:t>
            </w:r>
          </w:p>
        </w:tc>
        <w:tc>
          <w:tcPr>
            <w:tcW w:w="2340" w:type="dxa"/>
            <w:vAlign w:val="center"/>
          </w:tcPr>
          <w:p>
            <w:pPr>
              <w:jc w:val="center"/>
              <w:spacing w:after="20" w:line="240" w:lineRule="auto"/>
            </w:pPr>
            <w:r>
              <w:rPr>
                <w:rFonts w:ascii="Times New Roman" w:hAnsi="Times New Roman"/>
                <w:sz w:val="22"/>
                <w:szCs w:val="22"/>
              </w:rPr>
              <w:t xml:space="preserve">BaO</w:t>
            </w:r>
          </w:p>
        </w:tc>
        <w:tc>
          <w:tcPr>
            <w:tcW w:w="2340" w:type="dxa"/>
            <w:vAlign w:val="center"/>
          </w:tcPr>
          <w:p>
            <w:pPr>
              <w:jc w:val="center"/>
              <w:spacing w:after="20" w:line="240" w:lineRule="auto"/>
            </w:pPr>
            <w:r>
              <w:rPr>
                <w:rFonts w:ascii="Times New Roman" w:hAnsi="Times New Roman"/>
                <w:sz w:val="22"/>
                <w:szCs w:val="22"/>
              </w:rPr>
              <w:t xml:space="preserve">D</w:t>
            </w:r>
          </w:p>
        </w:tc>
        <w:tc>
          <w:tcPr>
            <w:tcW w:w="2340" w:type="dxa"/>
            <w:vAlign w:val="center"/>
          </w:tcPr>
          <w:p>
            <w:pPr>
              <w:jc w:val="center"/>
              <w:spacing w:after="20" w:line="240" w:lineRule="auto"/>
            </w:pPr>
            <w:r>
              <w:rPr>
                <w:rFonts w:ascii="Times New Roman" w:hAnsi="Times New Roman"/>
                <w:sz w:val="22"/>
                <w:szCs w:val="22"/>
              </w:rPr>
              <w:t xml:space="preserve">5.0 – 10.0</w:t>
            </w:r>
          </w:p>
        </w:tc>
      </w:tr>
      <w:tr>
        <w:tc>
          <w:tcPr>
            <w:tcW w:w="2340" w:type="dxa"/>
            <w:vAlign w:val="center"/>
          </w:tcPr>
          <w:p>
            <w:pPr>
              <w:jc w:val="center"/>
              <w:spacing w:after="20" w:line="240" w:lineRule="auto"/>
            </w:pPr>
            <w:r>
              <w:rPr>
                <w:rFonts w:ascii="Times New Roman" w:hAnsi="Times New Roman"/>
                <w:sz w:val="22"/>
                <w:szCs w:val="22"/>
              </w:rPr>
              <w:t xml:space="preserve">5</w:t>
            </w:r>
          </w:p>
        </w:tc>
        <w:tc>
          <w:tcPr>
            <w:tcW w:w="2340" w:type="dxa"/>
            <w:vAlign w:val="center"/>
          </w:tcPr>
          <w:p>
            <w:pPr>
              <w:jc w:val="center"/>
              <w:spacing w:after="20" w:line="240" w:lineRule="auto"/>
            </w:pPr>
            <w:r>
              <w:rPr>
                <w:rFonts w:ascii="Times New Roman" w:hAnsi="Times New Roman"/>
                <w:sz w:val="22"/>
                <w:szCs w:val="22"/>
              </w:rPr>
              <w:t xml:space="preserve">MnO</w:t>
            </w:r>
          </w:p>
        </w:tc>
        <w:tc>
          <w:tcPr>
            <w:tcW w:w="2340" w:type="dxa"/>
            <w:vAlign w:val="center"/>
          </w:tcPr>
          <w:p>
            <w:pPr>
              <w:jc w:val="center"/>
              <w:spacing w:after="20" w:line="240" w:lineRule="auto"/>
            </w:pPr>
            <w:r>
              <w:rPr>
                <w:rFonts w:ascii="Times New Roman" w:hAnsi="Times New Roman"/>
                <w:sz w:val="22"/>
                <w:szCs w:val="22"/>
              </w:rPr>
              <w:t xml:space="preserve">E</w:t>
            </w:r>
          </w:p>
        </w:tc>
        <w:tc>
          <w:tcPr>
            <w:tcW w:w="2340" w:type="dxa"/>
            <w:vAlign w:val="center"/>
          </w:tcPr>
          <w:p>
            <w:pPr>
              <w:jc w:val="center"/>
              <w:spacing w:after="20" w:line="240" w:lineRule="auto"/>
            </w:pPr>
            <w:r>
              <w:rPr>
                <w:rFonts w:ascii="Times New Roman" w:hAnsi="Times New Roman"/>
                <w:sz w:val="22"/>
                <w:szCs w:val="22"/>
              </w:rPr>
              <w:t xml:space="preserve">10.0 – 25.0</w:t>
            </w:r>
          </w:p>
        </w:tc>
      </w:tr>
      <w:tr>
        <w:tc>
          <w:tcPr>
            <w:tcW w:w="2340" w:type="dxa"/>
            <w:vAlign w:val="center"/>
          </w:tcPr>
          <w:p>
            <w:pPr>
              <w:jc w:val="center"/>
              <w:spacing w:after="20" w:line="240" w:lineRule="auto"/>
            </w:pPr>
            <w:r>
              <w:rPr>
                <w:rFonts w:ascii="Times New Roman" w:hAnsi="Times New Roman"/>
                <w:sz w:val="22"/>
                <w:szCs w:val="22"/>
              </w:rPr>
              <w:t xml:space="preserve">6</w:t>
            </w:r>
          </w:p>
        </w:tc>
        <w:tc>
          <w:tcPr>
            <w:tcW w:w="2340" w:type="dxa"/>
            <w:vAlign w:val="center"/>
          </w:tcPr>
          <w:p>
            <w:pPr>
              <w:jc w:val="center"/>
              <w:spacing w:after="20" w:line="240" w:lineRule="auto"/>
            </w:pPr>
            <w:r>
              <w:rPr>
                <w:rFonts w:ascii="Times New Roman" w:hAnsi="Times New Roman"/>
                <w:sz w:val="22"/>
                <w:szCs w:val="22"/>
              </w:rPr>
              <w:t xml:space="preserve">CaO</w:t>
            </w:r>
          </w:p>
        </w:tc>
        <w:tc>
          <w:tcPr>
            <w:tcW w:w="2340" w:type="dxa"/>
            <w:vAlign w:val="center"/>
          </w:tcPr>
          <w:p>
            <w:pPr>
              <w:jc w:val="center"/>
              <w:spacing w:after="20" w:line="240" w:lineRule="auto"/>
            </w:pPr>
            <w:r>
              <w:rPr>
                <w:rFonts w:ascii="Times New Roman" w:hAnsi="Times New Roman"/>
                <w:sz w:val="22"/>
                <w:szCs w:val="22"/>
              </w:rPr>
              <w:t xml:space="preserve">F</w:t>
            </w:r>
          </w:p>
        </w:tc>
        <w:tc>
          <w:tcPr>
            <w:tcW w:w="2340" w:type="dxa"/>
            <w:vAlign w:val="center"/>
          </w:tcPr>
          <w:p>
            <w:pPr>
              <w:jc w:val="center"/>
              <w:spacing w:after="20" w:line="240" w:lineRule="auto"/>
            </w:pPr>
            <w:r>
              <w:rPr>
                <w:rFonts w:ascii="Times New Roman" w:hAnsi="Times New Roman"/>
                <w:sz w:val="22"/>
                <w:szCs w:val="22"/>
              </w:rPr>
              <w:t xml:space="preserve">8.0 (constant in all compositions)</w:t>
            </w:r>
          </w:p>
        </w:tc>
      </w:tr>
    </w:tbl>
    <w:p>
      <w:pPr>
        <w:spacing w:after="120"/>
      </w:pPr>
    </w:p>
    <w:p>
      <w:pPr>
        <w:jc w:val="both"/>
      </w:pPr>
      <w:r>
        <w:rPr>
          <w:rFonts w:ascii="Times New Roman" w:hAnsi="Times New Roman"/>
          <w:sz w:val="24"/>
          <w:szCs w:val="24"/>
        </w:rPr>
        <w:t xml:space="preserve">To ensure the mineral powders adhered to the steel core, potassium silicate solution (5 wt% of the batch) was added as a binder. The powders were mixed in a turbula mixer for 30 min, after which they were dried in an oven at 80°C for 2 h.</w:t>
      </w:r>
    </w:p>
    <w:p>
      <w:pPr>
        <w:pStyle w:val="Heading3"/>
      </w:pPr>
      <w:r>
        <w:rPr>
          <w:b/>
          <w:rFonts w:ascii="Times New Roman" w:hAnsi="Times New Roman"/>
          <w:sz w:val="26"/>
          <w:szCs w:val="26"/>
        </w:rPr>
        <w:t xml:space="preserve">4.1.1  Design of Experimentation for Flux Formulation</w:t>
      </w:r>
    </w:p>
    <w:p>
      <w:pPr>
        <w:jc w:val="both"/>
      </w:pPr>
      <w:r>
        <w:rPr>
          <w:rFonts w:ascii="Times New Roman" w:hAnsi="Times New Roman"/>
          <w:sz w:val="24"/>
          <w:szCs w:val="24"/>
        </w:rPr>
        <w:t xml:space="preserve">Twenty-five new submerged arc welding fluxes were developed using a systematic approach to replace the traditional trial-and-error method with the Design of Experiments (DoE) method. The mineral constituents (SiO₂, TiO₂, CaF₂, BaO, MnO and fixed CaO) are interdependent, and an increase in one necessarily means a decrease in one or more other constituents; this is why a mixture technique of Design of Experiments was used. Design-Expert software (Stat-Ease Inc., Minneapolis, MN, USA) was used to design an experimental flux design matrix of SiO₂, TiO₂, CaF₂, BaO, MnO and fixed CaO ingredients (Table 4.2). The D-optimal design is appropriate when the variables cannot take on the lower or upper limits of the design space, as demonstrated in Table 4.1, unlike the standard simplex-lattice or simplex-centroid designs. The replicates were randomly located in the design space to minimize systematic bias.</w:t>
      </w:r>
    </w:p>
    <w:p>
      <w:pPr>
        <w:jc w:val="both"/>
      </w:pPr>
      <w:r>
        <w:rPr>
          <w:rFonts w:ascii="Times New Roman" w:hAnsi="Times New Roman"/>
          <w:sz w:val="24"/>
          <w:szCs w:val="24"/>
        </w:rPr>
        <w:t xml:space="preserve">In the mixture constraint equations, x denotes the mass, in grams, of each mineral constituent in each 100 g batch of mixture, which must lie between the lower and upper specifications, α_i and β_i respectively, as listed in Table 4.1. To ensure that each single element is within a certain range, Equation (4.1) is used. The scale is able to adapt to the mass variations brought about by adding red ochre and binder materials.</w:t>
      </w:r>
    </w:p>
    <w:p>
      <w:pPr>
        <w:jc w:val="center"/>
        <w:spacing w:before="80" w:after="80"/>
      </w:pPr>
      <w:r>
        <w:rPr>
          <w:i/>
          <w:rFonts w:ascii="Times New Roman" w:hAnsi="Times New Roman"/>
          <w:sz w:val="24"/>
          <w:szCs w:val="24"/>
        </w:rPr>
        <w:t xml:space="preserve">α_i ≤ x_i ≤ β_i                                        (Equation 4.1)</w:t>
      </w:r>
    </w:p>
    <w:p>
      <w:pPr>
        <w:jc w:val="both"/>
      </w:pPr>
      <w:r>
        <w:rPr>
          <w:rFonts w:ascii="Times New Roman" w:hAnsi="Times New Roman"/>
          <w:sz w:val="24"/>
          <w:szCs w:val="24"/>
        </w:rPr>
        <w:t xml:space="preserve">Within the compositional range, analysis was carried out with the help of a number of basic ternary systems as illustrated in Figure 4.1. The introduction of CaF₂ into the SiO₂–CaO–CaF₂ diagram (a) lowers the liquidus temperature and gives rise to two-liquid zones, which are important for controlling the fluidity of the slag. In the SiO₂–MnO–TiO₂ system (b), the effect of Mn and Ti on the formation and stability of the silicate and titanate phases is plotted at a controlled oxygen potential, giving an indication of arc stability and slag release. In the BaO–SiO₂–CaF₂ system (c), a low-melting dual-liquid phase is suggested to be present near the SiO₂–CaF₂ interface, indicating that the flux is easier to melt than the others. These ternary combinations are then extended to a quaternary model, SiO₂–CaF₂–MnO–BaO (d), whose polyhedral zone is shown in colour because it represents the scope of composition that is viable, based on the liquidus and phase-stability criteria observed in the target systems. It serves as an umbrella design guide for flux composition, with slag properties controlled to obtain stable melting behaviour.</w:t>
      </w:r>
    </w:p>
    <w:p>
      <w:pPr>
        <w:jc w:val="center"/>
        <w:spacing w:before="120" w:after="20"/>
      </w:pPr>
      <w:r>
        <w:drawing>
          <wp:inline distT="0" distB="0" distL="0" distR="0">
            <wp:extent cx="5486400" cy="4630521"/>
            <wp:docPr id="1" name="Picture1"/>
            <a:graphic xmlns:a="http://schemas.openxmlformats.org/drawingml/2006/main">
              <a:graphicData uri="http://schemas.openxmlformats.org/drawingml/2006/picture">
                <pic:pic xmlns:pic="http://schemas.openxmlformats.org/drawingml/2006/picture">
                  <pic:nvPicPr>
                    <pic:cNvPr id="1" name="Picture1"/>
                    <pic:cNvPicPr/>
                  </pic:nvPicPr>
                  <pic:blipFill>
                    <a:blip r:embed="rIdImg1"/>
                    <a:stretch>
                      <a:fillRect/>
                    </a:stretch>
                  </pic:blipFill>
                  <pic:spPr>
                    <a:xfrm>
                      <a:off x="0" y="0"/>
                      <a:ext cx="5486400" cy="4630521"/>
                    </a:xfrm>
                    <a:prstGeom prst="rect">
                      <a:avLst/>
                    </a:prstGeom>
                  </pic:spPr>
                </pic:pic>
              </a:graphicData>
            </a:graphic>
          </wp:inline>
        </w:drawing>
      </w:r>
    </w:p>
    <w:p>
      <w:pPr>
        <w:jc w:val="center"/>
        <w:spacing w:before="60" w:after="200"/>
      </w:pPr>
      <w:r>
        <w:rPr>
          <w:b/>
          <w:rFonts w:ascii="Times New Roman" w:hAnsi="Times New Roman"/>
          <w:sz w:val="20"/>
          <w:szCs w:val="20"/>
        </w:rPr>
        <w:t xml:space="preserve">Fig. 4.1  Representation of ternary and quaternary phase relationships used in flux formulation and compositional optimization. (a) The SiO₂–CaO–CaF₂ system showing liquid-phase formation regions, (b) the SiO₂–MnO–TiO₂ equilibrium diagram under a controlled pCO/pCO₂ ratio of unity, (c) the BaO–SiO₂–CaF₂ diagram depicting liquidus surfaces and phase-stability zones, (d) the quaternary compositional framework (SiO₂–CaF₂–MnO–BaO) defining the feasible design region selected for flux development studies.</w:t>
      </w:r>
    </w:p>
    <w:p>
      <w:pPr>
        <w:jc w:val="both"/>
      </w:pPr>
      <w:r>
        <w:rPr>
          <w:rFonts w:ascii="Times New Roman" w:hAnsi="Times New Roman"/>
          <w:sz w:val="24"/>
          <w:szCs w:val="24"/>
        </w:rPr>
        <w:t xml:space="preserve">The basicity index (BI) of the 25 fluxes was calculated based on a modified description of the basicities of CaF₂ and MnO, in addition to the usual basic oxides, using the equation below:</w:t>
      </w:r>
    </w:p>
    <w:p>
      <w:pPr>
        <w:jc w:val="center"/>
        <w:spacing w:before="80" w:after="80"/>
      </w:pPr>
      <w:r>
        <w:rPr>
          <w:i/>
          <w:rFonts w:ascii="Times New Roman" w:hAnsi="Times New Roman"/>
          <w:sz w:val="24"/>
          <w:szCs w:val="24"/>
        </w:rPr>
        <w:t xml:space="preserve">BI = [ (CaO + CaF₂ + MgO + BaO + SrO + Na₂O) + 0.5(MnO + Fe) ] / [ SiO₂ + 0.5(TiO₂ + Al₂O₃ + ZrO₂) ]      (Equation 4.3)</w:t>
      </w:r>
    </w:p>
    <w:p>
      <w:pPr>
        <w:jc w:val="both"/>
      </w:pPr>
      <w:r>
        <w:rPr>
          <w:rFonts w:ascii="Times New Roman" w:hAnsi="Times New Roman"/>
          <w:sz w:val="24"/>
          <w:szCs w:val="24"/>
        </w:rPr>
        <w:t xml:space="preserve">The values of the basicity index obtained were between 2.100 and 4.622, and almost all of the fluxes ranged from acidic to strongly basic, as shown in Table 4.2. The blends with the highest basicity were CaF₂- and MnO-rich blends (e.g. Run 2), while those with high SiO₂ and TiO₂ content had the lowest basicity.</w:t>
      </w:r>
    </w:p>
    <w:p>
      <w:pPr>
        <w:jc w:val="center"/>
        <w:spacing w:before="160" w:after="60"/>
        <w:keepNext/>
      </w:pPr>
      <w:r>
        <w:rPr>
          <w:b/>
          <w:rFonts w:ascii="Times New Roman" w:hAnsi="Times New Roman"/>
          <w:sz w:val="22"/>
          <w:szCs w:val="22"/>
        </w:rPr>
        <w:t xml:space="preserve">Table 4.2  Design matrix of flux composition (wt%) with basicity index</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1040"/>
        <w:gridCol w:w="1040"/>
        <w:gridCol w:w="1040"/>
        <w:gridCol w:w="1040"/>
        <w:gridCol w:w="1040"/>
        <w:gridCol w:w="1040"/>
        <w:gridCol w:w="1040"/>
        <w:gridCol w:w="1040"/>
        <w:gridCol w:w="1040"/>
      </w:tblGrid>
      <w:tr>
        <w:trPr>
          <w:tblHeader/>
        </w:trPr>
        <w:tc>
          <w:tcPr>
            <w:tcW w:w="1040" w:type="dxa"/>
            <w:vAlign w:val="center"/>
            <w:shd w:val="clear" w:color="auto" w:fill="D9E2F3"/>
          </w:tcPr>
          <w:p>
            <w:pPr>
              <w:jc w:val="center"/>
              <w:spacing w:after="20" w:line="240" w:lineRule="auto"/>
            </w:pPr>
            <w:r>
              <w:rPr>
                <w:b/>
                <w:rFonts w:ascii="Times New Roman" w:hAnsi="Times New Roman"/>
                <w:sz w:val="16"/>
                <w:szCs w:val="16"/>
              </w:rPr>
              <w:t xml:space="preserve">Flux</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SiO₂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TiO₂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CaF₂</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MnO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CaO</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BI</w:t>
            </w:r>
          </w:p>
        </w:tc>
        <w:tc>
          <w:tcPr>
            <w:tcW w:w="1040" w:type="dxa"/>
            <w:vAlign w:val="center"/>
            <w:shd w:val="clear" w:color="auto" w:fill="D9E2F3"/>
          </w:tcPr>
          <w:p>
            <w:pPr>
              <w:jc w:val="center"/>
              <w:spacing w:after="20" w:line="240" w:lineRule="auto"/>
            </w:pPr>
            <w:r>
              <w:rPr>
                <w:b/>
                <w:rFonts w:ascii="Times New Roman" w:hAnsi="Times New Roman"/>
                <w:sz w:val="16"/>
                <w:szCs w:val="16"/>
              </w:rPr>
              <w:t xml:space="preserve">Polyhedron point</w:t>
            </w:r>
          </w:p>
        </w:tc>
      </w:tr>
      <w:tr>
        <w:tc>
          <w:tcPr>
            <w:tcW w:w="1040" w:type="dxa"/>
            <w:vAlign w:val="center"/>
          </w:tcPr>
          <w:p>
            <w:pPr>
              <w:jc w:val="center"/>
              <w:spacing w:after="20" w:line="240" w:lineRule="auto"/>
            </w:pPr>
            <w:r>
              <w:rPr>
                <w:rFonts w:ascii="Times New Roman" w:hAnsi="Times New Roman"/>
                <w:sz w:val="16"/>
                <w:szCs w:val="16"/>
              </w:rPr>
              <w:t xml:space="preserve">f1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18.5875</w:t>
            </w:r>
          </w:p>
        </w:tc>
        <w:tc>
          <w:tcPr>
            <w:tcW w:w="1040" w:type="dxa"/>
            <w:vAlign w:val="center"/>
          </w:tcPr>
          <w:p>
            <w:pPr>
              <w:jc w:val="center"/>
              <w:spacing w:after="20" w:line="240" w:lineRule="auto"/>
            </w:pPr>
            <w:r>
              <w:rPr>
                <w:rFonts w:ascii="Times New Roman" w:hAnsi="Times New Roman"/>
                <w:sz w:val="16"/>
                <w:szCs w:val="16"/>
              </w:rPr>
              <w:t xml:space="preserve">21.4218</w:t>
            </w:r>
          </w:p>
        </w:tc>
        <w:tc>
          <w:tcPr>
            <w:tcW w:w="1040" w:type="dxa"/>
            <w:vAlign w:val="center"/>
          </w:tcPr>
          <w:p>
            <w:pPr>
              <w:jc w:val="center"/>
              <w:spacing w:after="20" w:line="240" w:lineRule="auto"/>
            </w:pPr>
            <w:r>
              <w:rPr>
                <w:rFonts w:ascii="Times New Roman" w:hAnsi="Times New Roman"/>
                <w:sz w:val="16"/>
                <w:szCs w:val="16"/>
              </w:rPr>
              <w:t xml:space="preserve">9.9907</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2.253</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f2</w:t>
            </w:r>
          </w:p>
        </w:tc>
        <w:tc>
          <w:tcPr>
            <w:tcW w:w="1040" w:type="dxa"/>
            <w:vAlign w:val="center"/>
          </w:tcPr>
          <w:p>
            <w:pPr>
              <w:jc w:val="center"/>
              <w:spacing w:after="20" w:line="240" w:lineRule="auto"/>
            </w:pPr>
            <w:r>
              <w:rPr>
                <w:rFonts w:ascii="Times New Roman" w:hAnsi="Times New Roman"/>
                <w:sz w:val="16"/>
                <w:szCs w:val="16"/>
              </w:rPr>
              <w:t xml:space="preserve">6.3710</w:t>
            </w:r>
          </w:p>
        </w:tc>
        <w:tc>
          <w:tcPr>
            <w:tcW w:w="1040" w:type="dxa"/>
            <w:vAlign w:val="center"/>
          </w:tcPr>
          <w:p>
            <w:pPr>
              <w:jc w:val="center"/>
              <w:spacing w:after="20" w:line="240" w:lineRule="auto"/>
            </w:pPr>
            <w:r>
              <w:rPr>
                <w:rFonts w:ascii="Times New Roman" w:hAnsi="Times New Roman"/>
                <w:sz w:val="16"/>
                <w:szCs w:val="16"/>
              </w:rPr>
              <w:t xml:space="preserve">10.1721</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8.4569</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4.622</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f3</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f4</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f5</w:t>
            </w:r>
          </w:p>
        </w:tc>
        <w:tc>
          <w:tcPr>
            <w:tcW w:w="1040" w:type="dxa"/>
            <w:vAlign w:val="center"/>
          </w:tcPr>
          <w:p>
            <w:pPr>
              <w:jc w:val="center"/>
              <w:spacing w:after="20" w:line="240" w:lineRule="auto"/>
            </w:pPr>
            <w:r>
              <w:rPr>
                <w:rFonts w:ascii="Times New Roman" w:hAnsi="Times New Roman"/>
                <w:sz w:val="16"/>
                <w:szCs w:val="16"/>
              </w:rPr>
              <w:t xml:space="preserve">8.1508</w:t>
            </w:r>
          </w:p>
        </w:tc>
        <w:tc>
          <w:tcPr>
            <w:tcW w:w="1040" w:type="dxa"/>
            <w:vAlign w:val="center"/>
          </w:tcPr>
          <w:p>
            <w:pPr>
              <w:jc w:val="center"/>
              <w:spacing w:after="20" w:line="240" w:lineRule="auto"/>
            </w:pPr>
            <w:r>
              <w:rPr>
                <w:rFonts w:ascii="Times New Roman" w:hAnsi="Times New Roman"/>
                <w:sz w:val="16"/>
                <w:szCs w:val="16"/>
              </w:rPr>
              <w:t xml:space="preserve">13.9845</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17.8647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3.201</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f6</w:t>
            </w:r>
          </w:p>
        </w:tc>
        <w:tc>
          <w:tcPr>
            <w:tcW w:w="1040" w:type="dxa"/>
            <w:vAlign w:val="center"/>
          </w:tcPr>
          <w:p>
            <w:pPr>
              <w:jc w:val="center"/>
              <w:spacing w:after="20" w:line="240" w:lineRule="auto"/>
            </w:pPr>
            <w:r>
              <w:rPr>
                <w:rFonts w:ascii="Times New Roman" w:hAnsi="Times New Roman"/>
                <w:sz w:val="16"/>
                <w:szCs w:val="16"/>
              </w:rPr>
              <w:t xml:space="preserve">5.2878</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27.4372</w:t>
            </w:r>
          </w:p>
        </w:tc>
        <w:tc>
          <w:tcPr>
            <w:tcW w:w="1040" w:type="dxa"/>
            <w:vAlign w:val="center"/>
          </w:tcPr>
          <w:p>
            <w:pPr>
              <w:jc w:val="center"/>
              <w:spacing w:after="20" w:line="240" w:lineRule="auto"/>
            </w:pPr>
            <w:r>
              <w:rPr>
                <w:rFonts w:ascii="Times New Roman" w:hAnsi="Times New Roman"/>
                <w:sz w:val="16"/>
                <w:szCs w:val="16"/>
              </w:rPr>
              <w:t xml:space="preserve">7.2750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2.677</w:t>
            </w:r>
          </w:p>
        </w:tc>
        <w:tc>
          <w:tcPr>
            <w:tcW w:w="1040" w:type="dxa"/>
            <w:vAlign w:val="center"/>
          </w:tcPr>
          <w:p>
            <w:pPr>
              <w:jc w:val="center"/>
              <w:spacing w:after="20" w:line="240" w:lineRule="auto"/>
            </w:pPr>
            <w:r>
              <w:rPr>
                <w:rFonts w:ascii="Times New Roman" w:hAnsi="Times New Roman"/>
                <w:sz w:val="16"/>
                <w:szCs w:val="16"/>
              </w:rPr>
              <w:t xml:space="preserve">Vertex</w:t>
            </w:r>
          </w:p>
        </w:tc>
      </w:tr>
      <w:tr>
        <w:tc>
          <w:tcPr>
            <w:tcW w:w="1040" w:type="dxa"/>
            <w:vAlign w:val="center"/>
          </w:tcPr>
          <w:p>
            <w:pPr>
              <w:jc w:val="center"/>
              <w:spacing w:after="20" w:line="240" w:lineRule="auto"/>
            </w:pPr>
            <w:r>
              <w:rPr>
                <w:rFonts w:ascii="Times New Roman" w:hAnsi="Times New Roman"/>
                <w:sz w:val="16"/>
                <w:szCs w:val="16"/>
              </w:rPr>
              <w:t xml:space="preserve">f7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14.3697</w:t>
            </w:r>
          </w:p>
        </w:tc>
        <w:tc>
          <w:tcPr>
            <w:tcW w:w="1040" w:type="dxa"/>
            <w:vAlign w:val="center"/>
          </w:tcPr>
          <w:p>
            <w:pPr>
              <w:jc w:val="center"/>
              <w:spacing w:after="20" w:line="240" w:lineRule="auto"/>
            </w:pPr>
            <w:r>
              <w:rPr>
                <w:rFonts w:ascii="Times New Roman" w:hAnsi="Times New Roman"/>
                <w:sz w:val="16"/>
                <w:szCs w:val="16"/>
              </w:rPr>
              <w:t xml:space="preserve">25.6303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2.816</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f8</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f9</w:t>
            </w:r>
          </w:p>
        </w:tc>
        <w:tc>
          <w:tcPr>
            <w:tcW w:w="1040" w:type="dxa"/>
            <w:vAlign w:val="center"/>
          </w:tcPr>
          <w:p>
            <w:pPr>
              <w:jc w:val="center"/>
              <w:spacing w:after="20" w:line="240" w:lineRule="auto"/>
            </w:pPr>
            <w:r>
              <w:rPr>
                <w:rFonts w:ascii="Times New Roman" w:hAnsi="Times New Roman"/>
                <w:sz w:val="16"/>
                <w:szCs w:val="16"/>
              </w:rPr>
              <w:t xml:space="preserve">7.9403</w:t>
            </w:r>
          </w:p>
        </w:tc>
        <w:tc>
          <w:tcPr>
            <w:tcW w:w="1040" w:type="dxa"/>
            <w:vAlign w:val="center"/>
          </w:tcPr>
          <w:p>
            <w:pPr>
              <w:jc w:val="center"/>
              <w:spacing w:after="20" w:line="240" w:lineRule="auto"/>
            </w:pPr>
            <w:r>
              <w:rPr>
                <w:rFonts w:ascii="Times New Roman" w:hAnsi="Times New Roman"/>
                <w:sz w:val="16"/>
                <w:szCs w:val="16"/>
              </w:rPr>
              <w:t xml:space="preserve">15.4216</w:t>
            </w:r>
          </w:p>
        </w:tc>
        <w:tc>
          <w:tcPr>
            <w:tcW w:w="1040" w:type="dxa"/>
            <w:vAlign w:val="center"/>
          </w:tcPr>
          <w:p>
            <w:pPr>
              <w:jc w:val="center"/>
              <w:spacing w:after="20" w:line="240" w:lineRule="auto"/>
            </w:pPr>
            <w:r>
              <w:rPr>
                <w:rFonts w:ascii="Times New Roman" w:hAnsi="Times New Roman"/>
                <w:sz w:val="16"/>
                <w:szCs w:val="16"/>
              </w:rPr>
              <w:t xml:space="preserve">30.0875</w:t>
            </w:r>
          </w:p>
        </w:tc>
        <w:tc>
          <w:tcPr>
            <w:tcW w:w="1040" w:type="dxa"/>
            <w:vAlign w:val="center"/>
          </w:tcPr>
          <w:p>
            <w:pPr>
              <w:jc w:val="center"/>
              <w:spacing w:after="20" w:line="240" w:lineRule="auto"/>
            </w:pPr>
            <w:r>
              <w:rPr>
                <w:rFonts w:ascii="Times New Roman" w:hAnsi="Times New Roman"/>
                <w:sz w:val="16"/>
                <w:szCs w:val="16"/>
              </w:rPr>
              <w:t xml:space="preserve">6.5505</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2.981</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f10</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26.7320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23.2680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f12</w:t>
            </w:r>
          </w:p>
        </w:tc>
        <w:tc>
          <w:tcPr>
            <w:tcW w:w="1040" w:type="dxa"/>
            <w:vAlign w:val="center"/>
          </w:tcPr>
          <w:p>
            <w:pPr>
              <w:jc w:val="center"/>
              <w:spacing w:after="20" w:line="240" w:lineRule="auto"/>
            </w:pPr>
            <w:r>
              <w:rPr>
                <w:rFonts w:ascii="Times New Roman" w:hAnsi="Times New Roman"/>
                <w:sz w:val="16"/>
                <w:szCs w:val="16"/>
              </w:rPr>
              <w:t xml:space="preserve">5.0225</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33.1834</w:t>
            </w:r>
          </w:p>
        </w:tc>
        <w:tc>
          <w:tcPr>
            <w:tcW w:w="1040" w:type="dxa"/>
            <w:vAlign w:val="center"/>
          </w:tcPr>
          <w:p>
            <w:pPr>
              <w:jc w:val="center"/>
              <w:spacing w:after="20" w:line="240" w:lineRule="auto"/>
            </w:pPr>
            <w:r>
              <w:rPr>
                <w:rFonts w:ascii="Times New Roman" w:hAnsi="Times New Roman"/>
                <w:sz w:val="16"/>
                <w:szCs w:val="16"/>
              </w:rPr>
              <w:t xml:space="preserve">6.3129</w:t>
            </w:r>
          </w:p>
        </w:tc>
        <w:tc>
          <w:tcPr>
            <w:tcW w:w="1040" w:type="dxa"/>
            <w:vAlign w:val="center"/>
          </w:tcPr>
          <w:p>
            <w:pPr>
              <w:jc w:val="center"/>
              <w:spacing w:after="20" w:line="240" w:lineRule="auto"/>
            </w:pPr>
            <w:r>
              <w:rPr>
                <w:rFonts w:ascii="Times New Roman" w:hAnsi="Times New Roman"/>
                <w:sz w:val="16"/>
                <w:szCs w:val="16"/>
              </w:rPr>
              <w:t xml:space="preserve">20.4812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2.717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f13</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14.3807</w:t>
            </w:r>
          </w:p>
        </w:tc>
        <w:tc>
          <w:tcPr>
            <w:tcW w:w="1040" w:type="dxa"/>
            <w:vAlign w:val="center"/>
          </w:tcPr>
          <w:p>
            <w:pPr>
              <w:jc w:val="center"/>
              <w:spacing w:after="20" w:line="240" w:lineRule="auto"/>
            </w:pPr>
            <w:r>
              <w:rPr>
                <w:rFonts w:ascii="Times New Roman" w:hAnsi="Times New Roman"/>
                <w:sz w:val="16"/>
                <w:szCs w:val="16"/>
              </w:rPr>
              <w:t xml:space="preserve">30.6193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3.799</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f14</w:t>
            </w:r>
          </w:p>
        </w:tc>
        <w:tc>
          <w:tcPr>
            <w:tcW w:w="1040" w:type="dxa"/>
            <w:vAlign w:val="center"/>
          </w:tcPr>
          <w:p>
            <w:pPr>
              <w:jc w:val="center"/>
              <w:spacing w:after="20" w:line="240" w:lineRule="auto"/>
            </w:pPr>
            <w:r>
              <w:rPr>
                <w:rFonts w:ascii="Times New Roman" w:hAnsi="Times New Roman"/>
                <w:sz w:val="16"/>
                <w:szCs w:val="16"/>
              </w:rPr>
              <w:t xml:space="preserve">7.9942</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28.1671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18.8387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2.322</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f15</w:t>
            </w:r>
          </w:p>
        </w:tc>
        <w:tc>
          <w:tcPr>
            <w:tcW w:w="1040" w:type="dxa"/>
            <w:vAlign w:val="center"/>
          </w:tcPr>
          <w:p>
            <w:pPr>
              <w:jc w:val="center"/>
              <w:spacing w:after="20" w:line="240" w:lineRule="auto"/>
            </w:pPr>
            <w:r>
              <w:rPr>
                <w:rFonts w:ascii="Times New Roman" w:hAnsi="Times New Roman"/>
                <w:sz w:val="16"/>
                <w:szCs w:val="16"/>
              </w:rPr>
              <w:t xml:space="preserve">8.7884</w:t>
            </w:r>
          </w:p>
        </w:tc>
        <w:tc>
          <w:tcPr>
            <w:tcW w:w="1040" w:type="dxa"/>
            <w:vAlign w:val="center"/>
          </w:tcPr>
          <w:p>
            <w:pPr>
              <w:jc w:val="center"/>
              <w:spacing w:after="20" w:line="240" w:lineRule="auto"/>
            </w:pPr>
            <w:r>
              <w:rPr>
                <w:rFonts w:ascii="Times New Roman" w:hAnsi="Times New Roman"/>
                <w:sz w:val="16"/>
                <w:szCs w:val="16"/>
              </w:rPr>
              <w:t xml:space="preserve">15.5402</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5.3529</w:t>
            </w:r>
          </w:p>
        </w:tc>
        <w:tc>
          <w:tcPr>
            <w:tcW w:w="1040" w:type="dxa"/>
            <w:vAlign w:val="center"/>
          </w:tcPr>
          <w:p>
            <w:pPr>
              <w:jc w:val="center"/>
              <w:spacing w:after="20" w:line="240" w:lineRule="auto"/>
            </w:pPr>
            <w:r>
              <w:rPr>
                <w:rFonts w:ascii="Times New Roman" w:hAnsi="Times New Roman"/>
                <w:sz w:val="16"/>
                <w:szCs w:val="16"/>
              </w:rPr>
              <w:t xml:space="preserve">20.3186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2.823</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f16</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11.4468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23.5532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3.337</w:t>
            </w:r>
          </w:p>
        </w:tc>
        <w:tc>
          <w:tcPr>
            <w:tcW w:w="1040" w:type="dxa"/>
            <w:vAlign w:val="center"/>
          </w:tcPr>
          <w:p>
            <w:pPr>
              <w:jc w:val="center"/>
              <w:spacing w:after="20" w:line="240" w:lineRule="auto"/>
            </w:pPr>
            <w:r>
              <w:rPr>
                <w:rFonts w:ascii="Times New Roman" w:hAnsi="Times New Roman"/>
                <w:sz w:val="16"/>
                <w:szCs w:val="16"/>
              </w:rPr>
              <w:t xml:space="preserve">Centre Edge</w:t>
            </w:r>
          </w:p>
        </w:tc>
      </w:tr>
      <w:tr>
        <w:tc>
          <w:tcPr>
            <w:tcW w:w="1040" w:type="dxa"/>
            <w:vAlign w:val="center"/>
          </w:tcPr>
          <w:p>
            <w:pPr>
              <w:jc w:val="center"/>
              <w:spacing w:after="20" w:line="240" w:lineRule="auto"/>
            </w:pPr>
            <w:r>
              <w:rPr>
                <w:rFonts w:ascii="Times New Roman" w:hAnsi="Times New Roman"/>
                <w:sz w:val="16"/>
                <w:szCs w:val="16"/>
              </w:rPr>
              <w:t xml:space="preserve">f17</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19.3687</w:t>
            </w:r>
          </w:p>
        </w:tc>
        <w:tc>
          <w:tcPr>
            <w:tcW w:w="1040" w:type="dxa"/>
            <w:vAlign w:val="center"/>
          </w:tcPr>
          <w:p>
            <w:pPr>
              <w:jc w:val="center"/>
              <w:spacing w:after="20" w:line="240" w:lineRule="auto"/>
            </w:pPr>
            <w:r>
              <w:rPr>
                <w:rFonts w:ascii="Times New Roman" w:hAnsi="Times New Roman"/>
                <w:sz w:val="16"/>
                <w:szCs w:val="16"/>
              </w:rPr>
              <w:t xml:space="preserve">31.7112</w:t>
            </w:r>
          </w:p>
        </w:tc>
        <w:tc>
          <w:tcPr>
            <w:tcW w:w="1040" w:type="dxa"/>
            <w:vAlign w:val="center"/>
          </w:tcPr>
          <w:p>
            <w:pPr>
              <w:jc w:val="center"/>
              <w:spacing w:after="20" w:line="240" w:lineRule="auto"/>
            </w:pPr>
            <w:r>
              <w:rPr>
                <w:rFonts w:ascii="Times New Roman" w:hAnsi="Times New Roman"/>
                <w:sz w:val="16"/>
                <w:szCs w:val="16"/>
              </w:rPr>
              <w:t xml:space="preserve">9.5128</w:t>
            </w:r>
          </w:p>
        </w:tc>
        <w:tc>
          <w:tcPr>
            <w:tcW w:w="1040" w:type="dxa"/>
            <w:vAlign w:val="center"/>
          </w:tcPr>
          <w:p>
            <w:pPr>
              <w:jc w:val="center"/>
              <w:spacing w:after="20" w:line="240" w:lineRule="auto"/>
            </w:pPr>
            <w:r>
              <w:rPr>
                <w:rFonts w:ascii="Times New Roman" w:hAnsi="Times New Roman"/>
                <w:sz w:val="16"/>
                <w:szCs w:val="16"/>
              </w:rPr>
              <w:t xml:space="preserve">14.4072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2.166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f18</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2.100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f19</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16.8752</w:t>
            </w:r>
          </w:p>
        </w:tc>
        <w:tc>
          <w:tcPr>
            <w:tcW w:w="1040" w:type="dxa"/>
            <w:vAlign w:val="center"/>
          </w:tcPr>
          <w:p>
            <w:pPr>
              <w:jc w:val="center"/>
              <w:spacing w:after="20" w:line="240" w:lineRule="auto"/>
            </w:pPr>
            <w:r>
              <w:rPr>
                <w:rFonts w:ascii="Times New Roman" w:hAnsi="Times New Roman"/>
                <w:sz w:val="16"/>
                <w:szCs w:val="16"/>
              </w:rPr>
              <w:t xml:space="preserve">31.3320</w:t>
            </w:r>
          </w:p>
        </w:tc>
        <w:tc>
          <w:tcPr>
            <w:tcW w:w="1040" w:type="dxa"/>
            <w:vAlign w:val="center"/>
          </w:tcPr>
          <w:p>
            <w:pPr>
              <w:jc w:val="center"/>
              <w:spacing w:after="20" w:line="240" w:lineRule="auto"/>
            </w:pPr>
            <w:r>
              <w:rPr>
                <w:rFonts w:ascii="Times New Roman" w:hAnsi="Times New Roman"/>
                <w:sz w:val="16"/>
                <w:szCs w:val="16"/>
              </w:rPr>
              <w:t xml:space="preserve">7.8940</w:t>
            </w:r>
          </w:p>
        </w:tc>
        <w:tc>
          <w:tcPr>
            <w:tcW w:w="1040" w:type="dxa"/>
            <w:vAlign w:val="center"/>
          </w:tcPr>
          <w:p>
            <w:pPr>
              <w:jc w:val="center"/>
              <w:spacing w:after="20" w:line="240" w:lineRule="auto"/>
            </w:pPr>
            <w:r>
              <w:rPr>
                <w:rFonts w:ascii="Times New Roman" w:hAnsi="Times New Roman"/>
                <w:sz w:val="16"/>
                <w:szCs w:val="16"/>
              </w:rPr>
              <w:t xml:space="preserve">18.8989</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2.461</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f21</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25.0000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f22</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34.0733</w:t>
            </w:r>
          </w:p>
        </w:tc>
        <w:tc>
          <w:tcPr>
            <w:tcW w:w="1040" w:type="dxa"/>
            <w:vAlign w:val="center"/>
          </w:tcPr>
          <w:p>
            <w:pPr>
              <w:jc w:val="center"/>
              <w:spacing w:after="20" w:line="240" w:lineRule="auto"/>
            </w:pPr>
            <w:r>
              <w:rPr>
                <w:rFonts w:ascii="Times New Roman" w:hAnsi="Times New Roman"/>
                <w:sz w:val="16"/>
                <w:szCs w:val="16"/>
              </w:rPr>
              <w:t xml:space="preserve">10.0000</w:t>
            </w:r>
          </w:p>
        </w:tc>
        <w:tc>
          <w:tcPr>
            <w:tcW w:w="1040" w:type="dxa"/>
            <w:vAlign w:val="center"/>
          </w:tcPr>
          <w:p>
            <w:pPr>
              <w:jc w:val="center"/>
              <w:spacing w:after="20" w:line="240" w:lineRule="auto"/>
            </w:pPr>
            <w:r>
              <w:rPr>
                <w:rFonts w:ascii="Times New Roman" w:hAnsi="Times New Roman"/>
                <w:sz w:val="16"/>
                <w:szCs w:val="16"/>
              </w:rPr>
              <w:t xml:space="preserve">20.9267</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3.650</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f23</w:t>
            </w:r>
          </w:p>
        </w:tc>
        <w:tc>
          <w:tcPr>
            <w:tcW w:w="1040" w:type="dxa"/>
            <w:vAlign w:val="center"/>
          </w:tcPr>
          <w:p>
            <w:pPr>
              <w:jc w:val="center"/>
              <w:spacing w:after="20" w:line="240" w:lineRule="auto"/>
            </w:pPr>
            <w:r>
              <w:rPr>
                <w:rFonts w:ascii="Times New Roman" w:hAnsi="Times New Roman"/>
                <w:sz w:val="16"/>
                <w:szCs w:val="16"/>
              </w:rPr>
              <w:t xml:space="preserve">7.9677</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6.0136</w:t>
            </w:r>
          </w:p>
        </w:tc>
        <w:tc>
          <w:tcPr>
            <w:tcW w:w="1040" w:type="dxa"/>
            <w:vAlign w:val="center"/>
          </w:tcPr>
          <w:p>
            <w:pPr>
              <w:jc w:val="center"/>
              <w:spacing w:after="20" w:line="240" w:lineRule="auto"/>
            </w:pPr>
            <w:r>
              <w:rPr>
                <w:rFonts w:ascii="Times New Roman" w:hAnsi="Times New Roman"/>
                <w:sz w:val="16"/>
                <w:szCs w:val="16"/>
              </w:rPr>
              <w:t xml:space="preserve">16.0186</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2.326</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f24</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16.1588</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23.8412</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3.395</w:t>
            </w:r>
          </w:p>
        </w:tc>
        <w:tc>
          <w:tcPr>
            <w:tcW w:w="1040" w:type="dxa"/>
            <w:vAlign w:val="center"/>
          </w:tcPr>
          <w:p>
            <w:pPr>
              <w:jc w:val="center"/>
              <w:spacing w:after="20" w:line="240" w:lineRule="auto"/>
            </w:pPr>
            <w:r>
              <w:rPr>
                <w:rFonts w:ascii="Times New Roman" w:hAnsi="Times New Roman"/>
                <w:sz w:val="16"/>
                <w:szCs w:val="16"/>
              </w:rPr>
              <w:t xml:space="preserve">Plane Centre</w:t>
            </w:r>
          </w:p>
        </w:tc>
      </w:tr>
      <w:tr>
        <w:tc>
          <w:tcPr>
            <w:tcW w:w="1040" w:type="dxa"/>
            <w:vAlign w:val="center"/>
          </w:tcPr>
          <w:p>
            <w:pPr>
              <w:jc w:val="center"/>
              <w:spacing w:after="20" w:line="240" w:lineRule="auto"/>
            </w:pPr>
            <w:r>
              <w:rPr>
                <w:rFonts w:ascii="Times New Roman" w:hAnsi="Times New Roman"/>
                <w:sz w:val="16"/>
                <w:szCs w:val="16"/>
              </w:rPr>
              <w:t xml:space="preserve">f25</w:t>
            </w:r>
          </w:p>
        </w:tc>
        <w:tc>
          <w:tcPr>
            <w:tcW w:w="1040" w:type="dxa"/>
            <w:vAlign w:val="center"/>
          </w:tcPr>
          <w:p>
            <w:pPr>
              <w:jc w:val="center"/>
              <w:spacing w:after="20" w:line="240" w:lineRule="auto"/>
            </w:pPr>
            <w:r>
              <w:rPr>
                <w:rFonts w:ascii="Times New Roman" w:hAnsi="Times New Roman"/>
                <w:sz w:val="16"/>
                <w:szCs w:val="16"/>
              </w:rPr>
              <w:t xml:space="preserve">5.0000</w:t>
            </w:r>
          </w:p>
        </w:tc>
        <w:tc>
          <w:tcPr>
            <w:tcW w:w="1040" w:type="dxa"/>
            <w:vAlign w:val="center"/>
          </w:tcPr>
          <w:p>
            <w:pPr>
              <w:jc w:val="center"/>
              <w:spacing w:after="20" w:line="240" w:lineRule="auto"/>
            </w:pPr>
            <w:r>
              <w:rPr>
                <w:rFonts w:ascii="Times New Roman" w:hAnsi="Times New Roman"/>
                <w:sz w:val="16"/>
                <w:szCs w:val="16"/>
              </w:rPr>
              <w:t xml:space="preserve">20.0000</w:t>
            </w:r>
          </w:p>
        </w:tc>
        <w:tc>
          <w:tcPr>
            <w:tcW w:w="1040" w:type="dxa"/>
            <w:vAlign w:val="center"/>
          </w:tcPr>
          <w:p>
            <w:pPr>
              <w:jc w:val="center"/>
              <w:spacing w:after="20" w:line="240" w:lineRule="auto"/>
            </w:pPr>
            <w:r>
              <w:rPr>
                <w:rFonts w:ascii="Times New Roman" w:hAnsi="Times New Roman"/>
                <w:sz w:val="16"/>
                <w:szCs w:val="16"/>
              </w:rPr>
              <w:t xml:space="preserve">35.0000</w:t>
            </w:r>
          </w:p>
        </w:tc>
        <w:tc>
          <w:tcPr>
            <w:tcW w:w="1040" w:type="dxa"/>
            <w:vAlign w:val="center"/>
          </w:tcPr>
          <w:p>
            <w:pPr>
              <w:jc w:val="center"/>
              <w:spacing w:after="20" w:line="240" w:lineRule="auto"/>
            </w:pPr>
            <w:r>
              <w:rPr>
                <w:rFonts w:ascii="Times New Roman" w:hAnsi="Times New Roman"/>
                <w:sz w:val="16"/>
                <w:szCs w:val="16"/>
              </w:rPr>
              <w:t xml:space="preserve">9.3000</w:t>
            </w:r>
          </w:p>
        </w:tc>
        <w:tc>
          <w:tcPr>
            <w:tcW w:w="1040" w:type="dxa"/>
            <w:vAlign w:val="center"/>
          </w:tcPr>
          <w:p>
            <w:pPr>
              <w:jc w:val="center"/>
              <w:spacing w:after="20" w:line="240" w:lineRule="auto"/>
            </w:pPr>
            <w:r>
              <w:rPr>
                <w:rFonts w:ascii="Times New Roman" w:hAnsi="Times New Roman"/>
                <w:sz w:val="16"/>
                <w:szCs w:val="16"/>
              </w:rPr>
              <w:t xml:space="preserve">15.7000</w:t>
            </w:r>
          </w:p>
        </w:tc>
        <w:tc>
          <w:tcPr>
            <w:tcW w:w="1040" w:type="dxa"/>
            <w:vAlign w:val="center"/>
          </w:tcPr>
          <w:p>
            <w:pPr>
              <w:jc w:val="center"/>
              <w:spacing w:after="20" w:line="240" w:lineRule="auto"/>
            </w:pPr>
            <w:r>
              <w:rPr>
                <w:rFonts w:ascii="Times New Roman" w:hAnsi="Times New Roman"/>
                <w:sz w:val="16"/>
                <w:szCs w:val="16"/>
              </w:rPr>
              <w:t xml:space="preserve">8.0000</w:t>
            </w:r>
          </w:p>
        </w:tc>
        <w:tc>
          <w:tcPr>
            <w:tcW w:w="1040" w:type="dxa"/>
            <w:vAlign w:val="center"/>
          </w:tcPr>
          <w:p>
            <w:pPr>
              <w:jc w:val="center"/>
              <w:spacing w:after="20" w:line="240" w:lineRule="auto"/>
            </w:pPr>
            <w:r>
              <w:rPr>
                <w:rFonts w:ascii="Times New Roman" w:hAnsi="Times New Roman"/>
                <w:sz w:val="16"/>
                <w:szCs w:val="16"/>
              </w:rPr>
              <w:t xml:space="preserve">2.720</w:t>
            </w:r>
          </w:p>
        </w:tc>
        <w:tc>
          <w:tcPr>
            <w:tcW w:w="1040" w:type="dxa"/>
            <w:vAlign w:val="center"/>
          </w:tcPr>
          <w:p>
            <w:pPr>
              <w:jc w:val="center"/>
              <w:spacing w:after="20" w:line="240" w:lineRule="auto"/>
            </w:pPr>
            <w:r>
              <w:rPr>
                <w:rFonts w:ascii="Times New Roman" w:hAnsi="Times New Roman"/>
                <w:sz w:val="16"/>
                <w:szCs w:val="16"/>
              </w:rPr>
              <w:t xml:space="preserve">Overall Centroid</w:t>
            </w:r>
          </w:p>
        </w:tc>
      </w:tr>
    </w:tbl>
    <w:p>
      <w:pPr>
        <w:spacing w:after="120"/>
      </w:pPr>
    </w:p>
    <w:p>
      <w:pPr>
        <w:jc w:val="both"/>
      </w:pPr>
      <w:r>
        <w:rPr>
          <w:rFonts w:ascii="Times New Roman" w:hAnsi="Times New Roman"/>
          <w:sz w:val="24"/>
          <w:szCs w:val="24"/>
        </w:rPr>
        <w:t xml:space="preserve">A high level of SiO₂ and TiO₂ reduced the basicity index, which is generally responsible for producing liquid slags. Addition of BaO and the constant 8% CaO, on the other hand, led to an increase in the index, because BaO is related to a higher desulfurization potential and better slag separation from the weld metal.</w:t>
      </w:r>
    </w:p>
    <w:p>
      <w:pPr>
        <w:jc w:val="center"/>
        <w:spacing w:before="160" w:after="60"/>
        <w:keepNext/>
      </w:pPr>
      <w:r>
        <w:rPr>
          <w:b/>
          <w:rFonts w:ascii="Times New Roman" w:hAnsi="Times New Roman"/>
          <w:sz w:val="22"/>
          <w:szCs w:val="22"/>
        </w:rPr>
        <w:t xml:space="preserve">Table 4.3  Chemical composition and micro-hardness analysis of multipass beads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780"/>
        <w:gridCol w:w="780"/>
        <w:gridCol w:w="780"/>
        <w:gridCol w:w="780"/>
        <w:gridCol w:w="780"/>
        <w:gridCol w:w="780"/>
        <w:gridCol w:w="780"/>
        <w:gridCol w:w="780"/>
        <w:gridCol w:w="780"/>
        <w:gridCol w:w="780"/>
        <w:gridCol w:w="780"/>
        <w:gridCol w:w="780"/>
      </w:tblGrid>
      <w:tr>
        <w:trPr>
          <w:tblHeader/>
        </w:trPr>
        <w:tc>
          <w:tcPr>
            <w:tcW w:w="780" w:type="dxa"/>
            <w:vAlign w:val="center"/>
            <w:shd w:val="clear" w:color="auto" w:fill="D9E2F3"/>
          </w:tcPr>
          <w:p>
            <w:pPr>
              <w:jc w:val="center"/>
              <w:spacing w:after="20" w:line="240" w:lineRule="auto"/>
            </w:pPr>
            <w:r>
              <w:rPr>
                <w:b/>
                <w:rFonts w:ascii="Times New Roman" w:hAnsi="Times New Roman"/>
                <w:sz w:val="15"/>
                <w:szCs w:val="15"/>
              </w:rPr>
              <w:t xml:space="preserve">Flux</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P</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Mn</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Ni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Cr</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Mo</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Ti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MH (HV)</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CE</w:t>
            </w:r>
          </w:p>
        </w:tc>
      </w:tr>
      <w:tr>
        <w:tc>
          <w:tcPr>
            <w:tcW w:w="780" w:type="dxa"/>
            <w:vAlign w:val="center"/>
          </w:tcPr>
          <w:p>
            <w:pPr>
              <w:jc w:val="center"/>
              <w:spacing w:after="20" w:line="240" w:lineRule="auto"/>
            </w:pPr>
            <w:r>
              <w:rPr>
                <w:rFonts w:ascii="Times New Roman" w:hAnsi="Times New Roman"/>
                <w:sz w:val="15"/>
                <w:szCs w:val="15"/>
              </w:rPr>
              <w:t xml:space="preserve">f1</w:t>
            </w:r>
          </w:p>
        </w:tc>
        <w:tc>
          <w:tcPr>
            <w:tcW w:w="780" w:type="dxa"/>
            <w:vAlign w:val="center"/>
          </w:tcPr>
          <w:p>
            <w:pPr>
              <w:jc w:val="center"/>
              <w:spacing w:after="20" w:line="240" w:lineRule="auto"/>
            </w:pPr>
            <w:r>
              <w:rPr>
                <w:rFonts w:ascii="Times New Roman" w:hAnsi="Times New Roman"/>
                <w:sz w:val="15"/>
                <w:szCs w:val="15"/>
              </w:rPr>
              <w:t xml:space="preserve">0.0425</w:t>
            </w:r>
          </w:p>
        </w:tc>
        <w:tc>
          <w:tcPr>
            <w:tcW w:w="780" w:type="dxa"/>
            <w:vAlign w:val="center"/>
          </w:tcPr>
          <w:p>
            <w:pPr>
              <w:jc w:val="center"/>
              <w:spacing w:after="20" w:line="240" w:lineRule="auto"/>
            </w:pPr>
            <w:r>
              <w:rPr>
                <w:rFonts w:ascii="Times New Roman" w:hAnsi="Times New Roman"/>
                <w:sz w:val="15"/>
                <w:szCs w:val="15"/>
              </w:rPr>
              <w:t xml:space="preserve">0.1670</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0.7876</w:t>
            </w:r>
          </w:p>
        </w:tc>
        <w:tc>
          <w:tcPr>
            <w:tcW w:w="780" w:type="dxa"/>
            <w:vAlign w:val="center"/>
          </w:tcPr>
          <w:p>
            <w:pPr>
              <w:jc w:val="center"/>
              <w:spacing w:after="20" w:line="240" w:lineRule="auto"/>
            </w:pPr>
            <w:r>
              <w:rPr>
                <w:rFonts w:ascii="Times New Roman" w:hAnsi="Times New Roman"/>
                <w:sz w:val="15"/>
                <w:szCs w:val="15"/>
              </w:rPr>
              <w:t xml:space="preserve">0.0100</w:t>
            </w:r>
          </w:p>
        </w:tc>
        <w:tc>
          <w:tcPr>
            <w:tcW w:w="780" w:type="dxa"/>
            <w:vAlign w:val="center"/>
          </w:tcPr>
          <w:p>
            <w:pPr>
              <w:jc w:val="center"/>
              <w:spacing w:after="20" w:line="240" w:lineRule="auto"/>
            </w:pPr>
            <w:r>
              <w:rPr>
                <w:rFonts w:ascii="Times New Roman" w:hAnsi="Times New Roman"/>
                <w:sz w:val="15"/>
                <w:szCs w:val="15"/>
              </w:rPr>
              <w:t xml:space="preserve">0.0333</w:t>
            </w:r>
          </w:p>
        </w:tc>
        <w:tc>
          <w:tcPr>
            <w:tcW w:w="780" w:type="dxa"/>
            <w:vAlign w:val="center"/>
          </w:tcPr>
          <w:p>
            <w:pPr>
              <w:jc w:val="center"/>
              <w:spacing w:after="20" w:line="240" w:lineRule="auto"/>
            </w:pPr>
            <w:r>
              <w:rPr>
                <w:rFonts w:ascii="Times New Roman" w:hAnsi="Times New Roman"/>
                <w:sz w:val="15"/>
                <w:szCs w:val="15"/>
              </w:rPr>
              <w:t xml:space="preserve">0.2391</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185</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w:t>
            </w:r>
          </w:p>
        </w:tc>
        <w:tc>
          <w:tcPr>
            <w:tcW w:w="780" w:type="dxa"/>
            <w:vAlign w:val="center"/>
          </w:tcPr>
          <w:p>
            <w:pPr>
              <w:jc w:val="center"/>
              <w:spacing w:after="20" w:line="240" w:lineRule="auto"/>
            </w:pPr>
            <w:r>
              <w:rPr>
                <w:rFonts w:ascii="Times New Roman" w:hAnsi="Times New Roman"/>
                <w:sz w:val="15"/>
                <w:szCs w:val="15"/>
              </w:rPr>
              <w:t xml:space="preserve">0.0361</w:t>
            </w:r>
          </w:p>
        </w:tc>
        <w:tc>
          <w:tcPr>
            <w:tcW w:w="780" w:type="dxa"/>
            <w:vAlign w:val="center"/>
          </w:tcPr>
          <w:p>
            <w:pPr>
              <w:jc w:val="center"/>
              <w:spacing w:after="20" w:line="240" w:lineRule="auto"/>
            </w:pPr>
            <w:r>
              <w:rPr>
                <w:rFonts w:ascii="Times New Roman" w:hAnsi="Times New Roman"/>
                <w:sz w:val="15"/>
                <w:szCs w:val="15"/>
              </w:rPr>
              <w:t xml:space="preserve">0.2325</w:t>
            </w:r>
          </w:p>
        </w:tc>
        <w:tc>
          <w:tcPr>
            <w:tcW w:w="780" w:type="dxa"/>
            <w:vAlign w:val="center"/>
          </w:tcPr>
          <w:p>
            <w:pPr>
              <w:jc w:val="center"/>
              <w:spacing w:after="20" w:line="240" w:lineRule="auto"/>
            </w:pPr>
            <w:r>
              <w:rPr>
                <w:rFonts w:ascii="Times New Roman" w:hAnsi="Times New Roman"/>
                <w:sz w:val="15"/>
                <w:szCs w:val="15"/>
              </w:rPr>
              <w:t xml:space="preserve">0.0138</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0.7854</w:t>
            </w:r>
          </w:p>
        </w:tc>
        <w:tc>
          <w:tcPr>
            <w:tcW w:w="780" w:type="dxa"/>
            <w:vAlign w:val="center"/>
          </w:tcPr>
          <w:p>
            <w:pPr>
              <w:jc w:val="center"/>
              <w:spacing w:after="20" w:line="240" w:lineRule="auto"/>
            </w:pPr>
            <w:r>
              <w:rPr>
                <w:rFonts w:ascii="Times New Roman" w:hAnsi="Times New Roman"/>
                <w:sz w:val="15"/>
                <w:szCs w:val="15"/>
              </w:rPr>
              <w:t xml:space="preserve">0.0998</w:t>
            </w:r>
          </w:p>
        </w:tc>
        <w:tc>
          <w:tcPr>
            <w:tcW w:w="780" w:type="dxa"/>
            <w:vAlign w:val="center"/>
          </w:tcPr>
          <w:p>
            <w:pPr>
              <w:jc w:val="center"/>
              <w:spacing w:after="20" w:line="240" w:lineRule="auto"/>
            </w:pPr>
            <w:r>
              <w:rPr>
                <w:rFonts w:ascii="Times New Roman" w:hAnsi="Times New Roman"/>
                <w:sz w:val="15"/>
                <w:szCs w:val="15"/>
              </w:rPr>
              <w:t xml:space="preserve">0.0426</w:t>
            </w:r>
          </w:p>
        </w:tc>
        <w:tc>
          <w:tcPr>
            <w:tcW w:w="780" w:type="dxa"/>
            <w:vAlign w:val="center"/>
          </w:tcPr>
          <w:p>
            <w:pPr>
              <w:jc w:val="center"/>
              <w:spacing w:after="20" w:line="240" w:lineRule="auto"/>
            </w:pPr>
            <w:r>
              <w:rPr>
                <w:rFonts w:ascii="Times New Roman" w:hAnsi="Times New Roman"/>
                <w:sz w:val="15"/>
                <w:szCs w:val="15"/>
              </w:rPr>
              <w:t xml:space="preserve">0.1923</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190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f3</w:t>
            </w:r>
          </w:p>
        </w:tc>
        <w:tc>
          <w:tcPr>
            <w:tcW w:w="780" w:type="dxa"/>
            <w:vAlign w:val="center"/>
          </w:tcPr>
          <w:p>
            <w:pPr>
              <w:jc w:val="center"/>
              <w:spacing w:after="20" w:line="240" w:lineRule="auto"/>
            </w:pPr>
            <w:r>
              <w:rPr>
                <w:rFonts w:ascii="Times New Roman" w:hAnsi="Times New Roman"/>
                <w:sz w:val="15"/>
                <w:szCs w:val="15"/>
              </w:rPr>
              <w:t xml:space="preserve">0.0412</w:t>
            </w:r>
          </w:p>
        </w:tc>
        <w:tc>
          <w:tcPr>
            <w:tcW w:w="780" w:type="dxa"/>
            <w:vAlign w:val="center"/>
          </w:tcPr>
          <w:p>
            <w:pPr>
              <w:jc w:val="center"/>
              <w:spacing w:after="20" w:line="240" w:lineRule="auto"/>
            </w:pPr>
            <w:r>
              <w:rPr>
                <w:rFonts w:ascii="Times New Roman" w:hAnsi="Times New Roman"/>
                <w:sz w:val="15"/>
                <w:szCs w:val="15"/>
              </w:rPr>
              <w:t xml:space="preserve">0.2677</w:t>
            </w:r>
          </w:p>
        </w:tc>
        <w:tc>
          <w:tcPr>
            <w:tcW w:w="780" w:type="dxa"/>
            <w:vAlign w:val="center"/>
          </w:tcPr>
          <w:p>
            <w:pPr>
              <w:jc w:val="center"/>
              <w:spacing w:after="20" w:line="240" w:lineRule="auto"/>
            </w:pPr>
            <w:r>
              <w:rPr>
                <w:rFonts w:ascii="Times New Roman" w:hAnsi="Times New Roman"/>
                <w:sz w:val="15"/>
                <w:szCs w:val="15"/>
              </w:rPr>
              <w:t xml:space="preserve">0.0114</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0.6723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0.0304</w:t>
            </w:r>
          </w:p>
        </w:tc>
        <w:tc>
          <w:tcPr>
            <w:tcW w:w="780" w:type="dxa"/>
            <w:vAlign w:val="center"/>
          </w:tcPr>
          <w:p>
            <w:pPr>
              <w:jc w:val="center"/>
              <w:spacing w:after="20" w:line="240" w:lineRule="auto"/>
            </w:pPr>
            <w:r>
              <w:rPr>
                <w:rFonts w:ascii="Times New Roman" w:hAnsi="Times New Roman"/>
                <w:sz w:val="15"/>
                <w:szCs w:val="15"/>
              </w:rPr>
              <w:t xml:space="preserve">0.2011</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f4</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0.1839</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0.5241</w:t>
            </w:r>
          </w:p>
        </w:tc>
        <w:tc>
          <w:tcPr>
            <w:tcW w:w="780" w:type="dxa"/>
            <w:vAlign w:val="center"/>
          </w:tcPr>
          <w:p>
            <w:pPr>
              <w:jc w:val="center"/>
              <w:spacing w:after="20" w:line="240" w:lineRule="auto"/>
            </w:pPr>
            <w:r>
              <w:rPr>
                <w:rFonts w:ascii="Times New Roman" w:hAnsi="Times New Roman"/>
                <w:sz w:val="15"/>
                <w:szCs w:val="15"/>
              </w:rPr>
              <w:t xml:space="preserve">0.0896</w:t>
            </w:r>
          </w:p>
        </w:tc>
        <w:tc>
          <w:tcPr>
            <w:tcW w:w="780" w:type="dxa"/>
            <w:vAlign w:val="center"/>
          </w:tcPr>
          <w:p>
            <w:pPr>
              <w:jc w:val="center"/>
              <w:spacing w:after="20" w:line="240" w:lineRule="auto"/>
            </w:pPr>
            <w:r>
              <w:rPr>
                <w:rFonts w:ascii="Times New Roman" w:hAnsi="Times New Roman"/>
                <w:sz w:val="15"/>
                <w:szCs w:val="15"/>
              </w:rPr>
              <w:t xml:space="preserve">0.0281</w:t>
            </w:r>
          </w:p>
        </w:tc>
        <w:tc>
          <w:tcPr>
            <w:tcW w:w="780" w:type="dxa"/>
            <w:vAlign w:val="center"/>
          </w:tcPr>
          <w:p>
            <w:pPr>
              <w:jc w:val="center"/>
              <w:spacing w:after="20" w:line="240" w:lineRule="auto"/>
            </w:pPr>
            <w:r>
              <w:rPr>
                <w:rFonts w:ascii="Times New Roman" w:hAnsi="Times New Roman"/>
                <w:sz w:val="15"/>
                <w:szCs w:val="15"/>
              </w:rPr>
              <w:t xml:space="preserve">0.2711</w:t>
            </w:r>
          </w:p>
        </w:tc>
        <w:tc>
          <w:tcPr>
            <w:tcW w:w="780" w:type="dxa"/>
            <w:vAlign w:val="center"/>
          </w:tcPr>
          <w:p>
            <w:pPr>
              <w:jc w:val="center"/>
              <w:spacing w:after="20" w:line="240" w:lineRule="auto"/>
            </w:pPr>
            <w:r>
              <w:rPr>
                <w:rFonts w:ascii="Times New Roman" w:hAnsi="Times New Roman"/>
                <w:sz w:val="15"/>
                <w:szCs w:val="15"/>
              </w:rPr>
              <w:t xml:space="preserve">0.0021</w:t>
            </w:r>
          </w:p>
        </w:tc>
        <w:tc>
          <w:tcPr>
            <w:tcW w:w="780" w:type="dxa"/>
            <w:vAlign w:val="center"/>
          </w:tcPr>
          <w:p>
            <w:pPr>
              <w:jc w:val="center"/>
              <w:spacing w:after="20" w:line="240" w:lineRule="auto"/>
            </w:pPr>
            <w:r>
              <w:rPr>
                <w:rFonts w:ascii="Times New Roman" w:hAnsi="Times New Roman"/>
                <w:sz w:val="15"/>
                <w:szCs w:val="15"/>
              </w:rPr>
              <w:t xml:space="preserve">220</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f5</w:t>
            </w:r>
          </w:p>
        </w:tc>
        <w:tc>
          <w:tcPr>
            <w:tcW w:w="780" w:type="dxa"/>
            <w:vAlign w:val="center"/>
          </w:tcPr>
          <w:p>
            <w:pPr>
              <w:jc w:val="center"/>
              <w:spacing w:after="20" w:line="240" w:lineRule="auto"/>
            </w:pPr>
            <w:r>
              <w:rPr>
                <w:rFonts w:ascii="Times New Roman" w:hAnsi="Times New Roman"/>
                <w:sz w:val="15"/>
                <w:szCs w:val="15"/>
              </w:rPr>
              <w:t xml:space="preserve">0.0500</w:t>
            </w:r>
          </w:p>
        </w:tc>
        <w:tc>
          <w:tcPr>
            <w:tcW w:w="780" w:type="dxa"/>
            <w:vAlign w:val="center"/>
          </w:tcPr>
          <w:p>
            <w:pPr>
              <w:jc w:val="center"/>
              <w:spacing w:after="20" w:line="240" w:lineRule="auto"/>
            </w:pPr>
            <w:r>
              <w:rPr>
                <w:rFonts w:ascii="Times New Roman" w:hAnsi="Times New Roman"/>
                <w:sz w:val="15"/>
                <w:szCs w:val="15"/>
              </w:rPr>
              <w:t xml:space="preserve">0.2120</w:t>
            </w:r>
          </w:p>
        </w:tc>
        <w:tc>
          <w:tcPr>
            <w:tcW w:w="780" w:type="dxa"/>
            <w:vAlign w:val="center"/>
          </w:tcPr>
          <w:p>
            <w:pPr>
              <w:jc w:val="center"/>
              <w:spacing w:after="20" w:line="240" w:lineRule="auto"/>
            </w:pPr>
            <w:r>
              <w:rPr>
                <w:rFonts w:ascii="Times New Roman" w:hAnsi="Times New Roman"/>
                <w:sz w:val="15"/>
                <w:szCs w:val="15"/>
              </w:rPr>
              <w:t xml:space="preserve">0.0184</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0.6729</w:t>
            </w:r>
          </w:p>
        </w:tc>
        <w:tc>
          <w:tcPr>
            <w:tcW w:w="780" w:type="dxa"/>
            <w:vAlign w:val="center"/>
          </w:tcPr>
          <w:p>
            <w:pPr>
              <w:jc w:val="center"/>
              <w:spacing w:after="20" w:line="240" w:lineRule="auto"/>
            </w:pPr>
            <w:r>
              <w:rPr>
                <w:rFonts w:ascii="Times New Roman" w:hAnsi="Times New Roman"/>
                <w:sz w:val="15"/>
                <w:szCs w:val="15"/>
              </w:rPr>
              <w:t xml:space="preserve">0.0795</w:t>
            </w:r>
          </w:p>
        </w:tc>
        <w:tc>
          <w:tcPr>
            <w:tcW w:w="780" w:type="dxa"/>
            <w:vAlign w:val="center"/>
          </w:tcPr>
          <w:p>
            <w:pPr>
              <w:jc w:val="center"/>
              <w:spacing w:after="20" w:line="240" w:lineRule="auto"/>
            </w:pPr>
            <w:r>
              <w:rPr>
                <w:rFonts w:ascii="Times New Roman" w:hAnsi="Times New Roman"/>
                <w:sz w:val="15"/>
                <w:szCs w:val="15"/>
              </w:rPr>
              <w:t xml:space="preserve">0.0417</w:t>
            </w:r>
          </w:p>
        </w:tc>
        <w:tc>
          <w:tcPr>
            <w:tcW w:w="780" w:type="dxa"/>
            <w:vAlign w:val="center"/>
          </w:tcPr>
          <w:p>
            <w:pPr>
              <w:jc w:val="center"/>
              <w:spacing w:after="20" w:line="240" w:lineRule="auto"/>
            </w:pPr>
            <w:r>
              <w:rPr>
                <w:rFonts w:ascii="Times New Roman" w:hAnsi="Times New Roman"/>
                <w:sz w:val="15"/>
                <w:szCs w:val="15"/>
              </w:rPr>
              <w:t xml:space="preserve">0.2042</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f6</w:t>
            </w:r>
          </w:p>
        </w:tc>
        <w:tc>
          <w:tcPr>
            <w:tcW w:w="780" w:type="dxa"/>
            <w:vAlign w:val="center"/>
          </w:tcPr>
          <w:p>
            <w:pPr>
              <w:jc w:val="center"/>
              <w:spacing w:after="20" w:line="240" w:lineRule="auto"/>
            </w:pPr>
            <w:r>
              <w:rPr>
                <w:rFonts w:ascii="Times New Roman" w:hAnsi="Times New Roman"/>
                <w:sz w:val="15"/>
                <w:szCs w:val="15"/>
              </w:rPr>
              <w:t xml:space="preserve">0.0503</w:t>
            </w:r>
          </w:p>
        </w:tc>
        <w:tc>
          <w:tcPr>
            <w:tcW w:w="780" w:type="dxa"/>
            <w:vAlign w:val="center"/>
          </w:tcPr>
          <w:p>
            <w:pPr>
              <w:jc w:val="center"/>
              <w:spacing w:after="20" w:line="240" w:lineRule="auto"/>
            </w:pPr>
            <w:r>
              <w:rPr>
                <w:rFonts w:ascii="Times New Roman" w:hAnsi="Times New Roman"/>
                <w:sz w:val="15"/>
                <w:szCs w:val="15"/>
              </w:rPr>
              <w:t xml:space="preserve">0.1745</w:t>
            </w:r>
          </w:p>
        </w:tc>
        <w:tc>
          <w:tcPr>
            <w:tcW w:w="780" w:type="dxa"/>
            <w:vAlign w:val="center"/>
          </w:tcPr>
          <w:p>
            <w:pPr>
              <w:jc w:val="center"/>
              <w:spacing w:after="20" w:line="240" w:lineRule="auto"/>
            </w:pPr>
            <w:r>
              <w:rPr>
                <w:rFonts w:ascii="Times New Roman" w:hAnsi="Times New Roman"/>
                <w:sz w:val="15"/>
                <w:szCs w:val="15"/>
              </w:rPr>
              <w:t xml:space="preserve">0.0192</w:t>
            </w:r>
          </w:p>
        </w:tc>
        <w:tc>
          <w:tcPr>
            <w:tcW w:w="780" w:type="dxa"/>
            <w:vAlign w:val="center"/>
          </w:tcPr>
          <w:p>
            <w:pPr>
              <w:jc w:val="center"/>
              <w:spacing w:after="20" w:line="240" w:lineRule="auto"/>
            </w:pPr>
            <w:r>
              <w:rPr>
                <w:rFonts w:ascii="Times New Roman" w:hAnsi="Times New Roman"/>
                <w:sz w:val="15"/>
                <w:szCs w:val="15"/>
              </w:rPr>
              <w:t xml:space="preserve">0.0036</w:t>
            </w:r>
          </w:p>
        </w:tc>
        <w:tc>
          <w:tcPr>
            <w:tcW w:w="780" w:type="dxa"/>
            <w:vAlign w:val="center"/>
          </w:tcPr>
          <w:p>
            <w:pPr>
              <w:jc w:val="center"/>
              <w:spacing w:after="20" w:line="240" w:lineRule="auto"/>
            </w:pPr>
            <w:r>
              <w:rPr>
                <w:rFonts w:ascii="Times New Roman" w:hAnsi="Times New Roman"/>
                <w:sz w:val="15"/>
                <w:szCs w:val="15"/>
              </w:rPr>
              <w:t xml:space="preserve">0.6641</w:t>
            </w:r>
          </w:p>
        </w:tc>
        <w:tc>
          <w:tcPr>
            <w:tcW w:w="780" w:type="dxa"/>
            <w:vAlign w:val="center"/>
          </w:tcPr>
          <w:p>
            <w:pPr>
              <w:jc w:val="center"/>
              <w:spacing w:after="20" w:line="240" w:lineRule="auto"/>
            </w:pPr>
            <w:r>
              <w:rPr>
                <w:rFonts w:ascii="Times New Roman" w:hAnsi="Times New Roman"/>
                <w:sz w:val="15"/>
                <w:szCs w:val="15"/>
              </w:rPr>
              <w:t xml:space="preserve">0.0691</w:t>
            </w:r>
          </w:p>
        </w:tc>
        <w:tc>
          <w:tcPr>
            <w:tcW w:w="780" w:type="dxa"/>
            <w:vAlign w:val="center"/>
          </w:tcPr>
          <w:p>
            <w:pPr>
              <w:jc w:val="center"/>
              <w:spacing w:after="20" w:line="240" w:lineRule="auto"/>
            </w:pPr>
            <w:r>
              <w:rPr>
                <w:rFonts w:ascii="Times New Roman" w:hAnsi="Times New Roman"/>
                <w:sz w:val="15"/>
                <w:szCs w:val="15"/>
              </w:rPr>
              <w:t xml:space="preserve">0.0336</w:t>
            </w:r>
          </w:p>
        </w:tc>
        <w:tc>
          <w:tcPr>
            <w:tcW w:w="780" w:type="dxa"/>
            <w:vAlign w:val="center"/>
          </w:tcPr>
          <w:p>
            <w:pPr>
              <w:jc w:val="center"/>
              <w:spacing w:after="20" w:line="240" w:lineRule="auto"/>
            </w:pPr>
            <w:r>
              <w:rPr>
                <w:rFonts w:ascii="Times New Roman" w:hAnsi="Times New Roman"/>
                <w:sz w:val="15"/>
                <w:szCs w:val="15"/>
              </w:rPr>
              <w:t xml:space="preserve">0.2456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178</w:t>
            </w:r>
          </w:p>
        </w:tc>
        <w:tc>
          <w:tcPr>
            <w:tcW w:w="780" w:type="dxa"/>
            <w:vAlign w:val="center"/>
          </w:tcPr>
          <w:p>
            <w:pPr>
              <w:jc w:val="center"/>
              <w:spacing w:after="20" w:line="240" w:lineRule="auto"/>
            </w:pPr>
            <w:r>
              <w:rPr>
                <w:rFonts w:ascii="Times New Roman" w:hAnsi="Times New Roman"/>
                <w:sz w:val="15"/>
                <w:szCs w:val="15"/>
              </w:rPr>
              <w:t xml:space="preserve">0.19</w:t>
            </w:r>
          </w:p>
        </w:tc>
      </w:tr>
      <w:tr>
        <w:tc>
          <w:tcPr>
            <w:tcW w:w="780" w:type="dxa"/>
            <w:vAlign w:val="center"/>
          </w:tcPr>
          <w:p>
            <w:pPr>
              <w:jc w:val="center"/>
              <w:spacing w:after="20" w:line="240" w:lineRule="auto"/>
            </w:pPr>
            <w:r>
              <w:rPr>
                <w:rFonts w:ascii="Times New Roman" w:hAnsi="Times New Roman"/>
                <w:sz w:val="15"/>
                <w:szCs w:val="15"/>
              </w:rPr>
              <w:t xml:space="preserve">f7</w:t>
            </w:r>
          </w:p>
        </w:tc>
        <w:tc>
          <w:tcPr>
            <w:tcW w:w="780" w:type="dxa"/>
            <w:vAlign w:val="center"/>
          </w:tcPr>
          <w:p>
            <w:pPr>
              <w:jc w:val="center"/>
              <w:spacing w:after="20" w:line="240" w:lineRule="auto"/>
            </w:pPr>
            <w:r>
              <w:rPr>
                <w:rFonts w:ascii="Times New Roman" w:hAnsi="Times New Roman"/>
                <w:sz w:val="15"/>
                <w:szCs w:val="15"/>
              </w:rPr>
              <w:t xml:space="preserve">0.0480</w:t>
            </w:r>
          </w:p>
        </w:tc>
        <w:tc>
          <w:tcPr>
            <w:tcW w:w="780" w:type="dxa"/>
            <w:vAlign w:val="center"/>
          </w:tcPr>
          <w:p>
            <w:pPr>
              <w:jc w:val="center"/>
              <w:spacing w:after="20" w:line="240" w:lineRule="auto"/>
            </w:pPr>
            <w:r>
              <w:rPr>
                <w:rFonts w:ascii="Times New Roman" w:hAnsi="Times New Roman"/>
                <w:sz w:val="15"/>
                <w:szCs w:val="15"/>
              </w:rPr>
              <w:t xml:space="preserve">0.1925</w:t>
            </w:r>
          </w:p>
        </w:tc>
        <w:tc>
          <w:tcPr>
            <w:tcW w:w="780" w:type="dxa"/>
            <w:vAlign w:val="center"/>
          </w:tcPr>
          <w:p>
            <w:pPr>
              <w:jc w:val="center"/>
              <w:spacing w:after="20" w:line="240" w:lineRule="auto"/>
            </w:pPr>
            <w:r>
              <w:rPr>
                <w:rFonts w:ascii="Times New Roman" w:hAnsi="Times New Roman"/>
                <w:sz w:val="15"/>
                <w:szCs w:val="15"/>
              </w:rPr>
              <w:t xml:space="preserve">0.0174</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0.7447</w:t>
            </w:r>
          </w:p>
        </w:tc>
        <w:tc>
          <w:tcPr>
            <w:tcW w:w="780" w:type="dxa"/>
            <w:vAlign w:val="center"/>
          </w:tcPr>
          <w:p>
            <w:pPr>
              <w:jc w:val="center"/>
              <w:spacing w:after="20" w:line="240" w:lineRule="auto"/>
            </w:pPr>
            <w:r>
              <w:rPr>
                <w:rFonts w:ascii="Times New Roman" w:hAnsi="Times New Roman"/>
                <w:sz w:val="15"/>
                <w:szCs w:val="15"/>
              </w:rPr>
              <w:t xml:space="preserve">0.0688</w:t>
            </w:r>
          </w:p>
        </w:tc>
        <w:tc>
          <w:tcPr>
            <w:tcW w:w="780" w:type="dxa"/>
            <w:vAlign w:val="center"/>
          </w:tcPr>
          <w:p>
            <w:pPr>
              <w:jc w:val="center"/>
              <w:spacing w:after="20" w:line="240" w:lineRule="auto"/>
            </w:pPr>
            <w:r>
              <w:rPr>
                <w:rFonts w:ascii="Times New Roman" w:hAnsi="Times New Roman"/>
                <w:sz w:val="15"/>
                <w:szCs w:val="15"/>
              </w:rPr>
              <w:t xml:space="preserve">0.0328</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199</w:t>
            </w:r>
          </w:p>
        </w:tc>
        <w:tc>
          <w:tcPr>
            <w:tcW w:w="780" w:type="dxa"/>
            <w:vAlign w:val="center"/>
          </w:tcPr>
          <w:p>
            <w:pPr>
              <w:jc w:val="center"/>
              <w:spacing w:after="20" w:line="240" w:lineRule="auto"/>
            </w:pPr>
            <w:r>
              <w:rPr>
                <w:rFonts w:ascii="Times New Roman" w:hAnsi="Times New Roman"/>
                <w:sz w:val="15"/>
                <w:szCs w:val="15"/>
              </w:rPr>
              <w:t xml:space="preserve">0.30</w:t>
            </w:r>
          </w:p>
        </w:tc>
      </w:tr>
      <w:tr>
        <w:tc>
          <w:tcPr>
            <w:tcW w:w="780" w:type="dxa"/>
            <w:vAlign w:val="center"/>
          </w:tcPr>
          <w:p>
            <w:pPr>
              <w:jc w:val="center"/>
              <w:spacing w:after="20" w:line="240" w:lineRule="auto"/>
            </w:pPr>
            <w:r>
              <w:rPr>
                <w:rFonts w:ascii="Times New Roman" w:hAnsi="Times New Roman"/>
                <w:sz w:val="15"/>
                <w:szCs w:val="15"/>
              </w:rPr>
              <w:t xml:space="preserve">f8</w:t>
            </w:r>
          </w:p>
        </w:tc>
        <w:tc>
          <w:tcPr>
            <w:tcW w:w="780" w:type="dxa"/>
            <w:vAlign w:val="center"/>
          </w:tcPr>
          <w:p>
            <w:pPr>
              <w:jc w:val="center"/>
              <w:spacing w:after="20" w:line="240" w:lineRule="auto"/>
            </w:pPr>
            <w:r>
              <w:rPr>
                <w:rFonts w:ascii="Times New Roman" w:hAnsi="Times New Roman"/>
                <w:sz w:val="15"/>
                <w:szCs w:val="15"/>
              </w:rPr>
              <w:t xml:space="preserve">0.0423</w:t>
            </w:r>
          </w:p>
        </w:tc>
        <w:tc>
          <w:tcPr>
            <w:tcW w:w="780" w:type="dxa"/>
            <w:vAlign w:val="center"/>
          </w:tcPr>
          <w:p>
            <w:pPr>
              <w:jc w:val="center"/>
              <w:spacing w:after="20" w:line="240" w:lineRule="auto"/>
            </w:pPr>
            <w:r>
              <w:rPr>
                <w:rFonts w:ascii="Times New Roman" w:hAnsi="Times New Roman"/>
                <w:sz w:val="15"/>
                <w:szCs w:val="15"/>
              </w:rPr>
              <w:t xml:space="preserve">0.1554</w:t>
            </w:r>
          </w:p>
        </w:tc>
        <w:tc>
          <w:tcPr>
            <w:tcW w:w="780" w:type="dxa"/>
            <w:vAlign w:val="center"/>
          </w:tcPr>
          <w:p>
            <w:pPr>
              <w:jc w:val="center"/>
              <w:spacing w:after="20" w:line="240" w:lineRule="auto"/>
            </w:pPr>
            <w:r>
              <w:rPr>
                <w:rFonts w:ascii="Times New Roman" w:hAnsi="Times New Roman"/>
                <w:sz w:val="15"/>
                <w:szCs w:val="15"/>
              </w:rPr>
              <w:t xml:space="preserve">0.0149</w:t>
            </w:r>
          </w:p>
        </w:tc>
        <w:tc>
          <w:tcPr>
            <w:tcW w:w="780" w:type="dxa"/>
            <w:vAlign w:val="center"/>
          </w:tcPr>
          <w:p>
            <w:pPr>
              <w:jc w:val="center"/>
              <w:spacing w:after="20" w:line="240" w:lineRule="auto"/>
            </w:pPr>
            <w:r>
              <w:rPr>
                <w:rFonts w:ascii="Times New Roman" w:hAnsi="Times New Roman"/>
                <w:sz w:val="15"/>
                <w:szCs w:val="15"/>
              </w:rPr>
              <w:t xml:space="preserve">0.0035</w:t>
            </w:r>
          </w:p>
        </w:tc>
        <w:tc>
          <w:tcPr>
            <w:tcW w:w="780" w:type="dxa"/>
            <w:vAlign w:val="center"/>
          </w:tcPr>
          <w:p>
            <w:pPr>
              <w:jc w:val="center"/>
              <w:spacing w:after="20" w:line="240" w:lineRule="auto"/>
            </w:pPr>
            <w:r>
              <w:rPr>
                <w:rFonts w:ascii="Times New Roman" w:hAnsi="Times New Roman"/>
                <w:sz w:val="15"/>
                <w:szCs w:val="15"/>
              </w:rPr>
              <w:t xml:space="preserve">0.5448</w:t>
            </w:r>
          </w:p>
        </w:tc>
        <w:tc>
          <w:tcPr>
            <w:tcW w:w="780" w:type="dxa"/>
            <w:vAlign w:val="center"/>
          </w:tcPr>
          <w:p>
            <w:pPr>
              <w:jc w:val="center"/>
              <w:spacing w:after="20" w:line="240" w:lineRule="auto"/>
            </w:pPr>
            <w:r>
              <w:rPr>
                <w:rFonts w:ascii="Times New Roman" w:hAnsi="Times New Roman"/>
                <w:sz w:val="15"/>
                <w:szCs w:val="15"/>
              </w:rPr>
              <w:t xml:space="preserve">0.0883</w:t>
            </w:r>
          </w:p>
        </w:tc>
        <w:tc>
          <w:tcPr>
            <w:tcW w:w="780" w:type="dxa"/>
            <w:vAlign w:val="center"/>
          </w:tcPr>
          <w:p>
            <w:pPr>
              <w:jc w:val="center"/>
              <w:spacing w:after="20" w:line="240" w:lineRule="auto"/>
            </w:pPr>
            <w:r>
              <w:rPr>
                <w:rFonts w:ascii="Times New Roman" w:hAnsi="Times New Roman"/>
                <w:sz w:val="15"/>
                <w:szCs w:val="15"/>
              </w:rPr>
              <w:t xml:space="preserve">0.0247</w:t>
            </w:r>
          </w:p>
        </w:tc>
        <w:tc>
          <w:tcPr>
            <w:tcW w:w="780" w:type="dxa"/>
            <w:vAlign w:val="center"/>
          </w:tcPr>
          <w:p>
            <w:pPr>
              <w:jc w:val="center"/>
              <w:spacing w:after="20" w:line="240" w:lineRule="auto"/>
            </w:pPr>
            <w:r>
              <w:rPr>
                <w:rFonts w:ascii="Times New Roman" w:hAnsi="Times New Roman"/>
                <w:sz w:val="15"/>
                <w:szCs w:val="15"/>
              </w:rPr>
              <w:t xml:space="preserve">0.2225</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205</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f9</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0.1975</w:t>
            </w:r>
          </w:p>
        </w:tc>
        <w:tc>
          <w:tcPr>
            <w:tcW w:w="780" w:type="dxa"/>
            <w:vAlign w:val="center"/>
          </w:tcPr>
          <w:p>
            <w:pPr>
              <w:jc w:val="center"/>
              <w:spacing w:after="20" w:line="240" w:lineRule="auto"/>
            </w:pPr>
            <w:r>
              <w:rPr>
                <w:rFonts w:ascii="Times New Roman" w:hAnsi="Times New Roman"/>
                <w:sz w:val="15"/>
                <w:szCs w:val="15"/>
              </w:rPr>
              <w:t xml:space="preserve">0.0137</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0.6449</w:t>
            </w:r>
          </w:p>
        </w:tc>
        <w:tc>
          <w:tcPr>
            <w:tcW w:w="780" w:type="dxa"/>
            <w:vAlign w:val="center"/>
          </w:tcPr>
          <w:p>
            <w:pPr>
              <w:jc w:val="center"/>
              <w:spacing w:after="20" w:line="240" w:lineRule="auto"/>
            </w:pPr>
            <w:r>
              <w:rPr>
                <w:rFonts w:ascii="Times New Roman" w:hAnsi="Times New Roman"/>
                <w:sz w:val="15"/>
                <w:szCs w:val="15"/>
              </w:rPr>
              <w:t xml:space="preserve">0.0999</w:t>
            </w:r>
          </w:p>
        </w:tc>
        <w:tc>
          <w:tcPr>
            <w:tcW w:w="780" w:type="dxa"/>
            <w:vAlign w:val="center"/>
          </w:tcPr>
          <w:p>
            <w:pPr>
              <w:jc w:val="center"/>
              <w:spacing w:after="20" w:line="240" w:lineRule="auto"/>
            </w:pPr>
            <w:r>
              <w:rPr>
                <w:rFonts w:ascii="Times New Roman" w:hAnsi="Times New Roman"/>
                <w:sz w:val="15"/>
                <w:szCs w:val="15"/>
              </w:rPr>
              <w:t xml:space="preserve">0.0267</w:t>
            </w:r>
          </w:p>
        </w:tc>
        <w:tc>
          <w:tcPr>
            <w:tcW w:w="780" w:type="dxa"/>
            <w:vAlign w:val="center"/>
          </w:tcPr>
          <w:p>
            <w:pPr>
              <w:jc w:val="center"/>
              <w:spacing w:after="20" w:line="240" w:lineRule="auto"/>
            </w:pPr>
            <w:r>
              <w:rPr>
                <w:rFonts w:ascii="Times New Roman" w:hAnsi="Times New Roman"/>
                <w:sz w:val="15"/>
                <w:szCs w:val="15"/>
              </w:rPr>
              <w:t xml:space="preserve">0.2892</w:t>
            </w:r>
          </w:p>
        </w:tc>
        <w:tc>
          <w:tcPr>
            <w:tcW w:w="780" w:type="dxa"/>
            <w:vAlign w:val="center"/>
          </w:tcPr>
          <w:p>
            <w:pPr>
              <w:jc w:val="center"/>
              <w:spacing w:after="20" w:line="240" w:lineRule="auto"/>
            </w:pPr>
            <w:r>
              <w:rPr>
                <w:rFonts w:ascii="Times New Roman" w:hAnsi="Times New Roman"/>
                <w:sz w:val="15"/>
                <w:szCs w:val="15"/>
              </w:rPr>
              <w:t xml:space="preserve">0.0017</w:t>
            </w:r>
          </w:p>
        </w:tc>
        <w:tc>
          <w:tcPr>
            <w:tcW w:w="780" w:type="dxa"/>
            <w:vAlign w:val="center"/>
          </w:tcPr>
          <w:p>
            <w:pPr>
              <w:jc w:val="center"/>
              <w:spacing w:after="20" w:line="240" w:lineRule="auto"/>
            </w:pPr>
            <w:r>
              <w:rPr>
                <w:rFonts w:ascii="Times New Roman" w:hAnsi="Times New Roman"/>
                <w:sz w:val="15"/>
                <w:szCs w:val="15"/>
              </w:rPr>
              <w:t xml:space="preserve">195</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f10</w:t>
            </w:r>
          </w:p>
        </w:tc>
        <w:tc>
          <w:tcPr>
            <w:tcW w:w="780" w:type="dxa"/>
            <w:vAlign w:val="center"/>
          </w:tcPr>
          <w:p>
            <w:pPr>
              <w:jc w:val="center"/>
              <w:spacing w:after="20" w:line="240" w:lineRule="auto"/>
            </w:pPr>
            <w:r>
              <w:rPr>
                <w:rFonts w:ascii="Times New Roman" w:hAnsi="Times New Roman"/>
                <w:sz w:val="15"/>
                <w:szCs w:val="15"/>
              </w:rPr>
              <w:t xml:space="preserve">0.0445</w:t>
            </w:r>
          </w:p>
        </w:tc>
        <w:tc>
          <w:tcPr>
            <w:tcW w:w="780" w:type="dxa"/>
            <w:vAlign w:val="center"/>
          </w:tcPr>
          <w:p>
            <w:pPr>
              <w:jc w:val="center"/>
              <w:spacing w:after="20" w:line="240" w:lineRule="auto"/>
            </w:pPr>
            <w:r>
              <w:rPr>
                <w:rFonts w:ascii="Times New Roman" w:hAnsi="Times New Roman"/>
                <w:sz w:val="15"/>
                <w:szCs w:val="15"/>
              </w:rPr>
              <w:t xml:space="preserve">0.1692</w:t>
            </w:r>
          </w:p>
        </w:tc>
        <w:tc>
          <w:tcPr>
            <w:tcW w:w="780" w:type="dxa"/>
            <w:vAlign w:val="center"/>
          </w:tcPr>
          <w:p>
            <w:pPr>
              <w:jc w:val="center"/>
              <w:spacing w:after="20" w:line="240" w:lineRule="auto"/>
            </w:pPr>
            <w:r>
              <w:rPr>
                <w:rFonts w:ascii="Times New Roman" w:hAnsi="Times New Roman"/>
                <w:sz w:val="15"/>
                <w:szCs w:val="15"/>
              </w:rPr>
              <w:t xml:space="preserve">0.0116</w:t>
            </w:r>
          </w:p>
        </w:tc>
        <w:tc>
          <w:tcPr>
            <w:tcW w:w="780" w:type="dxa"/>
            <w:vAlign w:val="center"/>
          </w:tcPr>
          <w:p>
            <w:pPr>
              <w:jc w:val="center"/>
              <w:spacing w:after="20" w:line="240" w:lineRule="auto"/>
            </w:pPr>
            <w:r>
              <w:rPr>
                <w:rFonts w:ascii="Times New Roman" w:hAnsi="Times New Roman"/>
                <w:sz w:val="15"/>
                <w:szCs w:val="15"/>
              </w:rPr>
              <w:t xml:space="preserve">0.0037</w:t>
            </w:r>
          </w:p>
        </w:tc>
        <w:tc>
          <w:tcPr>
            <w:tcW w:w="780" w:type="dxa"/>
            <w:vAlign w:val="center"/>
          </w:tcPr>
          <w:p>
            <w:pPr>
              <w:jc w:val="center"/>
              <w:spacing w:after="20" w:line="240" w:lineRule="auto"/>
            </w:pPr>
            <w:r>
              <w:rPr>
                <w:rFonts w:ascii="Times New Roman" w:hAnsi="Times New Roman"/>
                <w:sz w:val="15"/>
                <w:szCs w:val="15"/>
              </w:rPr>
              <w:t xml:space="preserve">0.7556</w:t>
            </w:r>
          </w:p>
        </w:tc>
        <w:tc>
          <w:tcPr>
            <w:tcW w:w="780" w:type="dxa"/>
            <w:vAlign w:val="center"/>
          </w:tcPr>
          <w:p>
            <w:pPr>
              <w:jc w:val="center"/>
              <w:spacing w:after="20" w:line="240" w:lineRule="auto"/>
            </w:pPr>
            <w:r>
              <w:rPr>
                <w:rFonts w:ascii="Times New Roman" w:hAnsi="Times New Roman"/>
                <w:sz w:val="15"/>
                <w:szCs w:val="15"/>
              </w:rPr>
              <w:t xml:space="preserve">0.0105</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0.2970</w:t>
            </w:r>
          </w:p>
        </w:tc>
        <w:tc>
          <w:tcPr>
            <w:tcW w:w="780" w:type="dxa"/>
            <w:vAlign w:val="center"/>
          </w:tcPr>
          <w:p>
            <w:pPr>
              <w:jc w:val="center"/>
              <w:spacing w:after="20" w:line="240" w:lineRule="auto"/>
            </w:pPr>
            <w:r>
              <w:rPr>
                <w:rFonts w:ascii="Times New Roman" w:hAnsi="Times New Roman"/>
                <w:sz w:val="15"/>
                <w:szCs w:val="15"/>
              </w:rPr>
              <w:t xml:space="preserve">0.0012</w:t>
            </w:r>
          </w:p>
        </w:tc>
        <w:tc>
          <w:tcPr>
            <w:tcW w:w="780" w:type="dxa"/>
            <w:vAlign w:val="center"/>
          </w:tcPr>
          <w:p>
            <w:pPr>
              <w:jc w:val="center"/>
              <w:spacing w:after="20" w:line="240" w:lineRule="auto"/>
            </w:pPr>
            <w:r>
              <w:rPr>
                <w:rFonts w:ascii="Times New Roman" w:hAnsi="Times New Roman"/>
                <w:sz w:val="15"/>
                <w:szCs w:val="15"/>
              </w:rPr>
              <w:t xml:space="preserve">215</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f11</w:t>
            </w:r>
          </w:p>
        </w:tc>
        <w:tc>
          <w:tcPr>
            <w:tcW w:w="780" w:type="dxa"/>
            <w:vAlign w:val="center"/>
          </w:tcPr>
          <w:p>
            <w:pPr>
              <w:jc w:val="center"/>
              <w:spacing w:after="20" w:line="240" w:lineRule="auto"/>
            </w:pPr>
            <w:r>
              <w:rPr>
                <w:rFonts w:ascii="Times New Roman" w:hAnsi="Times New Roman"/>
                <w:sz w:val="15"/>
                <w:szCs w:val="15"/>
              </w:rPr>
              <w:t xml:space="preserve">0.0322</w:t>
            </w:r>
          </w:p>
        </w:tc>
        <w:tc>
          <w:tcPr>
            <w:tcW w:w="780" w:type="dxa"/>
            <w:vAlign w:val="center"/>
          </w:tcPr>
          <w:p>
            <w:pPr>
              <w:jc w:val="center"/>
              <w:spacing w:after="20" w:line="240" w:lineRule="auto"/>
            </w:pPr>
            <w:r>
              <w:rPr>
                <w:rFonts w:ascii="Times New Roman" w:hAnsi="Times New Roman"/>
                <w:sz w:val="15"/>
                <w:szCs w:val="15"/>
              </w:rPr>
              <w:t xml:space="preserve">0.1571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0.0034</w:t>
            </w:r>
          </w:p>
        </w:tc>
        <w:tc>
          <w:tcPr>
            <w:tcW w:w="780" w:type="dxa"/>
            <w:vAlign w:val="center"/>
          </w:tcPr>
          <w:p>
            <w:pPr>
              <w:jc w:val="center"/>
              <w:spacing w:after="20" w:line="240" w:lineRule="auto"/>
            </w:pPr>
            <w:r>
              <w:rPr>
                <w:rFonts w:ascii="Times New Roman" w:hAnsi="Times New Roman"/>
                <w:sz w:val="15"/>
                <w:szCs w:val="15"/>
              </w:rPr>
              <w:t xml:space="preserve">0.8813</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0.2151</w:t>
            </w:r>
          </w:p>
        </w:tc>
        <w:tc>
          <w:tcPr>
            <w:tcW w:w="780" w:type="dxa"/>
            <w:vAlign w:val="center"/>
          </w:tcPr>
          <w:p>
            <w:pPr>
              <w:jc w:val="center"/>
              <w:spacing w:after="20" w:line="240" w:lineRule="auto"/>
            </w:pPr>
            <w:r>
              <w:rPr>
                <w:rFonts w:ascii="Times New Roman" w:hAnsi="Times New Roman"/>
                <w:sz w:val="15"/>
                <w:szCs w:val="15"/>
              </w:rPr>
              <w:t xml:space="preserve">0.0013</w:t>
            </w:r>
          </w:p>
        </w:tc>
        <w:tc>
          <w:tcPr>
            <w:tcW w:w="780" w:type="dxa"/>
            <w:vAlign w:val="center"/>
          </w:tcPr>
          <w:p>
            <w:pPr>
              <w:jc w:val="center"/>
              <w:spacing w:after="20" w:line="240" w:lineRule="auto"/>
            </w:pPr>
            <w:r>
              <w:rPr>
                <w:rFonts w:ascii="Times New Roman" w:hAnsi="Times New Roman"/>
                <w:sz w:val="15"/>
                <w:szCs w:val="15"/>
              </w:rPr>
              <w:t xml:space="preserve">182</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f12</w:t>
            </w:r>
          </w:p>
        </w:tc>
        <w:tc>
          <w:tcPr>
            <w:tcW w:w="780" w:type="dxa"/>
            <w:vAlign w:val="center"/>
          </w:tcPr>
          <w:p>
            <w:pPr>
              <w:jc w:val="center"/>
              <w:spacing w:after="20" w:line="240" w:lineRule="auto"/>
            </w:pPr>
            <w:r>
              <w:rPr>
                <w:rFonts w:ascii="Times New Roman" w:hAnsi="Times New Roman"/>
                <w:sz w:val="15"/>
                <w:szCs w:val="15"/>
              </w:rPr>
              <w:t xml:space="preserve">0.0456</w:t>
            </w:r>
          </w:p>
        </w:tc>
        <w:tc>
          <w:tcPr>
            <w:tcW w:w="780" w:type="dxa"/>
            <w:vAlign w:val="center"/>
          </w:tcPr>
          <w:p>
            <w:pPr>
              <w:jc w:val="center"/>
              <w:spacing w:after="20" w:line="240" w:lineRule="auto"/>
            </w:pPr>
            <w:r>
              <w:rPr>
                <w:rFonts w:ascii="Times New Roman" w:hAnsi="Times New Roman"/>
                <w:sz w:val="15"/>
                <w:szCs w:val="15"/>
              </w:rPr>
              <w:t xml:space="preserve">0.1787</w:t>
            </w:r>
          </w:p>
        </w:tc>
        <w:tc>
          <w:tcPr>
            <w:tcW w:w="780" w:type="dxa"/>
            <w:vAlign w:val="center"/>
          </w:tcPr>
          <w:p>
            <w:pPr>
              <w:jc w:val="center"/>
              <w:spacing w:after="20" w:line="240" w:lineRule="auto"/>
            </w:pPr>
            <w:r>
              <w:rPr>
                <w:rFonts w:ascii="Times New Roman" w:hAnsi="Times New Roman"/>
                <w:sz w:val="15"/>
                <w:szCs w:val="15"/>
              </w:rPr>
              <w:t xml:space="preserve">0.0186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0.8271</w:t>
            </w:r>
          </w:p>
        </w:tc>
        <w:tc>
          <w:tcPr>
            <w:tcW w:w="780" w:type="dxa"/>
            <w:vAlign w:val="center"/>
          </w:tcPr>
          <w:p>
            <w:pPr>
              <w:jc w:val="center"/>
              <w:spacing w:after="20" w:line="240" w:lineRule="auto"/>
            </w:pPr>
            <w:r>
              <w:rPr>
                <w:rFonts w:ascii="Times New Roman" w:hAnsi="Times New Roman"/>
                <w:sz w:val="15"/>
                <w:szCs w:val="15"/>
              </w:rPr>
              <w:t xml:space="preserve">0.0899</w:t>
            </w:r>
          </w:p>
        </w:tc>
        <w:tc>
          <w:tcPr>
            <w:tcW w:w="780" w:type="dxa"/>
            <w:vAlign w:val="center"/>
          </w:tcPr>
          <w:p>
            <w:pPr>
              <w:jc w:val="center"/>
              <w:spacing w:after="20" w:line="240" w:lineRule="auto"/>
            </w:pPr>
            <w:r>
              <w:rPr>
                <w:rFonts w:ascii="Times New Roman" w:hAnsi="Times New Roman"/>
                <w:sz w:val="15"/>
                <w:szCs w:val="15"/>
              </w:rPr>
              <w:t xml:space="preserve">0.0230</w:t>
            </w:r>
          </w:p>
        </w:tc>
        <w:tc>
          <w:tcPr>
            <w:tcW w:w="780" w:type="dxa"/>
            <w:vAlign w:val="center"/>
          </w:tcPr>
          <w:p>
            <w:pPr>
              <w:jc w:val="center"/>
              <w:spacing w:after="20" w:line="240" w:lineRule="auto"/>
            </w:pPr>
            <w:r>
              <w:rPr>
                <w:rFonts w:ascii="Times New Roman" w:hAnsi="Times New Roman"/>
                <w:sz w:val="15"/>
                <w:szCs w:val="15"/>
              </w:rPr>
              <w:t xml:space="preserve">0.2262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191</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f13</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0.1519</w:t>
            </w:r>
          </w:p>
        </w:tc>
        <w:tc>
          <w:tcPr>
            <w:tcW w:w="780" w:type="dxa"/>
            <w:vAlign w:val="center"/>
          </w:tcPr>
          <w:p>
            <w:pPr>
              <w:jc w:val="center"/>
              <w:spacing w:after="20" w:line="240" w:lineRule="auto"/>
            </w:pPr>
            <w:r>
              <w:rPr>
                <w:rFonts w:ascii="Times New Roman" w:hAnsi="Times New Roman"/>
                <w:sz w:val="15"/>
                <w:szCs w:val="15"/>
              </w:rPr>
              <w:t xml:space="preserve">0.0108</w:t>
            </w:r>
          </w:p>
        </w:tc>
        <w:tc>
          <w:tcPr>
            <w:tcW w:w="780" w:type="dxa"/>
            <w:vAlign w:val="center"/>
          </w:tcPr>
          <w:p>
            <w:pPr>
              <w:jc w:val="center"/>
              <w:spacing w:after="20" w:line="240" w:lineRule="auto"/>
            </w:pPr>
            <w:r>
              <w:rPr>
                <w:rFonts w:ascii="Times New Roman" w:hAnsi="Times New Roman"/>
                <w:sz w:val="15"/>
                <w:szCs w:val="15"/>
              </w:rPr>
              <w:t xml:space="preserve">0.0042</w:t>
            </w:r>
          </w:p>
        </w:tc>
        <w:tc>
          <w:tcPr>
            <w:tcW w:w="780" w:type="dxa"/>
            <w:vAlign w:val="center"/>
          </w:tcPr>
          <w:p>
            <w:pPr>
              <w:jc w:val="center"/>
              <w:spacing w:after="20" w:line="240" w:lineRule="auto"/>
            </w:pPr>
            <w:r>
              <w:rPr>
                <w:rFonts w:ascii="Times New Roman" w:hAnsi="Times New Roman"/>
                <w:sz w:val="15"/>
                <w:szCs w:val="15"/>
              </w:rPr>
              <w:t xml:space="preserve">0.6837</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193</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f14</w:t>
            </w:r>
          </w:p>
        </w:tc>
        <w:tc>
          <w:tcPr>
            <w:tcW w:w="780" w:type="dxa"/>
            <w:vAlign w:val="center"/>
          </w:tcPr>
          <w:p>
            <w:pPr>
              <w:jc w:val="center"/>
              <w:spacing w:after="20" w:line="240" w:lineRule="auto"/>
            </w:pPr>
            <w:r>
              <w:rPr>
                <w:rFonts w:ascii="Times New Roman" w:hAnsi="Times New Roman"/>
                <w:sz w:val="15"/>
                <w:szCs w:val="15"/>
              </w:rPr>
              <w:t xml:space="preserve">0.0392</w:t>
            </w:r>
          </w:p>
        </w:tc>
        <w:tc>
          <w:tcPr>
            <w:tcW w:w="780" w:type="dxa"/>
            <w:vAlign w:val="center"/>
          </w:tcPr>
          <w:p>
            <w:pPr>
              <w:jc w:val="center"/>
              <w:spacing w:after="20" w:line="240" w:lineRule="auto"/>
            </w:pPr>
            <w:r>
              <w:rPr>
                <w:rFonts w:ascii="Times New Roman" w:hAnsi="Times New Roman"/>
                <w:sz w:val="15"/>
                <w:szCs w:val="15"/>
              </w:rPr>
              <w:t xml:space="preserve">0.1517</w:t>
            </w:r>
          </w:p>
        </w:tc>
        <w:tc>
          <w:tcPr>
            <w:tcW w:w="780" w:type="dxa"/>
            <w:vAlign w:val="center"/>
          </w:tcPr>
          <w:p>
            <w:pPr>
              <w:jc w:val="center"/>
              <w:spacing w:after="20" w:line="240" w:lineRule="auto"/>
            </w:pPr>
            <w:r>
              <w:rPr>
                <w:rFonts w:ascii="Times New Roman" w:hAnsi="Times New Roman"/>
                <w:sz w:val="15"/>
                <w:szCs w:val="15"/>
              </w:rPr>
              <w:t xml:space="preserve">0.0124</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0.7608</w:t>
            </w:r>
          </w:p>
        </w:tc>
        <w:tc>
          <w:tcPr>
            <w:tcW w:w="780" w:type="dxa"/>
            <w:vAlign w:val="center"/>
          </w:tcPr>
          <w:p>
            <w:pPr>
              <w:jc w:val="center"/>
              <w:spacing w:after="20" w:line="240" w:lineRule="auto"/>
            </w:pPr>
            <w:r>
              <w:rPr>
                <w:rFonts w:ascii="Times New Roman" w:hAnsi="Times New Roman"/>
                <w:sz w:val="15"/>
                <w:szCs w:val="15"/>
              </w:rPr>
              <w:t xml:space="preserve">0.0143</w:t>
            </w:r>
          </w:p>
        </w:tc>
        <w:tc>
          <w:tcPr>
            <w:tcW w:w="780" w:type="dxa"/>
            <w:vAlign w:val="center"/>
          </w:tcPr>
          <w:p>
            <w:pPr>
              <w:jc w:val="center"/>
              <w:spacing w:after="20" w:line="240" w:lineRule="auto"/>
            </w:pPr>
            <w:r>
              <w:rPr>
                <w:rFonts w:ascii="Times New Roman" w:hAnsi="Times New Roman"/>
                <w:sz w:val="15"/>
                <w:szCs w:val="15"/>
              </w:rPr>
              <w:t xml:space="preserve">0.0274</w:t>
            </w:r>
          </w:p>
        </w:tc>
        <w:tc>
          <w:tcPr>
            <w:tcW w:w="780" w:type="dxa"/>
            <w:vAlign w:val="center"/>
          </w:tcPr>
          <w:p>
            <w:pPr>
              <w:jc w:val="center"/>
              <w:spacing w:after="20" w:line="240" w:lineRule="auto"/>
            </w:pPr>
            <w:r>
              <w:rPr>
                <w:rFonts w:ascii="Times New Roman" w:hAnsi="Times New Roman"/>
                <w:sz w:val="15"/>
                <w:szCs w:val="15"/>
              </w:rPr>
              <w:t xml:space="preserve">0.2183</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f15</w:t>
            </w:r>
          </w:p>
        </w:tc>
        <w:tc>
          <w:tcPr>
            <w:tcW w:w="780" w:type="dxa"/>
            <w:vAlign w:val="center"/>
          </w:tcPr>
          <w:p>
            <w:pPr>
              <w:jc w:val="center"/>
              <w:spacing w:after="20" w:line="240" w:lineRule="auto"/>
            </w:pPr>
            <w:r>
              <w:rPr>
                <w:rFonts w:ascii="Times New Roman" w:hAnsi="Times New Roman"/>
                <w:sz w:val="15"/>
                <w:szCs w:val="15"/>
              </w:rPr>
              <w:t xml:space="preserve">0.0462</w:t>
            </w:r>
          </w:p>
        </w:tc>
        <w:tc>
          <w:tcPr>
            <w:tcW w:w="780" w:type="dxa"/>
            <w:vAlign w:val="center"/>
          </w:tcPr>
          <w:p>
            <w:pPr>
              <w:jc w:val="center"/>
              <w:spacing w:after="20" w:line="240" w:lineRule="auto"/>
            </w:pPr>
            <w:r>
              <w:rPr>
                <w:rFonts w:ascii="Times New Roman" w:hAnsi="Times New Roman"/>
                <w:sz w:val="15"/>
                <w:szCs w:val="15"/>
              </w:rPr>
              <w:t xml:space="preserve">0.1362</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0.6887</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0.0276</w:t>
            </w:r>
          </w:p>
        </w:tc>
        <w:tc>
          <w:tcPr>
            <w:tcW w:w="780" w:type="dxa"/>
            <w:vAlign w:val="center"/>
          </w:tcPr>
          <w:p>
            <w:pPr>
              <w:jc w:val="center"/>
              <w:spacing w:after="20" w:line="240" w:lineRule="auto"/>
            </w:pPr>
            <w:r>
              <w:rPr>
                <w:rFonts w:ascii="Times New Roman" w:hAnsi="Times New Roman"/>
                <w:sz w:val="15"/>
                <w:szCs w:val="15"/>
              </w:rPr>
              <w:t xml:space="preserve">0.2182</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226</w:t>
            </w:r>
          </w:p>
        </w:tc>
        <w:tc>
          <w:tcPr>
            <w:tcW w:w="780" w:type="dxa"/>
            <w:vAlign w:val="center"/>
          </w:tcPr>
          <w:p>
            <w:pPr>
              <w:jc w:val="center"/>
              <w:spacing w:after="20" w:line="240" w:lineRule="auto"/>
            </w:pPr>
            <w:r>
              <w:rPr>
                <w:rFonts w:ascii="Times New Roman" w:hAnsi="Times New Roman"/>
                <w:sz w:val="15"/>
                <w:szCs w:val="15"/>
              </w:rPr>
              <w:t xml:space="preserve">0.31</w:t>
            </w:r>
          </w:p>
        </w:tc>
      </w:tr>
      <w:tr>
        <w:tc>
          <w:tcPr>
            <w:tcW w:w="780" w:type="dxa"/>
            <w:vAlign w:val="center"/>
          </w:tcPr>
          <w:p>
            <w:pPr>
              <w:jc w:val="center"/>
              <w:spacing w:after="20" w:line="240" w:lineRule="auto"/>
            </w:pPr>
            <w:r>
              <w:rPr>
                <w:rFonts w:ascii="Times New Roman" w:hAnsi="Times New Roman"/>
                <w:sz w:val="15"/>
                <w:szCs w:val="15"/>
              </w:rPr>
              <w:t xml:space="preserve">f16</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0.1739</w:t>
            </w:r>
          </w:p>
        </w:tc>
        <w:tc>
          <w:tcPr>
            <w:tcW w:w="780" w:type="dxa"/>
            <w:vAlign w:val="center"/>
          </w:tcPr>
          <w:p>
            <w:pPr>
              <w:jc w:val="center"/>
              <w:spacing w:after="20" w:line="240" w:lineRule="auto"/>
            </w:pPr>
            <w:r>
              <w:rPr>
                <w:rFonts w:ascii="Times New Roman" w:hAnsi="Times New Roman"/>
                <w:sz w:val="15"/>
                <w:szCs w:val="15"/>
              </w:rPr>
              <w:t xml:space="preserve">0.0119</w:t>
            </w:r>
          </w:p>
        </w:tc>
        <w:tc>
          <w:tcPr>
            <w:tcW w:w="780" w:type="dxa"/>
            <w:vAlign w:val="center"/>
          </w:tcPr>
          <w:p>
            <w:pPr>
              <w:jc w:val="center"/>
              <w:spacing w:after="20" w:line="240" w:lineRule="auto"/>
            </w:pPr>
            <w:r>
              <w:rPr>
                <w:rFonts w:ascii="Times New Roman" w:hAnsi="Times New Roman"/>
                <w:sz w:val="15"/>
                <w:szCs w:val="15"/>
              </w:rPr>
              <w:t xml:space="preserve">0.0053</w:t>
            </w:r>
          </w:p>
        </w:tc>
        <w:tc>
          <w:tcPr>
            <w:tcW w:w="780" w:type="dxa"/>
            <w:vAlign w:val="center"/>
          </w:tcPr>
          <w:p>
            <w:pPr>
              <w:jc w:val="center"/>
              <w:spacing w:after="20" w:line="240" w:lineRule="auto"/>
            </w:pPr>
            <w:r>
              <w:rPr>
                <w:rFonts w:ascii="Times New Roman" w:hAnsi="Times New Roman"/>
                <w:sz w:val="15"/>
                <w:szCs w:val="15"/>
              </w:rPr>
              <w:t xml:space="preserve">0.8652</w:t>
            </w:r>
          </w:p>
        </w:tc>
        <w:tc>
          <w:tcPr>
            <w:tcW w:w="780" w:type="dxa"/>
            <w:vAlign w:val="center"/>
          </w:tcPr>
          <w:p>
            <w:pPr>
              <w:jc w:val="center"/>
              <w:spacing w:after="20" w:line="240" w:lineRule="auto"/>
            </w:pPr>
            <w:r>
              <w:rPr>
                <w:rFonts w:ascii="Times New Roman" w:hAnsi="Times New Roman"/>
                <w:sz w:val="15"/>
                <w:szCs w:val="15"/>
              </w:rPr>
              <w:t xml:space="preserve">0.0107</w:t>
            </w:r>
          </w:p>
        </w:tc>
        <w:tc>
          <w:tcPr>
            <w:tcW w:w="780" w:type="dxa"/>
            <w:vAlign w:val="center"/>
          </w:tcPr>
          <w:p>
            <w:pPr>
              <w:jc w:val="center"/>
              <w:spacing w:after="20" w:line="240" w:lineRule="auto"/>
            </w:pPr>
            <w:r>
              <w:rPr>
                <w:rFonts w:ascii="Times New Roman" w:hAnsi="Times New Roman"/>
                <w:sz w:val="15"/>
                <w:szCs w:val="15"/>
              </w:rPr>
              <w:t xml:space="preserve">0.0295</w:t>
            </w:r>
          </w:p>
        </w:tc>
        <w:tc>
          <w:tcPr>
            <w:tcW w:w="780" w:type="dxa"/>
            <w:vAlign w:val="center"/>
          </w:tcPr>
          <w:p>
            <w:pPr>
              <w:jc w:val="center"/>
              <w:spacing w:after="20" w:line="240" w:lineRule="auto"/>
            </w:pPr>
            <w:r>
              <w:rPr>
                <w:rFonts w:ascii="Times New Roman" w:hAnsi="Times New Roman"/>
                <w:sz w:val="15"/>
                <w:szCs w:val="15"/>
              </w:rPr>
              <w:t xml:space="preserve">0.2766</w:t>
            </w:r>
          </w:p>
        </w:tc>
        <w:tc>
          <w:tcPr>
            <w:tcW w:w="780" w:type="dxa"/>
            <w:vAlign w:val="center"/>
          </w:tcPr>
          <w:p>
            <w:pPr>
              <w:jc w:val="center"/>
              <w:spacing w:after="20" w:line="240" w:lineRule="auto"/>
            </w:pPr>
            <w:r>
              <w:rPr>
                <w:rFonts w:ascii="Times New Roman" w:hAnsi="Times New Roman"/>
                <w:sz w:val="15"/>
                <w:szCs w:val="15"/>
              </w:rPr>
              <w:t xml:space="preserve">0.0011</w:t>
            </w:r>
          </w:p>
        </w:tc>
        <w:tc>
          <w:tcPr>
            <w:tcW w:w="780" w:type="dxa"/>
            <w:vAlign w:val="center"/>
          </w:tcPr>
          <w:p>
            <w:pPr>
              <w:jc w:val="center"/>
              <w:spacing w:after="20" w:line="240" w:lineRule="auto"/>
            </w:pPr>
            <w:r>
              <w:rPr>
                <w:rFonts w:ascii="Times New Roman" w:hAnsi="Times New Roman"/>
                <w:sz w:val="15"/>
                <w:szCs w:val="15"/>
              </w:rPr>
              <w:t xml:space="preserve">217</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f17</w:t>
            </w:r>
          </w:p>
        </w:tc>
        <w:tc>
          <w:tcPr>
            <w:tcW w:w="780" w:type="dxa"/>
            <w:vAlign w:val="center"/>
          </w:tcPr>
          <w:p>
            <w:pPr>
              <w:jc w:val="center"/>
              <w:spacing w:after="20" w:line="240" w:lineRule="auto"/>
            </w:pPr>
            <w:r>
              <w:rPr>
                <w:rFonts w:ascii="Times New Roman" w:hAnsi="Times New Roman"/>
                <w:sz w:val="15"/>
                <w:szCs w:val="15"/>
              </w:rPr>
              <w:t xml:space="preserve">0.0499</w:t>
            </w:r>
          </w:p>
        </w:tc>
        <w:tc>
          <w:tcPr>
            <w:tcW w:w="780" w:type="dxa"/>
            <w:vAlign w:val="center"/>
          </w:tcPr>
          <w:p>
            <w:pPr>
              <w:jc w:val="center"/>
              <w:spacing w:after="20" w:line="240" w:lineRule="auto"/>
            </w:pPr>
            <w:r>
              <w:rPr>
                <w:rFonts w:ascii="Times New Roman" w:hAnsi="Times New Roman"/>
                <w:sz w:val="15"/>
                <w:szCs w:val="15"/>
              </w:rPr>
              <w:t xml:space="preserve">0.1327</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0.0045</w:t>
            </w:r>
          </w:p>
        </w:tc>
        <w:tc>
          <w:tcPr>
            <w:tcW w:w="780" w:type="dxa"/>
            <w:vAlign w:val="center"/>
          </w:tcPr>
          <w:p>
            <w:pPr>
              <w:jc w:val="center"/>
              <w:spacing w:after="20" w:line="240" w:lineRule="auto"/>
            </w:pPr>
            <w:r>
              <w:rPr>
                <w:rFonts w:ascii="Times New Roman" w:hAnsi="Times New Roman"/>
                <w:sz w:val="15"/>
                <w:szCs w:val="15"/>
              </w:rPr>
              <w:t xml:space="preserve">0.7110</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0.0272</w:t>
            </w:r>
          </w:p>
        </w:tc>
        <w:tc>
          <w:tcPr>
            <w:tcW w:w="780" w:type="dxa"/>
            <w:vAlign w:val="center"/>
          </w:tcPr>
          <w:p>
            <w:pPr>
              <w:jc w:val="center"/>
              <w:spacing w:after="20" w:line="240" w:lineRule="auto"/>
            </w:pPr>
            <w:r>
              <w:rPr>
                <w:rFonts w:ascii="Times New Roman" w:hAnsi="Times New Roman"/>
                <w:sz w:val="15"/>
                <w:szCs w:val="15"/>
              </w:rPr>
              <w:t xml:space="preserve">0.2923</w:t>
            </w:r>
          </w:p>
        </w:tc>
        <w:tc>
          <w:tcPr>
            <w:tcW w:w="780" w:type="dxa"/>
            <w:vAlign w:val="center"/>
          </w:tcPr>
          <w:p>
            <w:pPr>
              <w:jc w:val="center"/>
              <w:spacing w:after="20" w:line="240" w:lineRule="auto"/>
            </w:pPr>
            <w:r>
              <w:rPr>
                <w:rFonts w:ascii="Times New Roman" w:hAnsi="Times New Roman"/>
                <w:sz w:val="15"/>
                <w:szCs w:val="15"/>
              </w:rPr>
              <w:t xml:space="preserve">0.0010</w:t>
            </w:r>
          </w:p>
        </w:tc>
        <w:tc>
          <w:tcPr>
            <w:tcW w:w="780" w:type="dxa"/>
            <w:vAlign w:val="center"/>
          </w:tcPr>
          <w:p>
            <w:pPr>
              <w:jc w:val="center"/>
              <w:spacing w:after="20" w:line="240" w:lineRule="auto"/>
            </w:pPr>
            <w:r>
              <w:rPr>
                <w:rFonts w:ascii="Times New Roman" w:hAnsi="Times New Roman"/>
                <w:sz w:val="15"/>
                <w:szCs w:val="15"/>
              </w:rPr>
              <w:t xml:space="preserve">204</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f18</w:t>
            </w:r>
          </w:p>
        </w:tc>
        <w:tc>
          <w:tcPr>
            <w:tcW w:w="780" w:type="dxa"/>
            <w:vAlign w:val="center"/>
          </w:tcPr>
          <w:p>
            <w:pPr>
              <w:jc w:val="center"/>
              <w:spacing w:after="20" w:line="240" w:lineRule="auto"/>
            </w:pPr>
            <w:r>
              <w:rPr>
                <w:rFonts w:ascii="Times New Roman" w:hAnsi="Times New Roman"/>
                <w:sz w:val="15"/>
                <w:szCs w:val="15"/>
              </w:rPr>
              <w:t xml:space="preserve">0.0488</w:t>
            </w:r>
          </w:p>
        </w:tc>
        <w:tc>
          <w:tcPr>
            <w:tcW w:w="780" w:type="dxa"/>
            <w:vAlign w:val="center"/>
          </w:tcPr>
          <w:p>
            <w:pPr>
              <w:jc w:val="center"/>
              <w:spacing w:after="20" w:line="240" w:lineRule="auto"/>
            </w:pPr>
            <w:r>
              <w:rPr>
                <w:rFonts w:ascii="Times New Roman" w:hAnsi="Times New Roman"/>
                <w:sz w:val="15"/>
                <w:szCs w:val="15"/>
              </w:rPr>
              <w:t xml:space="preserve">0.1686</w:t>
            </w:r>
          </w:p>
        </w:tc>
        <w:tc>
          <w:tcPr>
            <w:tcW w:w="780" w:type="dxa"/>
            <w:vAlign w:val="center"/>
          </w:tcPr>
          <w:p>
            <w:pPr>
              <w:jc w:val="center"/>
              <w:spacing w:after="20" w:line="240" w:lineRule="auto"/>
            </w:pPr>
            <w:r>
              <w:rPr>
                <w:rFonts w:ascii="Times New Roman" w:hAnsi="Times New Roman"/>
                <w:sz w:val="15"/>
                <w:szCs w:val="15"/>
              </w:rPr>
              <w:t xml:space="preserve">0.0113</w:t>
            </w:r>
          </w:p>
        </w:tc>
        <w:tc>
          <w:tcPr>
            <w:tcW w:w="780" w:type="dxa"/>
            <w:vAlign w:val="center"/>
          </w:tcPr>
          <w:p>
            <w:pPr>
              <w:jc w:val="center"/>
              <w:spacing w:after="20" w:line="240" w:lineRule="auto"/>
            </w:pPr>
            <w:r>
              <w:rPr>
                <w:rFonts w:ascii="Times New Roman" w:hAnsi="Times New Roman"/>
                <w:sz w:val="15"/>
                <w:szCs w:val="15"/>
              </w:rPr>
              <w:t xml:space="preserve">0.0057</w:t>
            </w:r>
          </w:p>
        </w:tc>
        <w:tc>
          <w:tcPr>
            <w:tcW w:w="780" w:type="dxa"/>
            <w:vAlign w:val="center"/>
          </w:tcPr>
          <w:p>
            <w:pPr>
              <w:jc w:val="center"/>
              <w:spacing w:after="20" w:line="240" w:lineRule="auto"/>
            </w:pPr>
            <w:r>
              <w:rPr>
                <w:rFonts w:ascii="Times New Roman" w:hAnsi="Times New Roman"/>
                <w:sz w:val="15"/>
                <w:szCs w:val="15"/>
              </w:rPr>
              <w:t xml:space="preserve">0.8816</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0.2127</w:t>
            </w:r>
          </w:p>
        </w:tc>
        <w:tc>
          <w:tcPr>
            <w:tcW w:w="780" w:type="dxa"/>
            <w:vAlign w:val="center"/>
          </w:tcPr>
          <w:p>
            <w:pPr>
              <w:jc w:val="center"/>
              <w:spacing w:after="20" w:line="240" w:lineRule="auto"/>
            </w:pPr>
            <w:r>
              <w:rPr>
                <w:rFonts w:ascii="Times New Roman" w:hAnsi="Times New Roman"/>
                <w:sz w:val="15"/>
                <w:szCs w:val="15"/>
              </w:rPr>
              <w:t xml:space="preserve">0.0009</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f19</w:t>
            </w:r>
          </w:p>
        </w:tc>
        <w:tc>
          <w:tcPr>
            <w:tcW w:w="780" w:type="dxa"/>
            <w:vAlign w:val="center"/>
          </w:tcPr>
          <w:p>
            <w:pPr>
              <w:jc w:val="center"/>
              <w:spacing w:after="20" w:line="240" w:lineRule="auto"/>
            </w:pPr>
            <w:r>
              <w:rPr>
                <w:rFonts w:ascii="Times New Roman" w:hAnsi="Times New Roman"/>
                <w:sz w:val="15"/>
                <w:szCs w:val="15"/>
              </w:rPr>
              <w:t xml:space="preserve">0.0469</w:t>
            </w:r>
          </w:p>
        </w:tc>
        <w:tc>
          <w:tcPr>
            <w:tcW w:w="780" w:type="dxa"/>
            <w:vAlign w:val="center"/>
          </w:tcPr>
          <w:p>
            <w:pPr>
              <w:jc w:val="center"/>
              <w:spacing w:after="20" w:line="240" w:lineRule="auto"/>
            </w:pPr>
            <w:r>
              <w:rPr>
                <w:rFonts w:ascii="Times New Roman" w:hAnsi="Times New Roman"/>
                <w:sz w:val="15"/>
                <w:szCs w:val="15"/>
              </w:rPr>
              <w:t xml:space="preserve">0.1622</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0.0031</w:t>
            </w:r>
          </w:p>
        </w:tc>
        <w:tc>
          <w:tcPr>
            <w:tcW w:w="780" w:type="dxa"/>
            <w:vAlign w:val="center"/>
          </w:tcPr>
          <w:p>
            <w:pPr>
              <w:jc w:val="center"/>
              <w:spacing w:after="20" w:line="240" w:lineRule="auto"/>
            </w:pPr>
            <w:r>
              <w:rPr>
                <w:rFonts w:ascii="Times New Roman" w:hAnsi="Times New Roman"/>
                <w:sz w:val="15"/>
                <w:szCs w:val="15"/>
              </w:rPr>
              <w:t xml:space="preserve">0.8116</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0.2764</w:t>
            </w:r>
          </w:p>
        </w:tc>
        <w:tc>
          <w:tcPr>
            <w:tcW w:w="780" w:type="dxa"/>
            <w:vAlign w:val="center"/>
          </w:tcPr>
          <w:p>
            <w:pPr>
              <w:jc w:val="center"/>
              <w:spacing w:after="20" w:line="240" w:lineRule="auto"/>
            </w:pPr>
            <w:r>
              <w:rPr>
                <w:rFonts w:ascii="Times New Roman" w:hAnsi="Times New Roman"/>
                <w:sz w:val="15"/>
                <w:szCs w:val="15"/>
              </w:rPr>
              <w:t xml:space="preserve">0.0023</w:t>
            </w:r>
          </w:p>
        </w:tc>
        <w:tc>
          <w:tcPr>
            <w:tcW w:w="780" w:type="dxa"/>
            <w:vAlign w:val="center"/>
          </w:tcPr>
          <w:p>
            <w:pPr>
              <w:jc w:val="center"/>
              <w:spacing w:after="20" w:line="240" w:lineRule="auto"/>
            </w:pPr>
            <w:r>
              <w:rPr>
                <w:rFonts w:ascii="Times New Roman" w:hAnsi="Times New Roman"/>
                <w:sz w:val="15"/>
                <w:szCs w:val="15"/>
              </w:rPr>
              <w:t xml:space="preserve">208</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f20</w:t>
            </w:r>
          </w:p>
        </w:tc>
        <w:tc>
          <w:tcPr>
            <w:tcW w:w="780" w:type="dxa"/>
            <w:vAlign w:val="center"/>
          </w:tcPr>
          <w:p>
            <w:pPr>
              <w:jc w:val="center"/>
              <w:spacing w:after="20" w:line="240" w:lineRule="auto"/>
            </w:pPr>
            <w:r>
              <w:rPr>
                <w:rFonts w:ascii="Times New Roman" w:hAnsi="Times New Roman"/>
                <w:sz w:val="15"/>
                <w:szCs w:val="15"/>
              </w:rPr>
              <w:t xml:space="preserve">0.0471</w:t>
            </w:r>
          </w:p>
        </w:tc>
        <w:tc>
          <w:tcPr>
            <w:tcW w:w="780" w:type="dxa"/>
            <w:vAlign w:val="center"/>
          </w:tcPr>
          <w:p>
            <w:pPr>
              <w:jc w:val="center"/>
              <w:spacing w:after="20" w:line="240" w:lineRule="auto"/>
            </w:pPr>
            <w:r>
              <w:rPr>
                <w:rFonts w:ascii="Times New Roman" w:hAnsi="Times New Roman"/>
                <w:sz w:val="15"/>
                <w:szCs w:val="15"/>
              </w:rPr>
              <w:t xml:space="preserve">0.1480</w:t>
            </w:r>
          </w:p>
        </w:tc>
        <w:tc>
          <w:tcPr>
            <w:tcW w:w="780" w:type="dxa"/>
            <w:vAlign w:val="center"/>
          </w:tcPr>
          <w:p>
            <w:pPr>
              <w:jc w:val="center"/>
              <w:spacing w:after="20" w:line="240" w:lineRule="auto"/>
            </w:pPr>
            <w:r>
              <w:rPr>
                <w:rFonts w:ascii="Times New Roman" w:hAnsi="Times New Roman"/>
                <w:sz w:val="15"/>
                <w:szCs w:val="15"/>
              </w:rPr>
              <w:t xml:space="preserve">0.0157</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0.7590</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0.0201</w:t>
            </w:r>
          </w:p>
        </w:tc>
        <w:tc>
          <w:tcPr>
            <w:tcW w:w="780" w:type="dxa"/>
            <w:vAlign w:val="center"/>
          </w:tcPr>
          <w:p>
            <w:pPr>
              <w:jc w:val="center"/>
              <w:spacing w:after="20" w:line="240" w:lineRule="auto"/>
            </w:pPr>
            <w:r>
              <w:rPr>
                <w:rFonts w:ascii="Times New Roman" w:hAnsi="Times New Roman"/>
                <w:sz w:val="15"/>
                <w:szCs w:val="15"/>
              </w:rPr>
              <w:t xml:space="preserve">0.2610</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f21</w:t>
            </w:r>
          </w:p>
        </w:tc>
        <w:tc>
          <w:tcPr>
            <w:tcW w:w="780" w:type="dxa"/>
            <w:vAlign w:val="center"/>
          </w:tcPr>
          <w:p>
            <w:pPr>
              <w:jc w:val="center"/>
              <w:spacing w:after="20" w:line="240" w:lineRule="auto"/>
            </w:pPr>
            <w:r>
              <w:rPr>
                <w:rFonts w:ascii="Times New Roman" w:hAnsi="Times New Roman"/>
                <w:sz w:val="15"/>
                <w:szCs w:val="15"/>
              </w:rPr>
              <w:t xml:space="preserve">0.0416</w:t>
            </w:r>
          </w:p>
        </w:tc>
        <w:tc>
          <w:tcPr>
            <w:tcW w:w="780" w:type="dxa"/>
            <w:vAlign w:val="center"/>
          </w:tcPr>
          <w:p>
            <w:pPr>
              <w:jc w:val="center"/>
              <w:spacing w:after="20" w:line="240" w:lineRule="auto"/>
            </w:pPr>
            <w:r>
              <w:rPr>
                <w:rFonts w:ascii="Times New Roman" w:hAnsi="Times New Roman"/>
                <w:sz w:val="15"/>
                <w:szCs w:val="15"/>
              </w:rPr>
              <w:t xml:space="preserve">0.1653</w:t>
            </w:r>
          </w:p>
        </w:tc>
        <w:tc>
          <w:tcPr>
            <w:tcW w:w="780" w:type="dxa"/>
            <w:vAlign w:val="center"/>
          </w:tcPr>
          <w:p>
            <w:pPr>
              <w:jc w:val="center"/>
              <w:spacing w:after="20" w:line="240" w:lineRule="auto"/>
            </w:pPr>
            <w:r>
              <w:rPr>
                <w:rFonts w:ascii="Times New Roman" w:hAnsi="Times New Roman"/>
                <w:sz w:val="15"/>
                <w:szCs w:val="15"/>
              </w:rPr>
              <w:t xml:space="preserve">0.0140</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0.8487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f22</w:t>
            </w:r>
          </w:p>
        </w:tc>
        <w:tc>
          <w:tcPr>
            <w:tcW w:w="780" w:type="dxa"/>
            <w:vAlign w:val="center"/>
          </w:tcPr>
          <w:p>
            <w:pPr>
              <w:jc w:val="center"/>
              <w:spacing w:after="20" w:line="240" w:lineRule="auto"/>
            </w:pPr>
            <w:r>
              <w:rPr>
                <w:rFonts w:ascii="Times New Roman" w:hAnsi="Times New Roman"/>
                <w:sz w:val="15"/>
                <w:szCs w:val="15"/>
              </w:rPr>
              <w:t xml:space="preserve">0.0476</w:t>
            </w:r>
          </w:p>
        </w:tc>
        <w:tc>
          <w:tcPr>
            <w:tcW w:w="780" w:type="dxa"/>
            <w:vAlign w:val="center"/>
          </w:tcPr>
          <w:p>
            <w:pPr>
              <w:jc w:val="center"/>
              <w:spacing w:after="20" w:line="240" w:lineRule="auto"/>
            </w:pPr>
            <w:r>
              <w:rPr>
                <w:rFonts w:ascii="Times New Roman" w:hAnsi="Times New Roman"/>
                <w:sz w:val="15"/>
                <w:szCs w:val="15"/>
              </w:rPr>
              <w:t xml:space="preserve">0.1231</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0.0170</w:t>
            </w:r>
          </w:p>
        </w:tc>
        <w:tc>
          <w:tcPr>
            <w:tcW w:w="780" w:type="dxa"/>
            <w:vAlign w:val="center"/>
          </w:tcPr>
          <w:p>
            <w:pPr>
              <w:jc w:val="center"/>
              <w:spacing w:after="20" w:line="240" w:lineRule="auto"/>
            </w:pPr>
            <w:r>
              <w:rPr>
                <w:rFonts w:ascii="Times New Roman" w:hAnsi="Times New Roman"/>
                <w:sz w:val="15"/>
                <w:szCs w:val="15"/>
              </w:rPr>
              <w:t xml:space="preserve">0.0208</w:t>
            </w:r>
          </w:p>
        </w:tc>
        <w:tc>
          <w:tcPr>
            <w:tcW w:w="780" w:type="dxa"/>
            <w:vAlign w:val="center"/>
          </w:tcPr>
          <w:p>
            <w:pPr>
              <w:jc w:val="center"/>
              <w:spacing w:after="20" w:line="240" w:lineRule="auto"/>
            </w:pPr>
            <w:r>
              <w:rPr>
                <w:rFonts w:ascii="Times New Roman" w:hAnsi="Times New Roman"/>
                <w:sz w:val="15"/>
                <w:szCs w:val="15"/>
              </w:rPr>
              <w:t xml:space="preserve">0.2125</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175</w:t>
            </w:r>
          </w:p>
        </w:tc>
        <w:tc>
          <w:tcPr>
            <w:tcW w:w="780" w:type="dxa"/>
            <w:vAlign w:val="center"/>
          </w:tcPr>
          <w:p>
            <w:pPr>
              <w:jc w:val="center"/>
              <w:spacing w:after="20" w:line="240" w:lineRule="auto"/>
            </w:pPr>
            <w:r>
              <w:rPr>
                <w:rFonts w:ascii="Times New Roman" w:hAnsi="Times New Roman"/>
                <w:sz w:val="15"/>
                <w:szCs w:val="15"/>
              </w:rPr>
              <w:t xml:space="preserve">0.21</w:t>
            </w:r>
          </w:p>
        </w:tc>
      </w:tr>
      <w:tr>
        <w:tc>
          <w:tcPr>
            <w:tcW w:w="780" w:type="dxa"/>
            <w:vAlign w:val="center"/>
          </w:tcPr>
          <w:p>
            <w:pPr>
              <w:jc w:val="center"/>
              <w:spacing w:after="20" w:line="240" w:lineRule="auto"/>
            </w:pPr>
            <w:r>
              <w:rPr>
                <w:rFonts w:ascii="Times New Roman" w:hAnsi="Times New Roman"/>
                <w:sz w:val="15"/>
                <w:szCs w:val="15"/>
              </w:rPr>
              <w:t xml:space="preserve">f23</w:t>
            </w:r>
          </w:p>
        </w:tc>
        <w:tc>
          <w:tcPr>
            <w:tcW w:w="780" w:type="dxa"/>
            <w:vAlign w:val="center"/>
          </w:tcPr>
          <w:p>
            <w:pPr>
              <w:jc w:val="center"/>
              <w:spacing w:after="20" w:line="240" w:lineRule="auto"/>
            </w:pPr>
            <w:r>
              <w:rPr>
                <w:rFonts w:ascii="Times New Roman" w:hAnsi="Times New Roman"/>
                <w:sz w:val="15"/>
                <w:szCs w:val="15"/>
              </w:rPr>
              <w:t xml:space="preserve">0.0455</w:t>
            </w:r>
          </w:p>
        </w:tc>
        <w:tc>
          <w:tcPr>
            <w:tcW w:w="780" w:type="dxa"/>
            <w:vAlign w:val="center"/>
          </w:tcPr>
          <w:p>
            <w:pPr>
              <w:jc w:val="center"/>
              <w:spacing w:after="20" w:line="240" w:lineRule="auto"/>
            </w:pPr>
            <w:r>
              <w:rPr>
                <w:rFonts w:ascii="Times New Roman" w:hAnsi="Times New Roman"/>
                <w:sz w:val="15"/>
                <w:szCs w:val="15"/>
              </w:rPr>
              <w:t xml:space="preserve">0.1453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0.6587</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0.0222</w:t>
            </w:r>
          </w:p>
        </w:tc>
        <w:tc>
          <w:tcPr>
            <w:tcW w:w="780" w:type="dxa"/>
            <w:vAlign w:val="center"/>
          </w:tcPr>
          <w:p>
            <w:pPr>
              <w:jc w:val="center"/>
              <w:spacing w:after="20" w:line="240" w:lineRule="auto"/>
            </w:pPr>
            <w:r>
              <w:rPr>
                <w:rFonts w:ascii="Times New Roman" w:hAnsi="Times New Roman"/>
                <w:sz w:val="15"/>
                <w:szCs w:val="15"/>
              </w:rPr>
              <w:t xml:space="preserve">0.2223</w:t>
            </w:r>
          </w:p>
        </w:tc>
        <w:tc>
          <w:tcPr>
            <w:tcW w:w="780" w:type="dxa"/>
            <w:vAlign w:val="center"/>
          </w:tcPr>
          <w:p>
            <w:pPr>
              <w:jc w:val="center"/>
              <w:spacing w:after="20" w:line="240" w:lineRule="auto"/>
            </w:pPr>
            <w:r>
              <w:rPr>
                <w:rFonts w:ascii="Times New Roman" w:hAnsi="Times New Roman"/>
                <w:sz w:val="15"/>
                <w:szCs w:val="15"/>
              </w:rPr>
              <w:t xml:space="preserve">0.0018</w:t>
            </w:r>
          </w:p>
        </w:tc>
        <w:tc>
          <w:tcPr>
            <w:tcW w:w="780" w:type="dxa"/>
            <w:vAlign w:val="center"/>
          </w:tcPr>
          <w:p>
            <w:pPr>
              <w:jc w:val="center"/>
              <w:spacing w:after="20" w:line="240" w:lineRule="auto"/>
            </w:pPr>
            <w:r>
              <w:rPr>
                <w:rFonts w:ascii="Times New Roman" w:hAnsi="Times New Roman"/>
                <w:sz w:val="15"/>
                <w:szCs w:val="15"/>
              </w:rPr>
              <w:t xml:space="preserve">196</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f24</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0.1421</w:t>
            </w:r>
          </w:p>
        </w:tc>
        <w:tc>
          <w:tcPr>
            <w:tcW w:w="780" w:type="dxa"/>
            <w:vAlign w:val="center"/>
          </w:tcPr>
          <w:p>
            <w:pPr>
              <w:jc w:val="center"/>
              <w:spacing w:after="20" w:line="240" w:lineRule="auto"/>
            </w:pPr>
            <w:r>
              <w:rPr>
                <w:rFonts w:ascii="Times New Roman" w:hAnsi="Times New Roman"/>
                <w:sz w:val="15"/>
                <w:szCs w:val="15"/>
              </w:rPr>
              <w:t xml:space="preserve">0.0127</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0.9487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0.0238</w:t>
            </w:r>
          </w:p>
        </w:tc>
        <w:tc>
          <w:tcPr>
            <w:tcW w:w="780" w:type="dxa"/>
            <w:vAlign w:val="center"/>
          </w:tcPr>
          <w:p>
            <w:pPr>
              <w:jc w:val="center"/>
              <w:spacing w:after="20" w:line="240" w:lineRule="auto"/>
            </w:pPr>
            <w:r>
              <w:rPr>
                <w:rFonts w:ascii="Times New Roman" w:hAnsi="Times New Roman"/>
                <w:sz w:val="15"/>
                <w:szCs w:val="15"/>
              </w:rPr>
              <w:t xml:space="preserve">0.2245</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189</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f25</w:t>
            </w:r>
          </w:p>
        </w:tc>
        <w:tc>
          <w:tcPr>
            <w:tcW w:w="780" w:type="dxa"/>
            <w:vAlign w:val="center"/>
          </w:tcPr>
          <w:p>
            <w:pPr>
              <w:jc w:val="center"/>
              <w:spacing w:after="20" w:line="240" w:lineRule="auto"/>
            </w:pPr>
            <w:r>
              <w:rPr>
                <w:rFonts w:ascii="Times New Roman" w:hAnsi="Times New Roman"/>
                <w:sz w:val="15"/>
                <w:szCs w:val="15"/>
              </w:rPr>
              <w:t xml:space="preserve">0.0413</w:t>
            </w:r>
          </w:p>
        </w:tc>
        <w:tc>
          <w:tcPr>
            <w:tcW w:w="780" w:type="dxa"/>
            <w:vAlign w:val="center"/>
          </w:tcPr>
          <w:p>
            <w:pPr>
              <w:jc w:val="center"/>
              <w:spacing w:after="20" w:line="240" w:lineRule="auto"/>
            </w:pPr>
            <w:r>
              <w:rPr>
                <w:rFonts w:ascii="Times New Roman" w:hAnsi="Times New Roman"/>
                <w:sz w:val="15"/>
                <w:szCs w:val="15"/>
              </w:rPr>
              <w:t xml:space="preserve">0.1253</w:t>
            </w:r>
          </w:p>
        </w:tc>
        <w:tc>
          <w:tcPr>
            <w:tcW w:w="780" w:type="dxa"/>
            <w:vAlign w:val="center"/>
          </w:tcPr>
          <w:p>
            <w:pPr>
              <w:jc w:val="center"/>
              <w:spacing w:after="20" w:line="240" w:lineRule="auto"/>
            </w:pPr>
            <w:r>
              <w:rPr>
                <w:rFonts w:ascii="Times New Roman" w:hAnsi="Times New Roman"/>
                <w:sz w:val="15"/>
                <w:szCs w:val="15"/>
              </w:rPr>
              <w:t xml:space="preserve">0.0152</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0.0193</w:t>
            </w:r>
          </w:p>
        </w:tc>
        <w:tc>
          <w:tcPr>
            <w:tcW w:w="780" w:type="dxa"/>
            <w:vAlign w:val="center"/>
          </w:tcPr>
          <w:p>
            <w:pPr>
              <w:jc w:val="center"/>
              <w:spacing w:after="20" w:line="240" w:lineRule="auto"/>
            </w:pPr>
            <w:r>
              <w:rPr>
                <w:rFonts w:ascii="Times New Roman" w:hAnsi="Times New Roman"/>
                <w:sz w:val="15"/>
                <w:szCs w:val="15"/>
              </w:rPr>
              <w:t xml:space="preserve">0.0228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0.26</w:t>
            </w:r>
          </w:p>
        </w:tc>
      </w:tr>
    </w:tbl>
    <w:p>
      <w:pPr>
        <w:spacing w:after="120"/>
      </w:pPr>
    </w:p>
    <w:p>
      <w:pPr>
        <w:pStyle w:val="Heading3"/>
      </w:pPr>
      <w:r>
        <w:rPr>
          <w:b/>
          <w:rFonts w:ascii="Times New Roman" w:hAnsi="Times New Roman"/>
          <w:sz w:val="26"/>
          <w:szCs w:val="26"/>
        </w:rPr>
        <w:t xml:space="preserve">4.1.2  Selection of SAW Process Parameters</w:t>
      </w:r>
    </w:p>
    <w:p>
      <w:pPr>
        <w:jc w:val="both"/>
      </w:pPr>
      <w:r>
        <w:rPr>
          <w:rFonts w:ascii="Times New Roman" w:hAnsi="Times New Roman"/>
          <w:sz w:val="24"/>
          <w:szCs w:val="24"/>
        </w:rPr>
        <w:t xml:space="preserve">The parameters of the multipass bead-on-plate experiments were carefully determined based on pre-trial experiments. A single-wire submerged arc welding (SAW) machine was used, with a welding current of 230 A, an arc voltage of 25 V and a welding speed of 8 inches/min (3.39 mm/s). These parameters were chosen on the basis of pre-trial tests to ensure bead profile consistency, slag detachability and freedom from surface defects such as undercut or over-reinforcement.</w:t>
      </w:r>
    </w:p>
    <w:p>
      <w:pPr>
        <w:jc w:val="both"/>
      </w:pPr>
      <w:r>
        <w:rPr>
          <w:rFonts w:ascii="Times New Roman" w:hAnsi="Times New Roman"/>
          <w:sz w:val="24"/>
          <w:szCs w:val="24"/>
        </w:rPr>
        <w:t xml:space="preserve">The heat input was computed as follows:</w:t>
      </w:r>
    </w:p>
    <w:p>
      <w:pPr>
        <w:jc w:val="center"/>
        <w:spacing w:before="80" w:after="80"/>
      </w:pPr>
      <w:r>
        <w:rPr>
          <w:i/>
          <w:rFonts w:ascii="Times New Roman" w:hAnsi="Times New Roman"/>
          <w:sz w:val="24"/>
          <w:szCs w:val="24"/>
        </w:rPr>
        <w:t xml:space="preserve">Heat Input (HI) = (V × I × 60 / S) × η                      (Equation 4.4)</w:t>
      </w:r>
    </w:p>
    <w:p>
      <w:pPr>
        <w:jc w:val="both"/>
      </w:pPr>
      <w:r>
        <w:rPr>
          <w:rFonts w:ascii="Times New Roman" w:hAnsi="Times New Roman"/>
          <w:sz w:val="24"/>
          <w:szCs w:val="24"/>
        </w:rPr>
        <w:t xml:space="preserve">with the arc efficiency η = 0.75. A heat-input value of about 1.02 kJ/mm was obtained from Equation 4.4, which is within the recommended range of 0.8–2.5 kJ/mm for X70 pipeline steel welding. This will not cause excessive coarsening of the heat-affected zone, and will ensure that the flux is fully melted and that the reaction time between slag and metal is sufficient.</w:t>
      </w:r>
    </w:p>
    <w:p>
      <w:pPr>
        <w:jc w:val="both"/>
      </w:pPr>
      <w:r>
        <w:rPr>
          <w:rFonts w:ascii="Times New Roman" w:hAnsi="Times New Roman"/>
          <w:sz w:val="24"/>
          <w:szCs w:val="24"/>
        </w:rPr>
        <w:t xml:space="preserve">EA2TiB filler wire of 2.4 mm diameter was utilized, with no extra cold feed wire, because the wire feed rate was kept constant to ensure the same amount of metal was deposited in all 25 flux formulations. Using laboratory-prepared basic fluxes, twenty-five multipass SAW weld beads (flat position configuration) were deposited on API X70 pipeline steel plates of 16 mm thickness. No edge preparation was done for bead-on-plate experimentation.</w:t>
      </w:r>
    </w:p>
    <w:p>
      <w:pPr>
        <w:jc w:val="both"/>
      </w:pPr>
      <w:r>
        <w:rPr>
          <w:rFonts w:ascii="Times New Roman" w:hAnsi="Times New Roman"/>
          <w:sz w:val="24"/>
          <w:szCs w:val="24"/>
        </w:rPr>
        <w:t xml:space="preserve">The weld passes were made by depositing a multipass bead for each flux composition, and for every flux a total of 5 passes were deposited over the bead. The first pass was the root/bead-on-plate, and the other four pass depositions were done under controlled cooling conditions. The interpass temperature (120–150°C) was maintained and monitored at 25 mm from the centreline of the weld bead using a contact thermocouple sensor. This relatively low interpass temperature was used to prevent the formation of coarse grains or martensite in the weld metal of the multipass welds.</w:t>
      </w:r>
    </w:p>
    <w:p>
      <w:pPr>
        <w:jc w:val="both"/>
      </w:pPr>
      <w:r>
        <w:rPr>
          <w:rFonts w:ascii="Times New Roman" w:hAnsi="Times New Roman"/>
          <w:sz w:val="24"/>
          <w:szCs w:val="24"/>
        </w:rPr>
        <w:t xml:space="preserve">For the full butt-welded joint experimentation, butt-welded steel base plates of dimensions 140 mm × 140 mm × 22 mm were prepared using API X70 steel. All experimental welding was carried out using direct current electrode positive (DCEP) polarity, and welding parameters were selected after preliminary test welds. The schematic representation of the butt weld joint is shown in Figure 4.2; keeping the nozzle-to-tip distance constant at 20 mm, a welding speed of 13 inch/min, a current of 440 A and a voltage of 28 V were used.</w:t>
      </w:r>
    </w:p>
    <w:p>
      <w:pPr>
        <w:jc w:val="center"/>
        <w:spacing w:before="120" w:after="20"/>
      </w:pPr>
      <w:r>
        <w:drawing>
          <wp:inline distT="0" distB="0" distL="0" distR="0">
            <wp:extent cx="5029200" cy="3188512"/>
            <wp:docPr id="2" name="Picture2"/>
            <a:graphic xmlns:a="http://schemas.openxmlformats.org/drawingml/2006/main">
              <a:graphicData uri="http://schemas.openxmlformats.org/drawingml/2006/picture">
                <pic:pic xmlns:pic="http://schemas.openxmlformats.org/drawingml/2006/picture">
                  <pic:nvPicPr>
                    <pic:cNvPr id="2" name="Picture2"/>
                    <pic:cNvPicPr/>
                  </pic:nvPicPr>
                  <pic:blipFill>
                    <a:blip r:embed="rIdImg2"/>
                    <a:stretch>
                      <a:fillRect/>
                    </a:stretch>
                  </pic:blipFill>
                  <pic:spPr>
                    <a:xfrm>
                      <a:off x="0" y="0"/>
                      <a:ext cx="5029200" cy="3188512"/>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4.2  Schematic representation of the butt weld joint (60° groove angle, 2 mm root gap, 22 mm plate thickness).</w:t>
      </w:r>
    </w:p>
    <w:p>
      <w:pPr>
        <w:jc w:val="center"/>
        <w:spacing w:before="160" w:after="60"/>
        <w:keepNext/>
      </w:pPr>
      <w:r>
        <w:rPr>
          <w:b/>
          <w:rFonts w:ascii="Times New Roman" w:hAnsi="Times New Roman"/>
          <w:sz w:val="22"/>
          <w:szCs w:val="22"/>
        </w:rPr>
        <w:t xml:space="preserve">Table 4.5  Chemical composition analysis of base metal and filler wire</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936"/>
        <w:gridCol w:w="936"/>
        <w:gridCol w:w="936"/>
        <w:gridCol w:w="936"/>
        <w:gridCol w:w="936"/>
        <w:gridCol w:w="936"/>
        <w:gridCol w:w="936"/>
        <w:gridCol w:w="936"/>
        <w:gridCol w:w="936"/>
        <w:gridCol w:w="936"/>
      </w:tblGrid>
      <w:tr>
        <w:trPr>
          <w:tblHeader/>
        </w:trPr>
        <w:tc>
          <w:tcPr>
            <w:tcW w:w="936" w:type="dxa"/>
            <w:vAlign w:val="center"/>
            <w:shd w:val="clear" w:color="auto" w:fill="D9E2F3"/>
          </w:tcPr>
          <w:p>
            <w:pPr>
              <w:jc w:val="center"/>
              <w:spacing w:after="20" w:line="240" w:lineRule="auto"/>
            </w:pPr>
            <w:r>
              <w:rPr>
                <w:b/>
                <w:rFonts w:ascii="Times New Roman" w:hAnsi="Times New Roman"/>
                <w:sz w:val="18"/>
                <w:szCs w:val="18"/>
              </w:rPr>
              <w:t xml:space="preserve">Material</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Mn</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P</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S</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Mo</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Ni</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Cr</w:t>
            </w:r>
          </w:p>
        </w:tc>
        <w:tc>
          <w:tcPr>
            <w:tcW w:w="936" w:type="dxa"/>
            <w:vAlign w:val="center"/>
            <w:shd w:val="clear" w:color="auto" w:fill="D9E2F3"/>
          </w:tcPr>
          <w:p>
            <w:pPr>
              <w:jc w:val="center"/>
              <w:spacing w:after="20" w:line="240" w:lineRule="auto"/>
            </w:pPr>
            <w:r>
              <w:rPr>
                <w:b/>
                <w:rFonts w:ascii="Times New Roman" w:hAnsi="Times New Roman"/>
                <w:sz w:val="18"/>
                <w:szCs w:val="18"/>
              </w:rPr>
              <w:t xml:space="preserve">Fe</w:t>
            </w:r>
          </w:p>
        </w:tc>
      </w:tr>
      <w:tr>
        <w:tc>
          <w:tcPr>
            <w:tcW w:w="936" w:type="dxa"/>
            <w:vAlign w:val="center"/>
          </w:tcPr>
          <w:p>
            <w:pPr>
              <w:jc w:val="left"/>
              <w:spacing w:after="20" w:line="240" w:lineRule="auto"/>
            </w:pPr>
            <w:r>
              <w:rPr>
                <w:rFonts w:ascii="Times New Roman" w:hAnsi="Times New Roman"/>
                <w:sz w:val="18"/>
                <w:szCs w:val="18"/>
              </w:rPr>
              <w:t xml:space="preserve">BM (X70)</w:t>
            </w:r>
          </w:p>
        </w:tc>
        <w:tc>
          <w:tcPr>
            <w:tcW w:w="936" w:type="dxa"/>
            <w:vAlign w:val="center"/>
          </w:tcPr>
          <w:p>
            <w:pPr>
              <w:jc w:val="center"/>
              <w:spacing w:after="20" w:line="240" w:lineRule="auto"/>
            </w:pPr>
            <w:r>
              <w:rPr>
                <w:rFonts w:ascii="Times New Roman" w:hAnsi="Times New Roman"/>
                <w:sz w:val="18"/>
                <w:szCs w:val="18"/>
              </w:rPr>
              <w:t xml:space="preserve">0.058</w:t>
            </w:r>
          </w:p>
        </w:tc>
        <w:tc>
          <w:tcPr>
            <w:tcW w:w="936" w:type="dxa"/>
            <w:vAlign w:val="center"/>
          </w:tcPr>
          <w:p>
            <w:pPr>
              <w:jc w:val="center"/>
              <w:spacing w:after="20" w:line="240" w:lineRule="auto"/>
            </w:pPr>
            <w:r>
              <w:rPr>
                <w:rFonts w:ascii="Times New Roman" w:hAnsi="Times New Roman"/>
                <w:sz w:val="18"/>
                <w:szCs w:val="18"/>
              </w:rPr>
              <w:t xml:space="preserve">0.331</w:t>
            </w:r>
          </w:p>
        </w:tc>
        <w:tc>
          <w:tcPr>
            <w:tcW w:w="936" w:type="dxa"/>
            <w:vAlign w:val="center"/>
          </w:tcPr>
          <w:p>
            <w:pPr>
              <w:jc w:val="center"/>
              <w:spacing w:after="20" w:line="240" w:lineRule="auto"/>
            </w:pPr>
            <w:r>
              <w:rPr>
                <w:rFonts w:ascii="Times New Roman" w:hAnsi="Times New Roman"/>
                <w:sz w:val="18"/>
                <w:szCs w:val="18"/>
              </w:rPr>
              <w:t xml:space="preserve">1.590</w:t>
            </w:r>
          </w:p>
        </w:tc>
        <w:tc>
          <w:tcPr>
            <w:tcW w:w="936" w:type="dxa"/>
            <w:vAlign w:val="center"/>
          </w:tcPr>
          <w:p>
            <w:pPr>
              <w:jc w:val="center"/>
              <w:spacing w:after="20" w:line="240" w:lineRule="auto"/>
            </w:pPr>
            <w:r>
              <w:rPr>
                <w:rFonts w:ascii="Times New Roman" w:hAnsi="Times New Roman"/>
                <w:sz w:val="18"/>
                <w:szCs w:val="18"/>
              </w:rPr>
              <w:t xml:space="preserve">0.006</w:t>
            </w:r>
          </w:p>
        </w:tc>
        <w:tc>
          <w:tcPr>
            <w:tcW w:w="936" w:type="dxa"/>
            <w:vAlign w:val="center"/>
          </w:tcPr>
          <w:p>
            <w:pPr>
              <w:jc w:val="center"/>
              <w:spacing w:after="20" w:line="240" w:lineRule="auto"/>
            </w:pPr>
            <w:r>
              <w:rPr>
                <w:rFonts w:ascii="Times New Roman" w:hAnsi="Times New Roman"/>
                <w:sz w:val="18"/>
                <w:szCs w:val="18"/>
              </w:rPr>
              <w:t xml:space="preserve">0.002</w:t>
            </w:r>
          </w:p>
        </w:tc>
        <w:tc>
          <w:tcPr>
            <w:tcW w:w="936" w:type="dxa"/>
            <w:vAlign w:val="center"/>
          </w:tcPr>
          <w:p>
            <w:pPr>
              <w:jc w:val="center"/>
              <w:spacing w:after="20" w:line="240" w:lineRule="auto"/>
            </w:pPr>
            <w:r>
              <w:rPr>
                <w:rFonts w:ascii="Times New Roman" w:hAnsi="Times New Roman"/>
                <w:sz w:val="18"/>
                <w:szCs w:val="18"/>
              </w:rPr>
              <w:t xml:space="preserve">0.003</w:t>
            </w:r>
          </w:p>
        </w:tc>
        <w:tc>
          <w:tcPr>
            <w:tcW w:w="936" w:type="dxa"/>
            <w:vAlign w:val="center"/>
          </w:tcPr>
          <w:p>
            <w:pPr>
              <w:jc w:val="center"/>
              <w:spacing w:after="20" w:line="240" w:lineRule="auto"/>
            </w:pPr>
            <w:r>
              <w:rPr>
                <w:rFonts w:ascii="Times New Roman" w:hAnsi="Times New Roman"/>
                <w:sz w:val="18"/>
                <w:szCs w:val="18"/>
              </w:rPr>
              <w:t xml:space="preserve">0.219</w:t>
            </w:r>
          </w:p>
        </w:tc>
        <w:tc>
          <w:tcPr>
            <w:tcW w:w="936" w:type="dxa"/>
            <w:vAlign w:val="center"/>
          </w:tcPr>
          <w:p>
            <w:pPr>
              <w:jc w:val="center"/>
              <w:spacing w:after="20" w:line="240" w:lineRule="auto"/>
            </w:pPr>
            <w:r>
              <w:rPr>
                <w:rFonts w:ascii="Times New Roman" w:hAnsi="Times New Roman"/>
                <w:sz w:val="18"/>
                <w:szCs w:val="18"/>
              </w:rPr>
              <w:t xml:space="preserve">0.007</w:t>
            </w:r>
          </w:p>
        </w:tc>
        <w:tc>
          <w:tcPr>
            <w:tcW w:w="936" w:type="dxa"/>
            <w:vAlign w:val="center"/>
          </w:tcPr>
          <w:p>
            <w:pPr>
              <w:jc w:val="center"/>
              <w:spacing w:after="20" w:line="240" w:lineRule="auto"/>
            </w:pPr>
            <w:r>
              <w:rPr>
                <w:rFonts w:ascii="Times New Roman" w:hAnsi="Times New Roman"/>
                <w:sz w:val="18"/>
                <w:szCs w:val="18"/>
              </w:rPr>
              <w:t xml:space="preserve">98.1</w:t>
            </w:r>
          </w:p>
        </w:tc>
      </w:tr>
      <w:tr>
        <w:tc>
          <w:tcPr>
            <w:tcW w:w="936" w:type="dxa"/>
            <w:vAlign w:val="center"/>
          </w:tcPr>
          <w:p>
            <w:pPr>
              <w:jc w:val="left"/>
              <w:spacing w:after="20" w:line="240" w:lineRule="auto"/>
            </w:pPr>
            <w:r>
              <w:rPr>
                <w:rFonts w:ascii="Times New Roman" w:hAnsi="Times New Roman"/>
                <w:sz w:val="18"/>
                <w:szCs w:val="18"/>
              </w:rPr>
              <w:t xml:space="preserve">FW (EA2TiB)</w:t>
            </w:r>
          </w:p>
        </w:tc>
        <w:tc>
          <w:tcPr>
            <w:tcW w:w="936" w:type="dxa"/>
            <w:vAlign w:val="center"/>
          </w:tcPr>
          <w:p>
            <w:pPr>
              <w:jc w:val="center"/>
              <w:spacing w:after="20" w:line="240" w:lineRule="auto"/>
            </w:pPr>
            <w:r>
              <w:rPr>
                <w:rFonts w:ascii="Times New Roman" w:hAnsi="Times New Roman"/>
                <w:sz w:val="18"/>
                <w:szCs w:val="18"/>
              </w:rPr>
              <w:t xml:space="preserve">0.03</w:t>
            </w:r>
          </w:p>
        </w:tc>
        <w:tc>
          <w:tcPr>
            <w:tcW w:w="936" w:type="dxa"/>
            <w:vAlign w:val="center"/>
          </w:tcPr>
          <w:p>
            <w:pPr>
              <w:jc w:val="center"/>
              <w:spacing w:after="20" w:line="240" w:lineRule="auto"/>
            </w:pPr>
            <w:r>
              <w:rPr>
                <w:rFonts w:ascii="Times New Roman" w:hAnsi="Times New Roman"/>
                <w:sz w:val="18"/>
                <w:szCs w:val="18"/>
              </w:rPr>
              <w:t xml:space="preserve">0.078</w:t>
            </w:r>
          </w:p>
        </w:tc>
        <w:tc>
          <w:tcPr>
            <w:tcW w:w="936" w:type="dxa"/>
            <w:vAlign w:val="center"/>
          </w:tcPr>
          <w:p>
            <w:pPr>
              <w:jc w:val="center"/>
              <w:spacing w:after="20" w:line="240" w:lineRule="auto"/>
            </w:pPr>
            <w:r>
              <w:rPr>
                <w:rFonts w:ascii="Times New Roman" w:hAnsi="Times New Roman"/>
                <w:sz w:val="18"/>
                <w:szCs w:val="18"/>
              </w:rPr>
              <w:t xml:space="preserve">0.781</w:t>
            </w:r>
          </w:p>
        </w:tc>
        <w:tc>
          <w:tcPr>
            <w:tcW w:w="936" w:type="dxa"/>
            <w:vAlign w:val="center"/>
          </w:tcPr>
          <w:p>
            <w:pPr>
              <w:jc w:val="center"/>
              <w:spacing w:after="20" w:line="240" w:lineRule="auto"/>
            </w:pPr>
            <w:r>
              <w:rPr>
                <w:rFonts w:ascii="Times New Roman" w:hAnsi="Times New Roman"/>
                <w:sz w:val="18"/>
                <w:szCs w:val="18"/>
              </w:rPr>
              <w:t xml:space="preserve">0.020</w:t>
            </w:r>
          </w:p>
        </w:tc>
        <w:tc>
          <w:tcPr>
            <w:tcW w:w="936" w:type="dxa"/>
            <w:vAlign w:val="center"/>
          </w:tcPr>
          <w:p>
            <w:pPr>
              <w:jc w:val="center"/>
              <w:spacing w:after="20" w:line="240" w:lineRule="auto"/>
            </w:pPr>
            <w:r>
              <w:rPr>
                <w:rFonts w:ascii="Times New Roman" w:hAnsi="Times New Roman"/>
                <w:sz w:val="18"/>
                <w:szCs w:val="18"/>
              </w:rPr>
              <w:t xml:space="preserve">0.005</w:t>
            </w:r>
          </w:p>
        </w:tc>
        <w:tc>
          <w:tcPr>
            <w:tcW w:w="936" w:type="dxa"/>
            <w:vAlign w:val="center"/>
          </w:tcPr>
          <w:p>
            <w:pPr>
              <w:jc w:val="center"/>
              <w:spacing w:after="20" w:line="240" w:lineRule="auto"/>
            </w:pPr>
            <w:r>
              <w:rPr>
                <w:rFonts w:ascii="Times New Roman" w:hAnsi="Times New Roman"/>
                <w:sz w:val="18"/>
                <w:szCs w:val="18"/>
              </w:rPr>
              <w:t xml:space="preserve">0.317</w:t>
            </w:r>
          </w:p>
        </w:tc>
        <w:tc>
          <w:tcPr>
            <w:tcW w:w="936" w:type="dxa"/>
            <w:vAlign w:val="center"/>
          </w:tcPr>
          <w:p>
            <w:pPr>
              <w:jc w:val="center"/>
              <w:spacing w:after="20" w:line="240" w:lineRule="auto"/>
            </w:pPr>
            <w:r>
              <w:rPr>
                <w:rFonts w:ascii="Times New Roman" w:hAnsi="Times New Roman"/>
                <w:sz w:val="18"/>
                <w:szCs w:val="18"/>
              </w:rPr>
              <w:t xml:space="preserve">0.090</w:t>
            </w:r>
          </w:p>
        </w:tc>
        <w:tc>
          <w:tcPr>
            <w:tcW w:w="936" w:type="dxa"/>
            <w:vAlign w:val="center"/>
          </w:tcPr>
          <w:p>
            <w:pPr>
              <w:jc w:val="center"/>
              <w:spacing w:after="20" w:line="240" w:lineRule="auto"/>
            </w:pPr>
            <w:r>
              <w:rPr>
                <w:rFonts w:ascii="Times New Roman" w:hAnsi="Times New Roman"/>
                <w:sz w:val="18"/>
                <w:szCs w:val="18"/>
              </w:rPr>
              <w:t xml:space="preserve">0.042</w:t>
            </w:r>
          </w:p>
        </w:tc>
        <w:tc>
          <w:tcPr>
            <w:tcW w:w="936" w:type="dxa"/>
            <w:vAlign w:val="center"/>
          </w:tcPr>
          <w:p>
            <w:pPr>
              <w:jc w:val="center"/>
              <w:spacing w:after="20" w:line="240" w:lineRule="auto"/>
            </w:pPr>
            <w:r>
              <w:rPr>
                <w:rFonts w:ascii="Times New Roman" w:hAnsi="Times New Roman"/>
                <w:sz w:val="18"/>
                <w:szCs w:val="18"/>
              </w:rPr>
              <w:t xml:space="preserve">98.8</w:t>
            </w:r>
          </w:p>
        </w:tc>
      </w:tr>
    </w:tbl>
    <w:p>
      <w:pPr>
        <w:spacing w:after="120"/>
      </w:pPr>
    </w:p>
    <w:p>
      <w:pPr>
        <w:jc w:val="both"/>
      </w:pPr>
      <w:r>
        <w:rPr>
          <w:rFonts w:ascii="Times New Roman" w:hAnsi="Times New Roman"/>
          <w:sz w:val="24"/>
          <w:szCs w:val="24"/>
        </w:rPr>
        <w:t xml:space="preserve">The preparation of the agglomerated fluxes was systematic and repeatable. Each constituent was milled separately in the laboratory until it reached a particle size of less than 45 µm (passing through a 325-mesh sieve). This gives a uniform flux mixture and uniform melting during submerged arc welding. This particle size was selected because of its maximum contact surface area for each individual flux constituent, uniform distribution of binder, and ideal agglomeration, thus eliminating segregation of high-density oxides such as BaO and MnO throughout handling and welding.</w:t>
      </w:r>
    </w:p>
    <w:p>
      <w:pPr>
        <w:jc w:val="both"/>
      </w:pPr>
      <w:r>
        <w:rPr>
          <w:rFonts w:ascii="Times New Roman" w:hAnsi="Times New Roman"/>
          <w:sz w:val="24"/>
          <w:szCs w:val="24"/>
        </w:rPr>
        <w:t xml:space="preserve">Following the weighing of the mineral components according to the design matrix (Table 4.2), the powders were combined in a turbula mixer for 30 minutes to obtain a homogeneous mixture. The inorganic binder used was a solution of potassium silicate (5 wt% of the total batch mass, K₂SiO₃). The binder was diluted in distilled water at a 1:3 ratio to reduce its viscosity, then slowly poured into the powder mixture with continuous stirring to form a whole flux mixture. The flux mixture was homogenized without any segregation, and the mixture was formed into green agglomerates by passing it through a 1.0 mm sieve, followed by drying of the green agglomerates in an oven at 100°C for 2 hours to remove absorbed moisture before cracking. The agglomerates were then crushed and sieved to obtain a final particle size distribution of 0.5 mm to 1.4 mm (ASTM #14–35 mesh). All hydroxyl groups were removed by sealing the sieved fluxes in jars at 120°C overnight, thus reducing the chance of the multipass welded SAW beads cracking as a result of hydrogen.</w:t>
      </w:r>
    </w:p>
    <w:p>
      <w:pPr>
        <w:jc w:val="both"/>
      </w:pPr>
      <w:r>
        <w:rPr>
          <w:rFonts w:ascii="Times New Roman" w:hAnsi="Times New Roman"/>
          <w:sz w:val="24"/>
          <w:szCs w:val="24"/>
        </w:rPr>
        <w:t xml:space="preserve">The thermal schedule for preparation of the flux in the butt weld joint experimentation was slightly different. Various mineral constituents such as silica (SiO₂), titanium dioxide (TiO₂), calcium fluoride (CaF₂), barium oxide (BaO), manganese oxide (MnO) and calcium oxide (CaO) powders were used to make the fluxes. All these mineral constituents were accurately weighed on a digital weighing balance (accuracy 1 mg) and then thoroughly mixed with potassium silicate (15% of weight) as a binding agent for about a quarter of an hour until a uniform mixture was obtained. The role of the potassium silicate is to serve as a binding agent to hold together the separate flux constituents and to enhance arc stability during the construction of welds. The solid material was air-dried for 24 hours, followed by oven-drying at 200°C to remove moisture. After baking, the flux was heated in a muffle furnace at 900°C. The flux was then crushed after being allowed to cool in air, sieved to the required particle size, and finally packed in airtight bags to avoid moisture absorption before welding.</w:t>
      </w:r>
    </w:p>
    <w:p>
      <w:pPr>
        <w:jc w:val="both"/>
      </w:pPr>
      <w:r>
        <w:rPr>
          <w:rFonts w:ascii="Times New Roman" w:hAnsi="Times New Roman"/>
          <w:sz w:val="24"/>
          <w:szCs w:val="24"/>
        </w:rPr>
        <w:t xml:space="preserve">Twenty-five different beads were visually evaluated after the multipass bead-on-plate experiments (Figure 4.3) to check bead morphology, bead porosity and slag detachment. Three fluxes from the present basic flux system were chosen for further screening based on their good bead morphology, minimum porosity and satisfactory slag detachability characteristics. On this basis, fluxes of grade F6B, F20B and F22B of the basic system were chosen for preparation of the final submerged arc weld joints.</w:t>
      </w:r>
    </w:p>
    <w:p>
      <w:pPr>
        <w:pStyle w:val="Heading2"/>
      </w:pPr>
      <w:r>
        <w:rPr>
          <w:b/>
          <w:rFonts w:ascii="Times New Roman" w:hAnsi="Times New Roman"/>
          <w:sz w:val="28"/>
          <w:szCs w:val="28"/>
        </w:rPr>
        <w:t xml:space="preserve">4.3  Characterization of the Physicochemical and Thermophysical Properties of SAW Fluxes</w:t>
      </w:r>
    </w:p>
    <w:p>
      <w:pPr>
        <w:jc w:val="both"/>
      </w:pPr>
      <w:r>
        <w:rPr>
          <w:rFonts w:ascii="Times New Roman" w:hAnsi="Times New Roman"/>
          <w:sz w:val="24"/>
          <w:szCs w:val="24"/>
        </w:rPr>
        <w:t xml:space="preserve">The density, thermal properties (thermal conductivity, thermal diffusivity and specific heat capacity), and phase and structural characteristics of all 25 flux formulations were comprehensively measured using X-ray diffraction (XRD) and Fourier Transform Infrared (FTIR) spectroscopy.</w:t>
      </w:r>
    </w:p>
    <w:p>
      <w:pPr>
        <w:pStyle w:val="Heading3"/>
      </w:pPr>
      <w:r>
        <w:rPr>
          <w:b/>
          <w:rFonts w:ascii="Times New Roman" w:hAnsi="Times New Roman"/>
          <w:sz w:val="26"/>
          <w:szCs w:val="26"/>
        </w:rPr>
        <w:t xml:space="preserve">4.3.1  Measurement of the Density of the Fluxes</w:t>
      </w:r>
    </w:p>
    <w:p>
      <w:pPr>
        <w:jc w:val="both"/>
      </w:pPr>
      <w:r>
        <w:rPr>
          <w:rFonts w:ascii="Times New Roman" w:hAnsi="Times New Roman"/>
          <w:sz w:val="24"/>
          <w:szCs w:val="24"/>
        </w:rPr>
        <w:t xml:space="preserve">The density measurements were made using the tapped-density methodology, in which the flux powders were placed into cylindrical flasks of known volume (10 mL) with a known number of taps, ensuring uniformity of the particle distribution, and finally weighed using a precise analytical balance. This also reflects changes in the bulk properties and welding performance parameters of granular welding materials under the influence of the nature and characteristics of the packing of the granules. The density was calculated using Equation (4.5):</w:t>
      </w:r>
    </w:p>
    <w:p>
      <w:pPr>
        <w:jc w:val="center"/>
        <w:spacing w:before="80" w:after="80"/>
      </w:pPr>
      <w:r>
        <w:rPr>
          <w:i/>
          <w:rFonts w:ascii="Times New Roman" w:hAnsi="Times New Roman"/>
          <w:sz w:val="24"/>
          <w:szCs w:val="24"/>
        </w:rPr>
        <w:t xml:space="preserve">ρ = Mass / Volume                                        (Equation 4.5)</w:t>
      </w:r>
    </w:p>
    <w:p>
      <w:pPr>
        <w:jc w:val="both"/>
      </w:pPr>
      <w:r>
        <w:rPr>
          <w:rFonts w:ascii="Times New Roman" w:hAnsi="Times New Roman"/>
          <w:sz w:val="24"/>
          <w:szCs w:val="24"/>
        </w:rPr>
        <w:t xml:space="preserve">The density values for the 25 different submerged arc welding flux formulations were found to be in the range of 1.40 to 1.54 g/cm³ and correlated well with literature values for such multicomponent flux formulations. In the CaO–SiO₂–CaF₂ flux system, Sharma and Chhibber reported a similar density range of 1.35–1.58 g/cm³, and in the TiO₂–SiO₂–MgO system, Kowalski and Nowak reported a range of 1.42–1.56 g/cm³.</w:t>
      </w:r>
    </w:p>
    <w:p>
      <w:pPr>
        <w:jc w:val="both"/>
      </w:pPr>
      <w:r>
        <w:rPr>
          <w:rFonts w:ascii="Times New Roman" w:hAnsi="Times New Roman"/>
          <w:sz w:val="24"/>
          <w:szCs w:val="24"/>
        </w:rPr>
        <w:t xml:space="preserve">The maximum density values (5.72 g/cm³ for Flux 14–Flux 16 and 5.03 g/cm³ for Flux 23–Flux 25) were obtained for formulations containing high-density oxides (BaO and MnO, respectively), as per rule-of-mixtures calculations. On the other hand, silica-rich (SiO₂, ρ = 2.65 g/cm³) and fluorspar-rich (CaF₂, ρ = 3.18 g/cm³) compositions had a low bulk density (Flux 1–Flux 6). The mean density of 1.48 ± 0.04 g/cm³ is optimal with respect to compaction properties that can be successfully applied to SAW, giving good flux flow and arc coverage. A relatively low coefficient of variation (2.7%) indicates a fairly uniform density structure, which translates to low porosity and high manufacturing reproducibility, owing to the uniform addition of CaO (8%) during the agglomeration process.</w:t>
      </w:r>
    </w:p>
    <w:p>
      <w:pPr>
        <w:pStyle w:val="Heading3"/>
      </w:pPr>
      <w:r>
        <w:rPr>
          <w:b/>
          <w:rFonts w:ascii="Times New Roman" w:hAnsi="Times New Roman"/>
          <w:sz w:val="26"/>
          <w:szCs w:val="26"/>
        </w:rPr>
        <w:t xml:space="preserve">4.3.2  Structural Analysis of Fluxes</w:t>
      </w:r>
    </w:p>
    <w:p>
      <w:pPr>
        <w:jc w:val="both"/>
      </w:pPr>
      <w:r>
        <w:rPr>
          <w:rFonts w:ascii="Times New Roman" w:hAnsi="Times New Roman"/>
          <w:sz w:val="24"/>
          <w:szCs w:val="24"/>
        </w:rPr>
        <w:t xml:space="preserve">The FTIR spectra of eight flux samples are presented in Figure 4.6 and were analyzed to understand the molecular-level features of their structures. Typical absorption bands characteristic of vibrations in the silicate network, hydroxyl groups and metal–oxygen bonds are found for all of the samples, marked with dashed lines.</w:t>
      </w:r>
    </w:p>
    <w:p>
      <w:pPr>
        <w:pStyle w:val="Heading4"/>
      </w:pPr>
      <w:r>
        <w:rPr>
          <w:b/>
          <w:i/>
          <w:rFonts w:ascii="Times New Roman" w:hAnsi="Times New Roman"/>
          <w:sz w:val="24"/>
          <w:szCs w:val="24"/>
        </w:rPr>
        <w:t xml:space="preserve">Si–O–Si Network Interaction and Depolymerization</w:t>
      </w:r>
    </w:p>
    <w:p>
      <w:pPr>
        <w:jc w:val="both"/>
      </w:pPr>
      <w:r>
        <w:rPr>
          <w:rFonts w:ascii="Times New Roman" w:hAnsi="Times New Roman"/>
          <w:sz w:val="24"/>
          <w:szCs w:val="24"/>
        </w:rPr>
        <w:t xml:space="preserve">The most conspicuous feature in all of the spectra is a broad, intense absorbance at about 1070–1120 cm⁻¹, typical of the asymmetric Si–O–Si stretching of the silicate tetrahedra. A systematic shift of this band towards lower wavenumbers is noticed in Fluxes 14, 19, 21 and 25 (set B) compared with the other fluxes (set A: Flux 1, 6, 7, 11). There was an average shift in peak position from 1105 cm⁻¹ for set A to 1085 cm⁻¹ for set B. This red shift is quantitatively analysed in terms of increased depolymerization of the silicate network. Lower wavenumbers correspond to a higher number of non-bridging oxygen atoms (NBOs), the result of modification of the network by the basic oxides (BaO, MnO, CaO).</w:t>
      </w:r>
    </w:p>
    <w:p>
      <w:pPr>
        <w:jc w:val="both"/>
      </w:pPr>
      <w:r>
        <w:rPr>
          <w:rFonts w:ascii="Times New Roman" w:hAnsi="Times New Roman"/>
          <w:sz w:val="24"/>
          <w:szCs w:val="24"/>
        </w:rPr>
        <w:t xml:space="preserve">Two shoulders were observed around 950 cm⁻¹ and assigned to Si–O (non-bridging oxygen) stretching vibrations, which are more intense in the set B samples. The intensity ratio, I₉₅₀/I₁₁₀₀, can be used as a semi-quantitative measure for the quantification of network depolymerization. The average calculated ratio is in the range 0.15–0.25 for set A and 0.30–0.45 for set B, showing that there is more depolymerization due to the modifiers in set B.</w:t>
      </w:r>
    </w:p>
    <w:p>
      <w:pPr>
        <w:pStyle w:val="Heading4"/>
      </w:pPr>
      <w:r>
        <w:rPr>
          <w:b/>
          <w:i/>
          <w:rFonts w:ascii="Times New Roman" w:hAnsi="Times New Roman"/>
          <w:sz w:val="24"/>
          <w:szCs w:val="24"/>
        </w:rPr>
        <w:t xml:space="preserve">Correlation of Thermal and Anticipated Slag Behaviour</w:t>
      </w:r>
    </w:p>
    <w:p>
      <w:pPr>
        <w:jc w:val="both"/>
      </w:pPr>
      <w:r>
        <w:rPr>
          <w:rFonts w:ascii="Times New Roman" w:hAnsi="Times New Roman"/>
          <w:sz w:val="24"/>
          <w:szCs w:val="24"/>
        </w:rPr>
        <w:t xml:space="preserve">The depolymerization index obtained from FTIR is physically consistent with a higher heat-absorption capacity for the more depolymerized set B formulations. The correlation makes good mechanical sense, since depolymerized silicate networks appear to have more vibrational modes and higher configurational entropy than more polymerized species, thereby providing a better capacity for absorbing heat.</w:t>
      </w:r>
    </w:p>
    <w:p>
      <w:pPr>
        <w:jc w:val="both"/>
      </w:pPr>
      <w:r>
        <w:rPr>
          <w:rFonts w:ascii="Times New Roman" w:hAnsi="Times New Roman"/>
          <w:sz w:val="24"/>
          <w:szCs w:val="24"/>
        </w:rPr>
        <w:t xml:space="preserve">It is well established that an increase in network depolymerization decreases the viscosity of the slag and its melting temperature; the dependence of slag viscosity on the extent of network depolymerization is well documented in the literature. So, based on the FTIR evidence, it can reasonably be assumed that there will be more fluidity in the set B formulations, in particular Flux 21 and Flux 25, compared to the set A formulations, and consequently the slag viscosities will be lower.</w:t>
      </w:r>
    </w:p>
    <w:p>
      <w:pPr>
        <w:pStyle w:val="Heading4"/>
      </w:pPr>
      <w:r>
        <w:rPr>
          <w:b/>
          <w:i/>
          <w:rFonts w:ascii="Times New Roman" w:hAnsi="Times New Roman"/>
          <w:sz w:val="24"/>
          <w:szCs w:val="24"/>
        </w:rPr>
        <w:t xml:space="preserve">Hydroxyl and Carbonate Species</w:t>
      </w:r>
    </w:p>
    <w:p>
      <w:pPr>
        <w:jc w:val="both"/>
      </w:pPr>
      <w:r>
        <w:rPr>
          <w:rFonts w:ascii="Times New Roman" w:hAnsi="Times New Roman"/>
          <w:sz w:val="24"/>
          <w:szCs w:val="24"/>
        </w:rPr>
        <w:t xml:space="preserve">All of the spectra contain O–H stretching bands, which have a broad band shape and are centred around 3400 cm⁻¹, with differing intensities in each of the samples (Figure 4.6). The presence of hydroxyl groups is likely due to surface moisture or to water in the binder (potassium silicate solution), which can influence the hydrogen content of the weld metal. A higher hydroxyl band in the set A samples indicates a greater likelihood of moisture retention, and thus potentially a higher possibility of hydrogen-induced cracking.</w:t>
      </w:r>
    </w:p>
    <w:p>
      <w:pPr>
        <w:jc w:val="both"/>
      </w:pPr>
      <w:r>
        <w:rPr>
          <w:rFonts w:ascii="Times New Roman" w:hAnsi="Times New Roman"/>
          <w:sz w:val="24"/>
          <w:szCs w:val="24"/>
        </w:rPr>
        <w:t xml:space="preserve">The complementary Si–O–Si bending complexes between 400 and 600 cm⁻¹ indicate the presence of ring structures and the three-dimensional network connectivity of the silicate structure; their intensity and structure are quantitative measures of the extent of polymerization of the network and the influence of the modifier content. Titanium dioxide adds characteristic lattice-vibration bands at 400–800 cm⁻¹, whose strength and spectral properties vary depending on the phase present at lower concentration. The presence of manganese oxides adds further lattice modes in the range 700–400 cm⁻¹, close to the Ti–O and Si–O–Si bands; these features increase as the percentage of MnO in the structure increases, suggesting changes in oxidation state.</w:t>
      </w:r>
    </w:p>
    <w:p>
      <w:pPr>
        <w:jc w:val="both"/>
      </w:pPr>
      <w:r>
        <w:rPr>
          <w:rFonts w:ascii="Times New Roman" w:hAnsi="Times New Roman"/>
          <w:sz w:val="24"/>
          <w:szCs w:val="24"/>
        </w:rPr>
        <w:t xml:space="preserve">The FTIR spectra of the samples Flux 1, 6, 7, 11 (set A) and Flux 14, 19, 21, 25 (set B) are presented as percent transmittance against wavenumber (4000–500 cm⁻¹), showing clear differences in absorption in both the fingerprint and functional-group regions. A systematic study of these samples showed strong spectral development, indicating frequency changes of the molecular structure and hence compositional changes. The Si–O–Si asymmetric stretching envelope in Figure 4.6(b) showed systematic shifts to lower wavenumbers, suggesting more modifier and greater silicate-network depolymerization. This structural change is directly correlated with lower melting temperatures and higher slag fluidity.</w:t>
      </w:r>
    </w:p>
    <w:p>
      <w:pPr>
        <w:jc w:val="center"/>
        <w:spacing w:before="120" w:after="20"/>
      </w:pPr>
      <w:r>
        <w:drawing>
          <wp:inline distT="0" distB="0" distL="0" distR="0">
            <wp:extent cx="5486400" cy="3412540"/>
            <wp:docPr id="3" name="Picture3"/>
            <a:graphic xmlns:a="http://schemas.openxmlformats.org/drawingml/2006/main">
              <a:graphicData uri="http://schemas.openxmlformats.org/drawingml/2006/picture">
                <pic:pic xmlns:pic="http://schemas.openxmlformats.org/drawingml/2006/picture">
                  <pic:nvPicPr>
                    <pic:cNvPr id="3" name="Picture3"/>
                    <pic:cNvPicPr/>
                  </pic:nvPicPr>
                  <pic:blipFill>
                    <a:blip r:embed="rIdImg3"/>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4.6  FTIR spectra of set A (Flux 1, 6, 7, 11) and set B (Flux 14, 19, 21, 25), showing transmittance vs wavenumber (4000–500 cm⁻¹). The Si–O–Si red-shift and increased NBO fraction indicate greater depolymerization in set B.</w:t>
      </w:r>
    </w:p>
    <w:p>
      <w:pPr>
        <w:jc w:val="both"/>
      </w:pPr>
      <w:r>
        <w:rPr>
          <w:rFonts w:ascii="Times New Roman" w:hAnsi="Times New Roman"/>
          <w:sz w:val="24"/>
          <w:szCs w:val="24"/>
        </w:rPr>
        <w:t xml:space="preserve">This section provides a comprehensive characterization of the 25 formulated fluxes and defines the basic physicochemical and thermophysical properties that enable an understanding of the structure–property–performance relationships governing flux behaviour during the submerged arc welding process. This study successfully establishes quantitative relationships between the flux composition and the measured physical and thermophysical properties through a systematic approach. The data given here serve as an excellent scientific foundation for the preparation of fluxes with specified properties such as bulk density, thermal conductivity and specific heat.</w:t>
      </w:r>
    </w:p>
    <w:p>
      <w:pPr>
        <w:pStyle w:val="Heading2"/>
      </w:pPr>
      <w:r>
        <w:rPr>
          <w:b/>
          <w:rFonts w:ascii="Times New Roman" w:hAnsi="Times New Roman"/>
          <w:sz w:val="28"/>
          <w:szCs w:val="28"/>
        </w:rPr>
        <w:t xml:space="preserve">4.4  Bead-on-Plate Experimentation Using Laboratory-Prepared SAW Fluxes</w:t>
      </w:r>
    </w:p>
    <w:p>
      <w:pPr>
        <w:jc w:val="both"/>
      </w:pPr>
      <w:r>
        <w:rPr>
          <w:rFonts w:ascii="Times New Roman" w:hAnsi="Times New Roman"/>
          <w:sz w:val="24"/>
          <w:szCs w:val="24"/>
        </w:rPr>
        <w:t xml:space="preserve">Using laboratory-prepared basic fluxes, twenty-five multipass SAW weld beads (flat position configuration) were deposited on API X70 pipeline steel plates of 16 mm thickness. No edge preparation was done for the bead-on-plate experimentation. EA2TiB filler wire of 2.4 mm diameter was utilized, with no extra cold feed wire, because the wire feed rate was kept constant to ensure the same amount of metal was deposited in all 25 flux formulations. A single-wire submerged arc welding (SAW) machine was utilized, with a welding current of 230 A, an arc voltage of 25 V and a welding speed of 8 inches/min (3.39 mm/s). These parameters were chosen based on pre-trial tests for bead profile consistency, slag detachability and freedom from surface defects such as undercut or over-reinforcement.</w:t>
      </w:r>
    </w:p>
    <w:p>
      <w:pPr>
        <w:jc w:val="both"/>
      </w:pPr>
      <w:r>
        <w:rPr>
          <w:rFonts w:ascii="Times New Roman" w:hAnsi="Times New Roman"/>
          <w:sz w:val="24"/>
          <w:szCs w:val="24"/>
        </w:rPr>
        <w:t xml:space="preserve">Using Equation 4.4, where V is the welding voltage, I is the welding current, S is the welding speed, and η is the arc efficiency (η = 0.75), a heat-input value of about 1.02 kJ/mm was obtained, which is within the recommended range of 0.8–2.5 kJ/mm for X70 pipeline steel welding, preventing excessive coarsening of the heat-affected zone and guaranteeing full flux melting and sufficient slag–metal reaction time.</w:t>
      </w:r>
    </w:p>
    <w:p>
      <w:pPr>
        <w:jc w:val="both"/>
      </w:pPr>
      <w:r>
        <w:rPr>
          <w:rFonts w:ascii="Times New Roman" w:hAnsi="Times New Roman"/>
          <w:sz w:val="24"/>
          <w:szCs w:val="24"/>
        </w:rPr>
        <w:t xml:space="preserve">The weld passes were deposited as a multipass bead for each flux composition, and in each case five passes were deposited over the bead. The very first pass was the root/bead-on-plate, and the other four pass depositions were performed under controlled cooling conditions. The interpass temperature was rigorously kept at 120–150°C and monitored at 25 mm from the centreline of the weld bead using a contact thermocouple sensor. This comparatively low interpass temperature ensured that no coarse grains or martensite formed in the multipass weld metal, so that a significant acicular ferrite microstructure was obtained, which is important to achieve the desirable toughness–hardness balance in the multipass welds of API X70 pipeline steel.</w:t>
      </w:r>
    </w:p>
    <w:p>
      <w:pPr>
        <w:jc w:val="both"/>
      </w:pPr>
      <w:r>
        <w:rPr>
          <w:rFonts w:ascii="Times New Roman" w:hAnsi="Times New Roman"/>
          <w:sz w:val="24"/>
          <w:szCs w:val="24"/>
        </w:rPr>
        <w:t xml:space="preserve">The minimum physical requirements of X70 pipeline steel welds demand specific microstructural and mechanical criteria. The base metal should have a yield strength of at least 485 MPa and a tensile strength of at least 570 MPa, and the microhardness of the weld metal and HAZ should be 180–220 HV to prevent brittleness while maintaining weldability and avoiding cracking. The carbon equivalent (CE) must remain small (0.30–0.43), and low oxygen/inclusion content is sought to produce clean welds that lead to fine-grained acicular ferrite nucleation. The present work is consistent with these requirements: it shows acicular ferrite and carbide inclusions in the optimized fluxes, microhardness values of 178–226 HV across the beads, and CE values of 0.20–0.31, all of which fall within these limits and enable notch toughness through controlled element transfer.</w:t>
      </w:r>
    </w:p>
    <w:p>
      <w:pPr>
        <w:jc w:val="both"/>
      </w:pPr>
      <w:r>
        <w:rPr>
          <w:rFonts w:ascii="Times New Roman" w:hAnsi="Times New Roman"/>
          <w:sz w:val="24"/>
          <w:szCs w:val="24"/>
        </w:rPr>
        <w:t xml:space="preserve">The twenty-five multipass beads produced during the experimentation are shown in Figure 4.3. Each bead was visually assessed for bead morphology, porosity and slag detachability characteristics.</w:t>
      </w:r>
    </w:p>
    <w:p>
      <w:pPr>
        <w:jc w:val="center"/>
        <w:spacing w:before="120" w:after="20"/>
      </w:pPr>
      <w:r>
        <w:drawing>
          <wp:inline distT="0" distB="0" distL="0" distR="0">
            <wp:extent cx="5486400" cy="3412540"/>
            <wp:docPr id="4" name="Picture4"/>
            <a:graphic xmlns:a="http://schemas.openxmlformats.org/drawingml/2006/main">
              <a:graphicData uri="http://schemas.openxmlformats.org/drawingml/2006/picture">
                <pic:pic xmlns:pic="http://schemas.openxmlformats.org/drawingml/2006/picture">
                  <pic:nvPicPr>
                    <pic:cNvPr id="4" name="Picture4"/>
                    <pic:cNvPicPr/>
                  </pic:nvPicPr>
                  <pic:blipFill>
                    <a:blip r:embed="rIdImg4"/>
                    <a:stretch>
                      <a:fillRect/>
                    </a:stretch>
                  </pic:blipFill>
                  <pic:spPr>
                    <a:xfrm>
                      <a:off x="0" y="0"/>
                      <a:ext cx="5486400" cy="341254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4.3  Twenty-five multipass SAW beads deposited on API X70 pipeline steel plate (bead-on-plate configuration).</w:t>
      </w:r>
    </w:p>
    <w:p>
      <w:pPr>
        <w:pStyle w:val="Heading3"/>
      </w:pPr>
      <w:r>
        <w:rPr>
          <w:b/>
          <w:rFonts w:ascii="Times New Roman" w:hAnsi="Times New Roman"/>
          <w:sz w:val="26"/>
          <w:szCs w:val="26"/>
        </w:rPr>
        <w:t xml:space="preserve">4.4.1  Chemical Analysis of Laboratory-Prepared SAW Fluxes</w:t>
      </w:r>
    </w:p>
    <w:p>
      <w:pPr>
        <w:jc w:val="both"/>
      </w:pPr>
      <w:r>
        <w:rPr>
          <w:rFonts w:ascii="Times New Roman" w:hAnsi="Times New Roman"/>
          <w:sz w:val="24"/>
          <w:szCs w:val="24"/>
        </w:rPr>
        <w:t xml:space="preserve">To analyze the chemical composition, atomic absorption spectroscopy (AAS) was used on each multipass weld bead. An abrasive cut-off wheel was used to make a transverse section (approximately 10 mm thick) from the central area of each bead-on-plate weld, without dilution from the base metal or heat-affected zone. The extracted weld metal was ground (SiC abrasive papers of 220, 400, 600, 800 and 1200 grit) to remove surface contaminants and oxide scale, then ultrasonically cleaned (using acetone for 10 minutes). Table 4.6 shows the chemical analysis of the twenty-five beads observed by AAS.</w:t>
      </w:r>
    </w:p>
    <w:p>
      <w:pPr>
        <w:jc w:val="both"/>
      </w:pPr>
      <w:r>
        <w:rPr>
          <w:rFonts w:ascii="Times New Roman" w:hAnsi="Times New Roman"/>
          <w:sz w:val="24"/>
          <w:szCs w:val="24"/>
        </w:rPr>
        <w:t xml:space="preserve">The chemical composition of the weld beads provides critical information about element transfer from flux to weld metal during the slag–metal reactions occurring in submerged arc welding. During these reactions, free oxygen ions (O²⁻) play a key role in controlling element transfer and the elemental chemistry of the weld metal. Basic compounds such as CaO, BaO and MnO in the flux dissociate in the molten slag to produce O²⁻ ions, which are strong electron donors that alter the chemical potential of oxygen at the slag–metal interface.</w:t>
      </w:r>
    </w:p>
    <w:p>
      <w:pPr>
        <w:jc w:val="both"/>
      </w:pPr>
      <w:r>
        <w:rPr>
          <w:rFonts w:ascii="Times New Roman" w:hAnsi="Times New Roman"/>
          <w:sz w:val="24"/>
          <w:szCs w:val="24"/>
        </w:rPr>
        <w:t xml:space="preserve">The individual oxides SiO₂ and MnO were identified as having a positive effect on carbon content, while their interaction effects with other components may produce either negative or positive influences. Carbon content increased from the base-metal value (0.058%) to 0.032–0.050% in the weld beads, microhardness ranged from 175–226 HV, and carbon equivalent (CE) ranged from 0.19–0.31.</w:t>
      </w:r>
    </w:p>
    <w:p>
      <w:pPr>
        <w:jc w:val="center"/>
        <w:spacing w:before="160" w:after="60"/>
        <w:keepNext/>
      </w:pPr>
      <w:r>
        <w:rPr>
          <w:b/>
          <w:rFonts w:ascii="Times New Roman" w:hAnsi="Times New Roman"/>
          <w:sz w:val="22"/>
          <w:szCs w:val="22"/>
        </w:rPr>
        <w:t xml:space="preserve">Table 4.6  Chemical composition and micro-hardness analysis of multipass beads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780"/>
        <w:gridCol w:w="780"/>
        <w:gridCol w:w="780"/>
        <w:gridCol w:w="780"/>
        <w:gridCol w:w="780"/>
        <w:gridCol w:w="780"/>
        <w:gridCol w:w="780"/>
        <w:gridCol w:w="780"/>
        <w:gridCol w:w="780"/>
        <w:gridCol w:w="780"/>
        <w:gridCol w:w="780"/>
        <w:gridCol w:w="780"/>
      </w:tblGrid>
      <w:tr>
        <w:trPr>
          <w:tblHeader/>
        </w:trPr>
        <w:tc>
          <w:tcPr>
            <w:tcW w:w="780" w:type="dxa"/>
            <w:vAlign w:val="center"/>
            <w:shd w:val="clear" w:color="auto" w:fill="D9E2F3"/>
          </w:tcPr>
          <w:p>
            <w:pPr>
              <w:jc w:val="center"/>
              <w:spacing w:after="20" w:line="240" w:lineRule="auto"/>
            </w:pPr>
            <w:r>
              <w:rPr>
                <w:b/>
                <w:rFonts w:ascii="Times New Roman" w:hAnsi="Times New Roman"/>
                <w:sz w:val="15"/>
                <w:szCs w:val="15"/>
              </w:rPr>
              <w:t xml:space="preserve">Flux</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P</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S</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Mn</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Ni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Cr</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Mo</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Ti</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MH (HV)</w:t>
            </w:r>
          </w:p>
        </w:tc>
        <w:tc>
          <w:tcPr>
            <w:tcW w:w="780" w:type="dxa"/>
            <w:vAlign w:val="center"/>
            <w:shd w:val="clear" w:color="auto" w:fill="D9E2F3"/>
          </w:tcPr>
          <w:p>
            <w:pPr>
              <w:jc w:val="center"/>
              <w:spacing w:after="20" w:line="240" w:lineRule="auto"/>
            </w:pPr>
            <w:r>
              <w:rPr>
                <w:b/>
                <w:rFonts w:ascii="Times New Roman" w:hAnsi="Times New Roman"/>
                <w:sz w:val="15"/>
                <w:szCs w:val="15"/>
              </w:rPr>
              <w:t xml:space="preserve">CE</w:t>
            </w:r>
          </w:p>
        </w:tc>
      </w:tr>
      <w:tr>
        <w:tc>
          <w:tcPr>
            <w:tcW w:w="780" w:type="dxa"/>
            <w:vAlign w:val="center"/>
          </w:tcPr>
          <w:p>
            <w:pPr>
              <w:jc w:val="center"/>
              <w:spacing w:after="20" w:line="240" w:lineRule="auto"/>
            </w:pPr>
            <w:r>
              <w:rPr>
                <w:rFonts w:ascii="Times New Roman" w:hAnsi="Times New Roman"/>
                <w:sz w:val="15"/>
                <w:szCs w:val="15"/>
              </w:rPr>
              <w:t xml:space="preserve">f1</w:t>
            </w:r>
          </w:p>
        </w:tc>
        <w:tc>
          <w:tcPr>
            <w:tcW w:w="780" w:type="dxa"/>
            <w:vAlign w:val="center"/>
          </w:tcPr>
          <w:p>
            <w:pPr>
              <w:jc w:val="center"/>
              <w:spacing w:after="20" w:line="240" w:lineRule="auto"/>
            </w:pPr>
            <w:r>
              <w:rPr>
                <w:rFonts w:ascii="Times New Roman" w:hAnsi="Times New Roman"/>
                <w:sz w:val="15"/>
                <w:szCs w:val="15"/>
              </w:rPr>
              <w:t xml:space="preserve">0.0425</w:t>
            </w:r>
          </w:p>
        </w:tc>
        <w:tc>
          <w:tcPr>
            <w:tcW w:w="780" w:type="dxa"/>
            <w:vAlign w:val="center"/>
          </w:tcPr>
          <w:p>
            <w:pPr>
              <w:jc w:val="center"/>
              <w:spacing w:after="20" w:line="240" w:lineRule="auto"/>
            </w:pPr>
            <w:r>
              <w:rPr>
                <w:rFonts w:ascii="Times New Roman" w:hAnsi="Times New Roman"/>
                <w:sz w:val="15"/>
                <w:szCs w:val="15"/>
              </w:rPr>
              <w:t xml:space="preserve">0.1670</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0.7876</w:t>
            </w:r>
          </w:p>
        </w:tc>
        <w:tc>
          <w:tcPr>
            <w:tcW w:w="780" w:type="dxa"/>
            <w:vAlign w:val="center"/>
          </w:tcPr>
          <w:p>
            <w:pPr>
              <w:jc w:val="center"/>
              <w:spacing w:after="20" w:line="240" w:lineRule="auto"/>
            </w:pPr>
            <w:r>
              <w:rPr>
                <w:rFonts w:ascii="Times New Roman" w:hAnsi="Times New Roman"/>
                <w:sz w:val="15"/>
                <w:szCs w:val="15"/>
              </w:rPr>
              <w:t xml:space="preserve">0.0100</w:t>
            </w:r>
          </w:p>
        </w:tc>
        <w:tc>
          <w:tcPr>
            <w:tcW w:w="780" w:type="dxa"/>
            <w:vAlign w:val="center"/>
          </w:tcPr>
          <w:p>
            <w:pPr>
              <w:jc w:val="center"/>
              <w:spacing w:after="20" w:line="240" w:lineRule="auto"/>
            </w:pPr>
            <w:r>
              <w:rPr>
                <w:rFonts w:ascii="Times New Roman" w:hAnsi="Times New Roman"/>
                <w:sz w:val="15"/>
                <w:szCs w:val="15"/>
              </w:rPr>
              <w:t xml:space="preserve">0.0333</w:t>
            </w:r>
          </w:p>
        </w:tc>
        <w:tc>
          <w:tcPr>
            <w:tcW w:w="780" w:type="dxa"/>
            <w:vAlign w:val="center"/>
          </w:tcPr>
          <w:p>
            <w:pPr>
              <w:jc w:val="center"/>
              <w:spacing w:after="20" w:line="240" w:lineRule="auto"/>
            </w:pPr>
            <w:r>
              <w:rPr>
                <w:rFonts w:ascii="Times New Roman" w:hAnsi="Times New Roman"/>
                <w:sz w:val="15"/>
                <w:szCs w:val="15"/>
              </w:rPr>
              <w:t xml:space="preserve">0.2391</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185</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w:t>
            </w:r>
          </w:p>
        </w:tc>
        <w:tc>
          <w:tcPr>
            <w:tcW w:w="780" w:type="dxa"/>
            <w:vAlign w:val="center"/>
          </w:tcPr>
          <w:p>
            <w:pPr>
              <w:jc w:val="center"/>
              <w:spacing w:after="20" w:line="240" w:lineRule="auto"/>
            </w:pPr>
            <w:r>
              <w:rPr>
                <w:rFonts w:ascii="Times New Roman" w:hAnsi="Times New Roman"/>
                <w:sz w:val="15"/>
                <w:szCs w:val="15"/>
              </w:rPr>
              <w:t xml:space="preserve">0.0361</w:t>
            </w:r>
          </w:p>
        </w:tc>
        <w:tc>
          <w:tcPr>
            <w:tcW w:w="780" w:type="dxa"/>
            <w:vAlign w:val="center"/>
          </w:tcPr>
          <w:p>
            <w:pPr>
              <w:jc w:val="center"/>
              <w:spacing w:after="20" w:line="240" w:lineRule="auto"/>
            </w:pPr>
            <w:r>
              <w:rPr>
                <w:rFonts w:ascii="Times New Roman" w:hAnsi="Times New Roman"/>
                <w:sz w:val="15"/>
                <w:szCs w:val="15"/>
              </w:rPr>
              <w:t xml:space="preserve">0.2325</w:t>
            </w:r>
          </w:p>
        </w:tc>
        <w:tc>
          <w:tcPr>
            <w:tcW w:w="780" w:type="dxa"/>
            <w:vAlign w:val="center"/>
          </w:tcPr>
          <w:p>
            <w:pPr>
              <w:jc w:val="center"/>
              <w:spacing w:after="20" w:line="240" w:lineRule="auto"/>
            </w:pPr>
            <w:r>
              <w:rPr>
                <w:rFonts w:ascii="Times New Roman" w:hAnsi="Times New Roman"/>
                <w:sz w:val="15"/>
                <w:szCs w:val="15"/>
              </w:rPr>
              <w:t xml:space="preserve">0.0138</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0.7854</w:t>
            </w:r>
          </w:p>
        </w:tc>
        <w:tc>
          <w:tcPr>
            <w:tcW w:w="780" w:type="dxa"/>
            <w:vAlign w:val="center"/>
          </w:tcPr>
          <w:p>
            <w:pPr>
              <w:jc w:val="center"/>
              <w:spacing w:after="20" w:line="240" w:lineRule="auto"/>
            </w:pPr>
            <w:r>
              <w:rPr>
                <w:rFonts w:ascii="Times New Roman" w:hAnsi="Times New Roman"/>
                <w:sz w:val="15"/>
                <w:szCs w:val="15"/>
              </w:rPr>
              <w:t xml:space="preserve">0.0998</w:t>
            </w:r>
          </w:p>
        </w:tc>
        <w:tc>
          <w:tcPr>
            <w:tcW w:w="780" w:type="dxa"/>
            <w:vAlign w:val="center"/>
          </w:tcPr>
          <w:p>
            <w:pPr>
              <w:jc w:val="center"/>
              <w:spacing w:after="20" w:line="240" w:lineRule="auto"/>
            </w:pPr>
            <w:r>
              <w:rPr>
                <w:rFonts w:ascii="Times New Roman" w:hAnsi="Times New Roman"/>
                <w:sz w:val="15"/>
                <w:szCs w:val="15"/>
              </w:rPr>
              <w:t xml:space="preserve">0.0426</w:t>
            </w:r>
          </w:p>
        </w:tc>
        <w:tc>
          <w:tcPr>
            <w:tcW w:w="780" w:type="dxa"/>
            <w:vAlign w:val="center"/>
          </w:tcPr>
          <w:p>
            <w:pPr>
              <w:jc w:val="center"/>
              <w:spacing w:after="20" w:line="240" w:lineRule="auto"/>
            </w:pPr>
            <w:r>
              <w:rPr>
                <w:rFonts w:ascii="Times New Roman" w:hAnsi="Times New Roman"/>
                <w:sz w:val="15"/>
                <w:szCs w:val="15"/>
              </w:rPr>
              <w:t xml:space="preserve">0.1923</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190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f3</w:t>
            </w:r>
          </w:p>
        </w:tc>
        <w:tc>
          <w:tcPr>
            <w:tcW w:w="780" w:type="dxa"/>
            <w:vAlign w:val="center"/>
          </w:tcPr>
          <w:p>
            <w:pPr>
              <w:jc w:val="center"/>
              <w:spacing w:after="20" w:line="240" w:lineRule="auto"/>
            </w:pPr>
            <w:r>
              <w:rPr>
                <w:rFonts w:ascii="Times New Roman" w:hAnsi="Times New Roman"/>
                <w:sz w:val="15"/>
                <w:szCs w:val="15"/>
              </w:rPr>
              <w:t xml:space="preserve">0.0412</w:t>
            </w:r>
          </w:p>
        </w:tc>
        <w:tc>
          <w:tcPr>
            <w:tcW w:w="780" w:type="dxa"/>
            <w:vAlign w:val="center"/>
          </w:tcPr>
          <w:p>
            <w:pPr>
              <w:jc w:val="center"/>
              <w:spacing w:after="20" w:line="240" w:lineRule="auto"/>
            </w:pPr>
            <w:r>
              <w:rPr>
                <w:rFonts w:ascii="Times New Roman" w:hAnsi="Times New Roman"/>
                <w:sz w:val="15"/>
                <w:szCs w:val="15"/>
              </w:rPr>
              <w:t xml:space="preserve">0.2677</w:t>
            </w:r>
          </w:p>
        </w:tc>
        <w:tc>
          <w:tcPr>
            <w:tcW w:w="780" w:type="dxa"/>
            <w:vAlign w:val="center"/>
          </w:tcPr>
          <w:p>
            <w:pPr>
              <w:jc w:val="center"/>
              <w:spacing w:after="20" w:line="240" w:lineRule="auto"/>
            </w:pPr>
            <w:r>
              <w:rPr>
                <w:rFonts w:ascii="Times New Roman" w:hAnsi="Times New Roman"/>
                <w:sz w:val="15"/>
                <w:szCs w:val="15"/>
              </w:rPr>
              <w:t xml:space="preserve">0.0114</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0.6723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0.0304</w:t>
            </w:r>
          </w:p>
        </w:tc>
        <w:tc>
          <w:tcPr>
            <w:tcW w:w="780" w:type="dxa"/>
            <w:vAlign w:val="center"/>
          </w:tcPr>
          <w:p>
            <w:pPr>
              <w:jc w:val="center"/>
              <w:spacing w:after="20" w:line="240" w:lineRule="auto"/>
            </w:pPr>
            <w:r>
              <w:rPr>
                <w:rFonts w:ascii="Times New Roman" w:hAnsi="Times New Roman"/>
                <w:sz w:val="15"/>
                <w:szCs w:val="15"/>
              </w:rPr>
              <w:t xml:space="preserve">0.2011</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f4</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0.1839</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0.5241</w:t>
            </w:r>
          </w:p>
        </w:tc>
        <w:tc>
          <w:tcPr>
            <w:tcW w:w="780" w:type="dxa"/>
            <w:vAlign w:val="center"/>
          </w:tcPr>
          <w:p>
            <w:pPr>
              <w:jc w:val="center"/>
              <w:spacing w:after="20" w:line="240" w:lineRule="auto"/>
            </w:pPr>
            <w:r>
              <w:rPr>
                <w:rFonts w:ascii="Times New Roman" w:hAnsi="Times New Roman"/>
                <w:sz w:val="15"/>
                <w:szCs w:val="15"/>
              </w:rPr>
              <w:t xml:space="preserve">0.0896</w:t>
            </w:r>
          </w:p>
        </w:tc>
        <w:tc>
          <w:tcPr>
            <w:tcW w:w="780" w:type="dxa"/>
            <w:vAlign w:val="center"/>
          </w:tcPr>
          <w:p>
            <w:pPr>
              <w:jc w:val="center"/>
              <w:spacing w:after="20" w:line="240" w:lineRule="auto"/>
            </w:pPr>
            <w:r>
              <w:rPr>
                <w:rFonts w:ascii="Times New Roman" w:hAnsi="Times New Roman"/>
                <w:sz w:val="15"/>
                <w:szCs w:val="15"/>
              </w:rPr>
              <w:t xml:space="preserve">0.0281</w:t>
            </w:r>
          </w:p>
        </w:tc>
        <w:tc>
          <w:tcPr>
            <w:tcW w:w="780" w:type="dxa"/>
            <w:vAlign w:val="center"/>
          </w:tcPr>
          <w:p>
            <w:pPr>
              <w:jc w:val="center"/>
              <w:spacing w:after="20" w:line="240" w:lineRule="auto"/>
            </w:pPr>
            <w:r>
              <w:rPr>
                <w:rFonts w:ascii="Times New Roman" w:hAnsi="Times New Roman"/>
                <w:sz w:val="15"/>
                <w:szCs w:val="15"/>
              </w:rPr>
              <w:t xml:space="preserve">0.2711</w:t>
            </w:r>
          </w:p>
        </w:tc>
        <w:tc>
          <w:tcPr>
            <w:tcW w:w="780" w:type="dxa"/>
            <w:vAlign w:val="center"/>
          </w:tcPr>
          <w:p>
            <w:pPr>
              <w:jc w:val="center"/>
              <w:spacing w:after="20" w:line="240" w:lineRule="auto"/>
            </w:pPr>
            <w:r>
              <w:rPr>
                <w:rFonts w:ascii="Times New Roman" w:hAnsi="Times New Roman"/>
                <w:sz w:val="15"/>
                <w:szCs w:val="15"/>
              </w:rPr>
              <w:t xml:space="preserve">0.0021</w:t>
            </w:r>
          </w:p>
        </w:tc>
        <w:tc>
          <w:tcPr>
            <w:tcW w:w="780" w:type="dxa"/>
            <w:vAlign w:val="center"/>
          </w:tcPr>
          <w:p>
            <w:pPr>
              <w:jc w:val="center"/>
              <w:spacing w:after="20" w:line="240" w:lineRule="auto"/>
            </w:pPr>
            <w:r>
              <w:rPr>
                <w:rFonts w:ascii="Times New Roman" w:hAnsi="Times New Roman"/>
                <w:sz w:val="15"/>
                <w:szCs w:val="15"/>
              </w:rPr>
              <w:t xml:space="preserve">220</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f5</w:t>
            </w:r>
          </w:p>
        </w:tc>
        <w:tc>
          <w:tcPr>
            <w:tcW w:w="780" w:type="dxa"/>
            <w:vAlign w:val="center"/>
          </w:tcPr>
          <w:p>
            <w:pPr>
              <w:jc w:val="center"/>
              <w:spacing w:after="20" w:line="240" w:lineRule="auto"/>
            </w:pPr>
            <w:r>
              <w:rPr>
                <w:rFonts w:ascii="Times New Roman" w:hAnsi="Times New Roman"/>
                <w:sz w:val="15"/>
                <w:szCs w:val="15"/>
              </w:rPr>
              <w:t xml:space="preserve">0.0500</w:t>
            </w:r>
          </w:p>
        </w:tc>
        <w:tc>
          <w:tcPr>
            <w:tcW w:w="780" w:type="dxa"/>
            <w:vAlign w:val="center"/>
          </w:tcPr>
          <w:p>
            <w:pPr>
              <w:jc w:val="center"/>
              <w:spacing w:after="20" w:line="240" w:lineRule="auto"/>
            </w:pPr>
            <w:r>
              <w:rPr>
                <w:rFonts w:ascii="Times New Roman" w:hAnsi="Times New Roman"/>
                <w:sz w:val="15"/>
                <w:szCs w:val="15"/>
              </w:rPr>
              <w:t xml:space="preserve">0.2120</w:t>
            </w:r>
          </w:p>
        </w:tc>
        <w:tc>
          <w:tcPr>
            <w:tcW w:w="780" w:type="dxa"/>
            <w:vAlign w:val="center"/>
          </w:tcPr>
          <w:p>
            <w:pPr>
              <w:jc w:val="center"/>
              <w:spacing w:after="20" w:line="240" w:lineRule="auto"/>
            </w:pPr>
            <w:r>
              <w:rPr>
                <w:rFonts w:ascii="Times New Roman" w:hAnsi="Times New Roman"/>
                <w:sz w:val="15"/>
                <w:szCs w:val="15"/>
              </w:rPr>
              <w:t xml:space="preserve">0.0184</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0.6729</w:t>
            </w:r>
          </w:p>
        </w:tc>
        <w:tc>
          <w:tcPr>
            <w:tcW w:w="780" w:type="dxa"/>
            <w:vAlign w:val="center"/>
          </w:tcPr>
          <w:p>
            <w:pPr>
              <w:jc w:val="center"/>
              <w:spacing w:after="20" w:line="240" w:lineRule="auto"/>
            </w:pPr>
            <w:r>
              <w:rPr>
                <w:rFonts w:ascii="Times New Roman" w:hAnsi="Times New Roman"/>
                <w:sz w:val="15"/>
                <w:szCs w:val="15"/>
              </w:rPr>
              <w:t xml:space="preserve">0.0795</w:t>
            </w:r>
          </w:p>
        </w:tc>
        <w:tc>
          <w:tcPr>
            <w:tcW w:w="780" w:type="dxa"/>
            <w:vAlign w:val="center"/>
          </w:tcPr>
          <w:p>
            <w:pPr>
              <w:jc w:val="center"/>
              <w:spacing w:after="20" w:line="240" w:lineRule="auto"/>
            </w:pPr>
            <w:r>
              <w:rPr>
                <w:rFonts w:ascii="Times New Roman" w:hAnsi="Times New Roman"/>
                <w:sz w:val="15"/>
                <w:szCs w:val="15"/>
              </w:rPr>
              <w:t xml:space="preserve">0.0417</w:t>
            </w:r>
          </w:p>
        </w:tc>
        <w:tc>
          <w:tcPr>
            <w:tcW w:w="780" w:type="dxa"/>
            <w:vAlign w:val="center"/>
          </w:tcPr>
          <w:p>
            <w:pPr>
              <w:jc w:val="center"/>
              <w:spacing w:after="20" w:line="240" w:lineRule="auto"/>
            </w:pPr>
            <w:r>
              <w:rPr>
                <w:rFonts w:ascii="Times New Roman" w:hAnsi="Times New Roman"/>
                <w:sz w:val="15"/>
                <w:szCs w:val="15"/>
              </w:rPr>
              <w:t xml:space="preserve">0.2042</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f6</w:t>
            </w:r>
          </w:p>
        </w:tc>
        <w:tc>
          <w:tcPr>
            <w:tcW w:w="780" w:type="dxa"/>
            <w:vAlign w:val="center"/>
          </w:tcPr>
          <w:p>
            <w:pPr>
              <w:jc w:val="center"/>
              <w:spacing w:after="20" w:line="240" w:lineRule="auto"/>
            </w:pPr>
            <w:r>
              <w:rPr>
                <w:rFonts w:ascii="Times New Roman" w:hAnsi="Times New Roman"/>
                <w:sz w:val="15"/>
                <w:szCs w:val="15"/>
              </w:rPr>
              <w:t xml:space="preserve">0.0503</w:t>
            </w:r>
          </w:p>
        </w:tc>
        <w:tc>
          <w:tcPr>
            <w:tcW w:w="780" w:type="dxa"/>
            <w:vAlign w:val="center"/>
          </w:tcPr>
          <w:p>
            <w:pPr>
              <w:jc w:val="center"/>
              <w:spacing w:after="20" w:line="240" w:lineRule="auto"/>
            </w:pPr>
            <w:r>
              <w:rPr>
                <w:rFonts w:ascii="Times New Roman" w:hAnsi="Times New Roman"/>
                <w:sz w:val="15"/>
                <w:szCs w:val="15"/>
              </w:rPr>
              <w:t xml:space="preserve">0.1745</w:t>
            </w:r>
          </w:p>
        </w:tc>
        <w:tc>
          <w:tcPr>
            <w:tcW w:w="780" w:type="dxa"/>
            <w:vAlign w:val="center"/>
          </w:tcPr>
          <w:p>
            <w:pPr>
              <w:jc w:val="center"/>
              <w:spacing w:after="20" w:line="240" w:lineRule="auto"/>
            </w:pPr>
            <w:r>
              <w:rPr>
                <w:rFonts w:ascii="Times New Roman" w:hAnsi="Times New Roman"/>
                <w:sz w:val="15"/>
                <w:szCs w:val="15"/>
              </w:rPr>
              <w:t xml:space="preserve">0.0192</w:t>
            </w:r>
          </w:p>
        </w:tc>
        <w:tc>
          <w:tcPr>
            <w:tcW w:w="780" w:type="dxa"/>
            <w:vAlign w:val="center"/>
          </w:tcPr>
          <w:p>
            <w:pPr>
              <w:jc w:val="center"/>
              <w:spacing w:after="20" w:line="240" w:lineRule="auto"/>
            </w:pPr>
            <w:r>
              <w:rPr>
                <w:rFonts w:ascii="Times New Roman" w:hAnsi="Times New Roman"/>
                <w:sz w:val="15"/>
                <w:szCs w:val="15"/>
              </w:rPr>
              <w:t xml:space="preserve">0.0036</w:t>
            </w:r>
          </w:p>
        </w:tc>
        <w:tc>
          <w:tcPr>
            <w:tcW w:w="780" w:type="dxa"/>
            <w:vAlign w:val="center"/>
          </w:tcPr>
          <w:p>
            <w:pPr>
              <w:jc w:val="center"/>
              <w:spacing w:after="20" w:line="240" w:lineRule="auto"/>
            </w:pPr>
            <w:r>
              <w:rPr>
                <w:rFonts w:ascii="Times New Roman" w:hAnsi="Times New Roman"/>
                <w:sz w:val="15"/>
                <w:szCs w:val="15"/>
              </w:rPr>
              <w:t xml:space="preserve">0.6641</w:t>
            </w:r>
          </w:p>
        </w:tc>
        <w:tc>
          <w:tcPr>
            <w:tcW w:w="780" w:type="dxa"/>
            <w:vAlign w:val="center"/>
          </w:tcPr>
          <w:p>
            <w:pPr>
              <w:jc w:val="center"/>
              <w:spacing w:after="20" w:line="240" w:lineRule="auto"/>
            </w:pPr>
            <w:r>
              <w:rPr>
                <w:rFonts w:ascii="Times New Roman" w:hAnsi="Times New Roman"/>
                <w:sz w:val="15"/>
                <w:szCs w:val="15"/>
              </w:rPr>
              <w:t xml:space="preserve">0.0691</w:t>
            </w:r>
          </w:p>
        </w:tc>
        <w:tc>
          <w:tcPr>
            <w:tcW w:w="780" w:type="dxa"/>
            <w:vAlign w:val="center"/>
          </w:tcPr>
          <w:p>
            <w:pPr>
              <w:jc w:val="center"/>
              <w:spacing w:after="20" w:line="240" w:lineRule="auto"/>
            </w:pPr>
            <w:r>
              <w:rPr>
                <w:rFonts w:ascii="Times New Roman" w:hAnsi="Times New Roman"/>
                <w:sz w:val="15"/>
                <w:szCs w:val="15"/>
              </w:rPr>
              <w:t xml:space="preserve">0.0336</w:t>
            </w:r>
          </w:p>
        </w:tc>
        <w:tc>
          <w:tcPr>
            <w:tcW w:w="780" w:type="dxa"/>
            <w:vAlign w:val="center"/>
          </w:tcPr>
          <w:p>
            <w:pPr>
              <w:jc w:val="center"/>
              <w:spacing w:after="20" w:line="240" w:lineRule="auto"/>
            </w:pPr>
            <w:r>
              <w:rPr>
                <w:rFonts w:ascii="Times New Roman" w:hAnsi="Times New Roman"/>
                <w:sz w:val="15"/>
                <w:szCs w:val="15"/>
              </w:rPr>
              <w:t xml:space="preserve">0.2456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178</w:t>
            </w:r>
          </w:p>
        </w:tc>
        <w:tc>
          <w:tcPr>
            <w:tcW w:w="780" w:type="dxa"/>
            <w:vAlign w:val="center"/>
          </w:tcPr>
          <w:p>
            <w:pPr>
              <w:jc w:val="center"/>
              <w:spacing w:after="20" w:line="240" w:lineRule="auto"/>
            </w:pPr>
            <w:r>
              <w:rPr>
                <w:rFonts w:ascii="Times New Roman" w:hAnsi="Times New Roman"/>
                <w:sz w:val="15"/>
                <w:szCs w:val="15"/>
              </w:rPr>
              <w:t xml:space="preserve">0.19</w:t>
            </w:r>
          </w:p>
        </w:tc>
      </w:tr>
      <w:tr>
        <w:tc>
          <w:tcPr>
            <w:tcW w:w="780" w:type="dxa"/>
            <w:vAlign w:val="center"/>
          </w:tcPr>
          <w:p>
            <w:pPr>
              <w:jc w:val="center"/>
              <w:spacing w:after="20" w:line="240" w:lineRule="auto"/>
            </w:pPr>
            <w:r>
              <w:rPr>
                <w:rFonts w:ascii="Times New Roman" w:hAnsi="Times New Roman"/>
                <w:sz w:val="15"/>
                <w:szCs w:val="15"/>
              </w:rPr>
              <w:t xml:space="preserve">f7</w:t>
            </w:r>
          </w:p>
        </w:tc>
        <w:tc>
          <w:tcPr>
            <w:tcW w:w="780" w:type="dxa"/>
            <w:vAlign w:val="center"/>
          </w:tcPr>
          <w:p>
            <w:pPr>
              <w:jc w:val="center"/>
              <w:spacing w:after="20" w:line="240" w:lineRule="auto"/>
            </w:pPr>
            <w:r>
              <w:rPr>
                <w:rFonts w:ascii="Times New Roman" w:hAnsi="Times New Roman"/>
                <w:sz w:val="15"/>
                <w:szCs w:val="15"/>
              </w:rPr>
              <w:t xml:space="preserve">0.0480</w:t>
            </w:r>
          </w:p>
        </w:tc>
        <w:tc>
          <w:tcPr>
            <w:tcW w:w="780" w:type="dxa"/>
            <w:vAlign w:val="center"/>
          </w:tcPr>
          <w:p>
            <w:pPr>
              <w:jc w:val="center"/>
              <w:spacing w:after="20" w:line="240" w:lineRule="auto"/>
            </w:pPr>
            <w:r>
              <w:rPr>
                <w:rFonts w:ascii="Times New Roman" w:hAnsi="Times New Roman"/>
                <w:sz w:val="15"/>
                <w:szCs w:val="15"/>
              </w:rPr>
              <w:t xml:space="preserve">0.1925</w:t>
            </w:r>
          </w:p>
        </w:tc>
        <w:tc>
          <w:tcPr>
            <w:tcW w:w="780" w:type="dxa"/>
            <w:vAlign w:val="center"/>
          </w:tcPr>
          <w:p>
            <w:pPr>
              <w:jc w:val="center"/>
              <w:spacing w:after="20" w:line="240" w:lineRule="auto"/>
            </w:pPr>
            <w:r>
              <w:rPr>
                <w:rFonts w:ascii="Times New Roman" w:hAnsi="Times New Roman"/>
                <w:sz w:val="15"/>
                <w:szCs w:val="15"/>
              </w:rPr>
              <w:t xml:space="preserve">0.0174</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0.7447</w:t>
            </w:r>
          </w:p>
        </w:tc>
        <w:tc>
          <w:tcPr>
            <w:tcW w:w="780" w:type="dxa"/>
            <w:vAlign w:val="center"/>
          </w:tcPr>
          <w:p>
            <w:pPr>
              <w:jc w:val="center"/>
              <w:spacing w:after="20" w:line="240" w:lineRule="auto"/>
            </w:pPr>
            <w:r>
              <w:rPr>
                <w:rFonts w:ascii="Times New Roman" w:hAnsi="Times New Roman"/>
                <w:sz w:val="15"/>
                <w:szCs w:val="15"/>
              </w:rPr>
              <w:t xml:space="preserve">0.0688</w:t>
            </w:r>
          </w:p>
        </w:tc>
        <w:tc>
          <w:tcPr>
            <w:tcW w:w="780" w:type="dxa"/>
            <w:vAlign w:val="center"/>
          </w:tcPr>
          <w:p>
            <w:pPr>
              <w:jc w:val="center"/>
              <w:spacing w:after="20" w:line="240" w:lineRule="auto"/>
            </w:pPr>
            <w:r>
              <w:rPr>
                <w:rFonts w:ascii="Times New Roman" w:hAnsi="Times New Roman"/>
                <w:sz w:val="15"/>
                <w:szCs w:val="15"/>
              </w:rPr>
              <w:t xml:space="preserve">0.0328</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199</w:t>
            </w:r>
          </w:p>
        </w:tc>
        <w:tc>
          <w:tcPr>
            <w:tcW w:w="780" w:type="dxa"/>
            <w:vAlign w:val="center"/>
          </w:tcPr>
          <w:p>
            <w:pPr>
              <w:jc w:val="center"/>
              <w:spacing w:after="20" w:line="240" w:lineRule="auto"/>
            </w:pPr>
            <w:r>
              <w:rPr>
                <w:rFonts w:ascii="Times New Roman" w:hAnsi="Times New Roman"/>
                <w:sz w:val="15"/>
                <w:szCs w:val="15"/>
              </w:rPr>
              <w:t xml:space="preserve">0.30</w:t>
            </w:r>
          </w:p>
        </w:tc>
      </w:tr>
      <w:tr>
        <w:tc>
          <w:tcPr>
            <w:tcW w:w="780" w:type="dxa"/>
            <w:vAlign w:val="center"/>
          </w:tcPr>
          <w:p>
            <w:pPr>
              <w:jc w:val="center"/>
              <w:spacing w:after="20" w:line="240" w:lineRule="auto"/>
            </w:pPr>
            <w:r>
              <w:rPr>
                <w:rFonts w:ascii="Times New Roman" w:hAnsi="Times New Roman"/>
                <w:sz w:val="15"/>
                <w:szCs w:val="15"/>
              </w:rPr>
              <w:t xml:space="preserve">f8</w:t>
            </w:r>
          </w:p>
        </w:tc>
        <w:tc>
          <w:tcPr>
            <w:tcW w:w="780" w:type="dxa"/>
            <w:vAlign w:val="center"/>
          </w:tcPr>
          <w:p>
            <w:pPr>
              <w:jc w:val="center"/>
              <w:spacing w:after="20" w:line="240" w:lineRule="auto"/>
            </w:pPr>
            <w:r>
              <w:rPr>
                <w:rFonts w:ascii="Times New Roman" w:hAnsi="Times New Roman"/>
                <w:sz w:val="15"/>
                <w:szCs w:val="15"/>
              </w:rPr>
              <w:t xml:space="preserve">0.0423</w:t>
            </w:r>
          </w:p>
        </w:tc>
        <w:tc>
          <w:tcPr>
            <w:tcW w:w="780" w:type="dxa"/>
            <w:vAlign w:val="center"/>
          </w:tcPr>
          <w:p>
            <w:pPr>
              <w:jc w:val="center"/>
              <w:spacing w:after="20" w:line="240" w:lineRule="auto"/>
            </w:pPr>
            <w:r>
              <w:rPr>
                <w:rFonts w:ascii="Times New Roman" w:hAnsi="Times New Roman"/>
                <w:sz w:val="15"/>
                <w:szCs w:val="15"/>
              </w:rPr>
              <w:t xml:space="preserve">0.1554</w:t>
            </w:r>
          </w:p>
        </w:tc>
        <w:tc>
          <w:tcPr>
            <w:tcW w:w="780" w:type="dxa"/>
            <w:vAlign w:val="center"/>
          </w:tcPr>
          <w:p>
            <w:pPr>
              <w:jc w:val="center"/>
              <w:spacing w:after="20" w:line="240" w:lineRule="auto"/>
            </w:pPr>
            <w:r>
              <w:rPr>
                <w:rFonts w:ascii="Times New Roman" w:hAnsi="Times New Roman"/>
                <w:sz w:val="15"/>
                <w:szCs w:val="15"/>
              </w:rPr>
              <w:t xml:space="preserve">0.0149</w:t>
            </w:r>
          </w:p>
        </w:tc>
        <w:tc>
          <w:tcPr>
            <w:tcW w:w="780" w:type="dxa"/>
            <w:vAlign w:val="center"/>
          </w:tcPr>
          <w:p>
            <w:pPr>
              <w:jc w:val="center"/>
              <w:spacing w:after="20" w:line="240" w:lineRule="auto"/>
            </w:pPr>
            <w:r>
              <w:rPr>
                <w:rFonts w:ascii="Times New Roman" w:hAnsi="Times New Roman"/>
                <w:sz w:val="15"/>
                <w:szCs w:val="15"/>
              </w:rPr>
              <w:t xml:space="preserve">0.0035</w:t>
            </w:r>
          </w:p>
        </w:tc>
        <w:tc>
          <w:tcPr>
            <w:tcW w:w="780" w:type="dxa"/>
            <w:vAlign w:val="center"/>
          </w:tcPr>
          <w:p>
            <w:pPr>
              <w:jc w:val="center"/>
              <w:spacing w:after="20" w:line="240" w:lineRule="auto"/>
            </w:pPr>
            <w:r>
              <w:rPr>
                <w:rFonts w:ascii="Times New Roman" w:hAnsi="Times New Roman"/>
                <w:sz w:val="15"/>
                <w:szCs w:val="15"/>
              </w:rPr>
              <w:t xml:space="preserve">0.5448</w:t>
            </w:r>
          </w:p>
        </w:tc>
        <w:tc>
          <w:tcPr>
            <w:tcW w:w="780" w:type="dxa"/>
            <w:vAlign w:val="center"/>
          </w:tcPr>
          <w:p>
            <w:pPr>
              <w:jc w:val="center"/>
              <w:spacing w:after="20" w:line="240" w:lineRule="auto"/>
            </w:pPr>
            <w:r>
              <w:rPr>
                <w:rFonts w:ascii="Times New Roman" w:hAnsi="Times New Roman"/>
                <w:sz w:val="15"/>
                <w:szCs w:val="15"/>
              </w:rPr>
              <w:t xml:space="preserve">0.0883</w:t>
            </w:r>
          </w:p>
        </w:tc>
        <w:tc>
          <w:tcPr>
            <w:tcW w:w="780" w:type="dxa"/>
            <w:vAlign w:val="center"/>
          </w:tcPr>
          <w:p>
            <w:pPr>
              <w:jc w:val="center"/>
              <w:spacing w:after="20" w:line="240" w:lineRule="auto"/>
            </w:pPr>
            <w:r>
              <w:rPr>
                <w:rFonts w:ascii="Times New Roman" w:hAnsi="Times New Roman"/>
                <w:sz w:val="15"/>
                <w:szCs w:val="15"/>
              </w:rPr>
              <w:t xml:space="preserve">0.0247</w:t>
            </w:r>
          </w:p>
        </w:tc>
        <w:tc>
          <w:tcPr>
            <w:tcW w:w="780" w:type="dxa"/>
            <w:vAlign w:val="center"/>
          </w:tcPr>
          <w:p>
            <w:pPr>
              <w:jc w:val="center"/>
              <w:spacing w:after="20" w:line="240" w:lineRule="auto"/>
            </w:pPr>
            <w:r>
              <w:rPr>
                <w:rFonts w:ascii="Times New Roman" w:hAnsi="Times New Roman"/>
                <w:sz w:val="15"/>
                <w:szCs w:val="15"/>
              </w:rPr>
              <w:t xml:space="preserve">0.2225</w:t>
            </w:r>
          </w:p>
        </w:tc>
        <w:tc>
          <w:tcPr>
            <w:tcW w:w="780" w:type="dxa"/>
            <w:vAlign w:val="center"/>
          </w:tcPr>
          <w:p>
            <w:pPr>
              <w:jc w:val="center"/>
              <w:spacing w:after="20" w:line="240" w:lineRule="auto"/>
            </w:pPr>
            <w:r>
              <w:rPr>
                <w:rFonts w:ascii="Times New Roman" w:hAnsi="Times New Roman"/>
                <w:sz w:val="15"/>
                <w:szCs w:val="15"/>
              </w:rPr>
              <w:t xml:space="preserve">0.0015</w:t>
            </w:r>
          </w:p>
        </w:tc>
        <w:tc>
          <w:tcPr>
            <w:tcW w:w="780" w:type="dxa"/>
            <w:vAlign w:val="center"/>
          </w:tcPr>
          <w:p>
            <w:pPr>
              <w:jc w:val="center"/>
              <w:spacing w:after="20" w:line="240" w:lineRule="auto"/>
            </w:pPr>
            <w:r>
              <w:rPr>
                <w:rFonts w:ascii="Times New Roman" w:hAnsi="Times New Roman"/>
                <w:sz w:val="15"/>
                <w:szCs w:val="15"/>
              </w:rPr>
              <w:t xml:space="preserve">205</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f9</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0.1975</w:t>
            </w:r>
          </w:p>
        </w:tc>
        <w:tc>
          <w:tcPr>
            <w:tcW w:w="780" w:type="dxa"/>
            <w:vAlign w:val="center"/>
          </w:tcPr>
          <w:p>
            <w:pPr>
              <w:jc w:val="center"/>
              <w:spacing w:after="20" w:line="240" w:lineRule="auto"/>
            </w:pPr>
            <w:r>
              <w:rPr>
                <w:rFonts w:ascii="Times New Roman" w:hAnsi="Times New Roman"/>
                <w:sz w:val="15"/>
                <w:szCs w:val="15"/>
              </w:rPr>
              <w:t xml:space="preserve">0.0137</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0.6449</w:t>
            </w:r>
          </w:p>
        </w:tc>
        <w:tc>
          <w:tcPr>
            <w:tcW w:w="780" w:type="dxa"/>
            <w:vAlign w:val="center"/>
          </w:tcPr>
          <w:p>
            <w:pPr>
              <w:jc w:val="center"/>
              <w:spacing w:after="20" w:line="240" w:lineRule="auto"/>
            </w:pPr>
            <w:r>
              <w:rPr>
                <w:rFonts w:ascii="Times New Roman" w:hAnsi="Times New Roman"/>
                <w:sz w:val="15"/>
                <w:szCs w:val="15"/>
              </w:rPr>
              <w:t xml:space="preserve">0.0999</w:t>
            </w:r>
          </w:p>
        </w:tc>
        <w:tc>
          <w:tcPr>
            <w:tcW w:w="780" w:type="dxa"/>
            <w:vAlign w:val="center"/>
          </w:tcPr>
          <w:p>
            <w:pPr>
              <w:jc w:val="center"/>
              <w:spacing w:after="20" w:line="240" w:lineRule="auto"/>
            </w:pPr>
            <w:r>
              <w:rPr>
                <w:rFonts w:ascii="Times New Roman" w:hAnsi="Times New Roman"/>
                <w:sz w:val="15"/>
                <w:szCs w:val="15"/>
              </w:rPr>
              <w:t xml:space="preserve">0.0267</w:t>
            </w:r>
          </w:p>
        </w:tc>
        <w:tc>
          <w:tcPr>
            <w:tcW w:w="780" w:type="dxa"/>
            <w:vAlign w:val="center"/>
          </w:tcPr>
          <w:p>
            <w:pPr>
              <w:jc w:val="center"/>
              <w:spacing w:after="20" w:line="240" w:lineRule="auto"/>
            </w:pPr>
            <w:r>
              <w:rPr>
                <w:rFonts w:ascii="Times New Roman" w:hAnsi="Times New Roman"/>
                <w:sz w:val="15"/>
                <w:szCs w:val="15"/>
              </w:rPr>
              <w:t xml:space="preserve">0.2892</w:t>
            </w:r>
          </w:p>
        </w:tc>
        <w:tc>
          <w:tcPr>
            <w:tcW w:w="780" w:type="dxa"/>
            <w:vAlign w:val="center"/>
          </w:tcPr>
          <w:p>
            <w:pPr>
              <w:jc w:val="center"/>
              <w:spacing w:after="20" w:line="240" w:lineRule="auto"/>
            </w:pPr>
            <w:r>
              <w:rPr>
                <w:rFonts w:ascii="Times New Roman" w:hAnsi="Times New Roman"/>
                <w:sz w:val="15"/>
                <w:szCs w:val="15"/>
              </w:rPr>
              <w:t xml:space="preserve">0.0017</w:t>
            </w:r>
          </w:p>
        </w:tc>
        <w:tc>
          <w:tcPr>
            <w:tcW w:w="780" w:type="dxa"/>
            <w:vAlign w:val="center"/>
          </w:tcPr>
          <w:p>
            <w:pPr>
              <w:jc w:val="center"/>
              <w:spacing w:after="20" w:line="240" w:lineRule="auto"/>
            </w:pPr>
            <w:r>
              <w:rPr>
                <w:rFonts w:ascii="Times New Roman" w:hAnsi="Times New Roman"/>
                <w:sz w:val="15"/>
                <w:szCs w:val="15"/>
              </w:rPr>
              <w:t xml:space="preserve">195</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f10</w:t>
            </w:r>
          </w:p>
        </w:tc>
        <w:tc>
          <w:tcPr>
            <w:tcW w:w="780" w:type="dxa"/>
            <w:vAlign w:val="center"/>
          </w:tcPr>
          <w:p>
            <w:pPr>
              <w:jc w:val="center"/>
              <w:spacing w:after="20" w:line="240" w:lineRule="auto"/>
            </w:pPr>
            <w:r>
              <w:rPr>
                <w:rFonts w:ascii="Times New Roman" w:hAnsi="Times New Roman"/>
                <w:sz w:val="15"/>
                <w:szCs w:val="15"/>
              </w:rPr>
              <w:t xml:space="preserve">0.0445</w:t>
            </w:r>
          </w:p>
        </w:tc>
        <w:tc>
          <w:tcPr>
            <w:tcW w:w="780" w:type="dxa"/>
            <w:vAlign w:val="center"/>
          </w:tcPr>
          <w:p>
            <w:pPr>
              <w:jc w:val="center"/>
              <w:spacing w:after="20" w:line="240" w:lineRule="auto"/>
            </w:pPr>
            <w:r>
              <w:rPr>
                <w:rFonts w:ascii="Times New Roman" w:hAnsi="Times New Roman"/>
                <w:sz w:val="15"/>
                <w:szCs w:val="15"/>
              </w:rPr>
              <w:t xml:space="preserve">0.1692</w:t>
            </w:r>
          </w:p>
        </w:tc>
        <w:tc>
          <w:tcPr>
            <w:tcW w:w="780" w:type="dxa"/>
            <w:vAlign w:val="center"/>
          </w:tcPr>
          <w:p>
            <w:pPr>
              <w:jc w:val="center"/>
              <w:spacing w:after="20" w:line="240" w:lineRule="auto"/>
            </w:pPr>
            <w:r>
              <w:rPr>
                <w:rFonts w:ascii="Times New Roman" w:hAnsi="Times New Roman"/>
                <w:sz w:val="15"/>
                <w:szCs w:val="15"/>
              </w:rPr>
              <w:t xml:space="preserve">0.0116</w:t>
            </w:r>
          </w:p>
        </w:tc>
        <w:tc>
          <w:tcPr>
            <w:tcW w:w="780" w:type="dxa"/>
            <w:vAlign w:val="center"/>
          </w:tcPr>
          <w:p>
            <w:pPr>
              <w:jc w:val="center"/>
              <w:spacing w:after="20" w:line="240" w:lineRule="auto"/>
            </w:pPr>
            <w:r>
              <w:rPr>
                <w:rFonts w:ascii="Times New Roman" w:hAnsi="Times New Roman"/>
                <w:sz w:val="15"/>
                <w:szCs w:val="15"/>
              </w:rPr>
              <w:t xml:space="preserve">0.0037</w:t>
            </w:r>
          </w:p>
        </w:tc>
        <w:tc>
          <w:tcPr>
            <w:tcW w:w="780" w:type="dxa"/>
            <w:vAlign w:val="center"/>
          </w:tcPr>
          <w:p>
            <w:pPr>
              <w:jc w:val="center"/>
              <w:spacing w:after="20" w:line="240" w:lineRule="auto"/>
            </w:pPr>
            <w:r>
              <w:rPr>
                <w:rFonts w:ascii="Times New Roman" w:hAnsi="Times New Roman"/>
                <w:sz w:val="15"/>
                <w:szCs w:val="15"/>
              </w:rPr>
              <w:t xml:space="preserve">0.7556</w:t>
            </w:r>
          </w:p>
        </w:tc>
        <w:tc>
          <w:tcPr>
            <w:tcW w:w="780" w:type="dxa"/>
            <w:vAlign w:val="center"/>
          </w:tcPr>
          <w:p>
            <w:pPr>
              <w:jc w:val="center"/>
              <w:spacing w:after="20" w:line="240" w:lineRule="auto"/>
            </w:pPr>
            <w:r>
              <w:rPr>
                <w:rFonts w:ascii="Times New Roman" w:hAnsi="Times New Roman"/>
                <w:sz w:val="15"/>
                <w:szCs w:val="15"/>
              </w:rPr>
              <w:t xml:space="preserve">0.0105</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0.2970</w:t>
            </w:r>
          </w:p>
        </w:tc>
        <w:tc>
          <w:tcPr>
            <w:tcW w:w="780" w:type="dxa"/>
            <w:vAlign w:val="center"/>
          </w:tcPr>
          <w:p>
            <w:pPr>
              <w:jc w:val="center"/>
              <w:spacing w:after="20" w:line="240" w:lineRule="auto"/>
            </w:pPr>
            <w:r>
              <w:rPr>
                <w:rFonts w:ascii="Times New Roman" w:hAnsi="Times New Roman"/>
                <w:sz w:val="15"/>
                <w:szCs w:val="15"/>
              </w:rPr>
              <w:t xml:space="preserve">0.0012</w:t>
            </w:r>
          </w:p>
        </w:tc>
        <w:tc>
          <w:tcPr>
            <w:tcW w:w="780" w:type="dxa"/>
            <w:vAlign w:val="center"/>
          </w:tcPr>
          <w:p>
            <w:pPr>
              <w:jc w:val="center"/>
              <w:spacing w:after="20" w:line="240" w:lineRule="auto"/>
            </w:pPr>
            <w:r>
              <w:rPr>
                <w:rFonts w:ascii="Times New Roman" w:hAnsi="Times New Roman"/>
                <w:sz w:val="15"/>
                <w:szCs w:val="15"/>
              </w:rPr>
              <w:t xml:space="preserve">215</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f11</w:t>
            </w:r>
          </w:p>
        </w:tc>
        <w:tc>
          <w:tcPr>
            <w:tcW w:w="780" w:type="dxa"/>
            <w:vAlign w:val="center"/>
          </w:tcPr>
          <w:p>
            <w:pPr>
              <w:jc w:val="center"/>
              <w:spacing w:after="20" w:line="240" w:lineRule="auto"/>
            </w:pPr>
            <w:r>
              <w:rPr>
                <w:rFonts w:ascii="Times New Roman" w:hAnsi="Times New Roman"/>
                <w:sz w:val="15"/>
                <w:szCs w:val="15"/>
              </w:rPr>
              <w:t xml:space="preserve">0.0322</w:t>
            </w:r>
          </w:p>
        </w:tc>
        <w:tc>
          <w:tcPr>
            <w:tcW w:w="780" w:type="dxa"/>
            <w:vAlign w:val="center"/>
          </w:tcPr>
          <w:p>
            <w:pPr>
              <w:jc w:val="center"/>
              <w:spacing w:after="20" w:line="240" w:lineRule="auto"/>
            </w:pPr>
            <w:r>
              <w:rPr>
                <w:rFonts w:ascii="Times New Roman" w:hAnsi="Times New Roman"/>
                <w:sz w:val="15"/>
                <w:szCs w:val="15"/>
              </w:rPr>
              <w:t xml:space="preserve">0.1571</w:t>
            </w:r>
          </w:p>
        </w:tc>
        <w:tc>
          <w:tcPr>
            <w:tcW w:w="780" w:type="dxa"/>
            <w:vAlign w:val="center"/>
          </w:tcPr>
          <w:p>
            <w:pPr>
              <w:jc w:val="center"/>
              <w:spacing w:after="20" w:line="240" w:lineRule="auto"/>
            </w:pPr>
            <w:r>
              <w:rPr>
                <w:rFonts w:ascii="Times New Roman" w:hAnsi="Times New Roman"/>
                <w:sz w:val="15"/>
                <w:szCs w:val="15"/>
              </w:rPr>
              <w:t xml:space="preserve">0.0115</w:t>
            </w:r>
          </w:p>
        </w:tc>
        <w:tc>
          <w:tcPr>
            <w:tcW w:w="780" w:type="dxa"/>
            <w:vAlign w:val="center"/>
          </w:tcPr>
          <w:p>
            <w:pPr>
              <w:jc w:val="center"/>
              <w:spacing w:after="20" w:line="240" w:lineRule="auto"/>
            </w:pPr>
            <w:r>
              <w:rPr>
                <w:rFonts w:ascii="Times New Roman" w:hAnsi="Times New Roman"/>
                <w:sz w:val="15"/>
                <w:szCs w:val="15"/>
              </w:rPr>
              <w:t xml:space="preserve">0.0034</w:t>
            </w:r>
          </w:p>
        </w:tc>
        <w:tc>
          <w:tcPr>
            <w:tcW w:w="780" w:type="dxa"/>
            <w:vAlign w:val="center"/>
          </w:tcPr>
          <w:p>
            <w:pPr>
              <w:jc w:val="center"/>
              <w:spacing w:after="20" w:line="240" w:lineRule="auto"/>
            </w:pPr>
            <w:r>
              <w:rPr>
                <w:rFonts w:ascii="Times New Roman" w:hAnsi="Times New Roman"/>
                <w:sz w:val="15"/>
                <w:szCs w:val="15"/>
              </w:rPr>
              <w:t xml:space="preserve">0.8813</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0.2151</w:t>
            </w:r>
          </w:p>
        </w:tc>
        <w:tc>
          <w:tcPr>
            <w:tcW w:w="780" w:type="dxa"/>
            <w:vAlign w:val="center"/>
          </w:tcPr>
          <w:p>
            <w:pPr>
              <w:jc w:val="center"/>
              <w:spacing w:after="20" w:line="240" w:lineRule="auto"/>
            </w:pPr>
            <w:r>
              <w:rPr>
                <w:rFonts w:ascii="Times New Roman" w:hAnsi="Times New Roman"/>
                <w:sz w:val="15"/>
                <w:szCs w:val="15"/>
              </w:rPr>
              <w:t xml:space="preserve">0.0013</w:t>
            </w:r>
          </w:p>
        </w:tc>
        <w:tc>
          <w:tcPr>
            <w:tcW w:w="780" w:type="dxa"/>
            <w:vAlign w:val="center"/>
          </w:tcPr>
          <w:p>
            <w:pPr>
              <w:jc w:val="center"/>
              <w:spacing w:after="20" w:line="240" w:lineRule="auto"/>
            </w:pPr>
            <w:r>
              <w:rPr>
                <w:rFonts w:ascii="Times New Roman" w:hAnsi="Times New Roman"/>
                <w:sz w:val="15"/>
                <w:szCs w:val="15"/>
              </w:rPr>
              <w:t xml:space="preserve">182</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f12</w:t>
            </w:r>
          </w:p>
        </w:tc>
        <w:tc>
          <w:tcPr>
            <w:tcW w:w="780" w:type="dxa"/>
            <w:vAlign w:val="center"/>
          </w:tcPr>
          <w:p>
            <w:pPr>
              <w:jc w:val="center"/>
              <w:spacing w:after="20" w:line="240" w:lineRule="auto"/>
            </w:pPr>
            <w:r>
              <w:rPr>
                <w:rFonts w:ascii="Times New Roman" w:hAnsi="Times New Roman"/>
                <w:sz w:val="15"/>
                <w:szCs w:val="15"/>
              </w:rPr>
              <w:t xml:space="preserve">0.0456</w:t>
            </w:r>
          </w:p>
        </w:tc>
        <w:tc>
          <w:tcPr>
            <w:tcW w:w="780" w:type="dxa"/>
            <w:vAlign w:val="center"/>
          </w:tcPr>
          <w:p>
            <w:pPr>
              <w:jc w:val="center"/>
              <w:spacing w:after="20" w:line="240" w:lineRule="auto"/>
            </w:pPr>
            <w:r>
              <w:rPr>
                <w:rFonts w:ascii="Times New Roman" w:hAnsi="Times New Roman"/>
                <w:sz w:val="15"/>
                <w:szCs w:val="15"/>
              </w:rPr>
              <w:t xml:space="preserve">0.1787</w:t>
            </w:r>
          </w:p>
        </w:tc>
        <w:tc>
          <w:tcPr>
            <w:tcW w:w="780" w:type="dxa"/>
            <w:vAlign w:val="center"/>
          </w:tcPr>
          <w:p>
            <w:pPr>
              <w:jc w:val="center"/>
              <w:spacing w:after="20" w:line="240" w:lineRule="auto"/>
            </w:pPr>
            <w:r>
              <w:rPr>
                <w:rFonts w:ascii="Times New Roman" w:hAnsi="Times New Roman"/>
                <w:sz w:val="15"/>
                <w:szCs w:val="15"/>
              </w:rPr>
              <w:t xml:space="preserve">0.0186</w:t>
            </w:r>
          </w:p>
        </w:tc>
        <w:tc>
          <w:tcPr>
            <w:tcW w:w="780" w:type="dxa"/>
            <w:vAlign w:val="center"/>
          </w:tcPr>
          <w:p>
            <w:pPr>
              <w:jc w:val="center"/>
              <w:spacing w:after="20" w:line="240" w:lineRule="auto"/>
            </w:pPr>
            <w:r>
              <w:rPr>
                <w:rFonts w:ascii="Times New Roman" w:hAnsi="Times New Roman"/>
                <w:sz w:val="15"/>
                <w:szCs w:val="15"/>
              </w:rPr>
              <w:t xml:space="preserve">0.0030</w:t>
            </w:r>
          </w:p>
        </w:tc>
        <w:tc>
          <w:tcPr>
            <w:tcW w:w="780" w:type="dxa"/>
            <w:vAlign w:val="center"/>
          </w:tcPr>
          <w:p>
            <w:pPr>
              <w:jc w:val="center"/>
              <w:spacing w:after="20" w:line="240" w:lineRule="auto"/>
            </w:pPr>
            <w:r>
              <w:rPr>
                <w:rFonts w:ascii="Times New Roman" w:hAnsi="Times New Roman"/>
                <w:sz w:val="15"/>
                <w:szCs w:val="15"/>
              </w:rPr>
              <w:t xml:space="preserve">0.8271</w:t>
            </w:r>
          </w:p>
        </w:tc>
        <w:tc>
          <w:tcPr>
            <w:tcW w:w="780" w:type="dxa"/>
            <w:vAlign w:val="center"/>
          </w:tcPr>
          <w:p>
            <w:pPr>
              <w:jc w:val="center"/>
              <w:spacing w:after="20" w:line="240" w:lineRule="auto"/>
            </w:pPr>
            <w:r>
              <w:rPr>
                <w:rFonts w:ascii="Times New Roman" w:hAnsi="Times New Roman"/>
                <w:sz w:val="15"/>
                <w:szCs w:val="15"/>
              </w:rPr>
              <w:t xml:space="preserve">0.0899</w:t>
            </w:r>
          </w:p>
        </w:tc>
        <w:tc>
          <w:tcPr>
            <w:tcW w:w="780" w:type="dxa"/>
            <w:vAlign w:val="center"/>
          </w:tcPr>
          <w:p>
            <w:pPr>
              <w:jc w:val="center"/>
              <w:spacing w:after="20" w:line="240" w:lineRule="auto"/>
            </w:pPr>
            <w:r>
              <w:rPr>
                <w:rFonts w:ascii="Times New Roman" w:hAnsi="Times New Roman"/>
                <w:sz w:val="15"/>
                <w:szCs w:val="15"/>
              </w:rPr>
              <w:t xml:space="preserve">0.0230</w:t>
            </w:r>
          </w:p>
        </w:tc>
        <w:tc>
          <w:tcPr>
            <w:tcW w:w="780" w:type="dxa"/>
            <w:vAlign w:val="center"/>
          </w:tcPr>
          <w:p>
            <w:pPr>
              <w:jc w:val="center"/>
              <w:spacing w:after="20" w:line="240" w:lineRule="auto"/>
            </w:pPr>
            <w:r>
              <w:rPr>
                <w:rFonts w:ascii="Times New Roman" w:hAnsi="Times New Roman"/>
                <w:sz w:val="15"/>
                <w:szCs w:val="15"/>
              </w:rPr>
              <w:t xml:space="preserve">0.2262</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191</w:t>
            </w:r>
          </w:p>
        </w:tc>
        <w:tc>
          <w:tcPr>
            <w:tcW w:w="780" w:type="dxa"/>
            <w:vAlign w:val="center"/>
          </w:tcPr>
          <w:p>
            <w:pPr>
              <w:jc w:val="center"/>
              <w:spacing w:after="20" w:line="240" w:lineRule="auto"/>
            </w:pPr>
            <w:r>
              <w:rPr>
                <w:rFonts w:ascii="Times New Roman" w:hAnsi="Times New Roman"/>
                <w:sz w:val="15"/>
                <w:szCs w:val="15"/>
              </w:rPr>
              <w:t xml:space="preserve">0.24</w:t>
            </w:r>
          </w:p>
        </w:tc>
      </w:tr>
      <w:tr>
        <w:tc>
          <w:tcPr>
            <w:tcW w:w="780" w:type="dxa"/>
            <w:vAlign w:val="center"/>
          </w:tcPr>
          <w:p>
            <w:pPr>
              <w:jc w:val="center"/>
              <w:spacing w:after="20" w:line="240" w:lineRule="auto"/>
            </w:pPr>
            <w:r>
              <w:rPr>
                <w:rFonts w:ascii="Times New Roman" w:hAnsi="Times New Roman"/>
                <w:sz w:val="15"/>
                <w:szCs w:val="15"/>
              </w:rPr>
              <w:t xml:space="preserve">f13</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0.1519</w:t>
            </w:r>
          </w:p>
        </w:tc>
        <w:tc>
          <w:tcPr>
            <w:tcW w:w="780" w:type="dxa"/>
            <w:vAlign w:val="center"/>
          </w:tcPr>
          <w:p>
            <w:pPr>
              <w:jc w:val="center"/>
              <w:spacing w:after="20" w:line="240" w:lineRule="auto"/>
            </w:pPr>
            <w:r>
              <w:rPr>
                <w:rFonts w:ascii="Times New Roman" w:hAnsi="Times New Roman"/>
                <w:sz w:val="15"/>
                <w:szCs w:val="15"/>
              </w:rPr>
              <w:t xml:space="preserve">0.0108</w:t>
            </w:r>
          </w:p>
        </w:tc>
        <w:tc>
          <w:tcPr>
            <w:tcW w:w="780" w:type="dxa"/>
            <w:vAlign w:val="center"/>
          </w:tcPr>
          <w:p>
            <w:pPr>
              <w:jc w:val="center"/>
              <w:spacing w:after="20" w:line="240" w:lineRule="auto"/>
            </w:pPr>
            <w:r>
              <w:rPr>
                <w:rFonts w:ascii="Times New Roman" w:hAnsi="Times New Roman"/>
                <w:sz w:val="15"/>
                <w:szCs w:val="15"/>
              </w:rPr>
              <w:t xml:space="preserve">0.0042</w:t>
            </w:r>
          </w:p>
        </w:tc>
        <w:tc>
          <w:tcPr>
            <w:tcW w:w="780" w:type="dxa"/>
            <w:vAlign w:val="center"/>
          </w:tcPr>
          <w:p>
            <w:pPr>
              <w:jc w:val="center"/>
              <w:spacing w:after="20" w:line="240" w:lineRule="auto"/>
            </w:pPr>
            <w:r>
              <w:rPr>
                <w:rFonts w:ascii="Times New Roman" w:hAnsi="Times New Roman"/>
                <w:sz w:val="15"/>
                <w:szCs w:val="15"/>
              </w:rPr>
              <w:t xml:space="preserve">0.6837</w:t>
            </w:r>
          </w:p>
        </w:tc>
        <w:tc>
          <w:tcPr>
            <w:tcW w:w="780" w:type="dxa"/>
            <w:vAlign w:val="center"/>
          </w:tcPr>
          <w:p>
            <w:pPr>
              <w:jc w:val="center"/>
              <w:spacing w:after="20" w:line="240" w:lineRule="auto"/>
            </w:pPr>
            <w:r>
              <w:rPr>
                <w:rFonts w:ascii="Times New Roman" w:hAnsi="Times New Roman"/>
                <w:sz w:val="15"/>
                <w:szCs w:val="15"/>
              </w:rPr>
              <w:t xml:space="preserve">0.0103</w:t>
            </w:r>
          </w:p>
        </w:tc>
        <w:tc>
          <w:tcPr>
            <w:tcW w:w="780" w:type="dxa"/>
            <w:vAlign w:val="center"/>
          </w:tcPr>
          <w:p>
            <w:pPr>
              <w:jc w:val="center"/>
              <w:spacing w:after="20" w:line="240" w:lineRule="auto"/>
            </w:pPr>
            <w:r>
              <w:rPr>
                <w:rFonts w:ascii="Times New Roman" w:hAnsi="Times New Roman"/>
                <w:sz w:val="15"/>
                <w:szCs w:val="15"/>
              </w:rPr>
              <w:t xml:space="preserve">0.0253</w:t>
            </w:r>
          </w:p>
        </w:tc>
        <w:tc>
          <w:tcPr>
            <w:tcW w:w="780" w:type="dxa"/>
            <w:vAlign w:val="center"/>
          </w:tcPr>
          <w:p>
            <w:pPr>
              <w:jc w:val="center"/>
              <w:spacing w:after="20" w:line="240" w:lineRule="auto"/>
            </w:pPr>
            <w:r>
              <w:rPr>
                <w:rFonts w:ascii="Times New Roman" w:hAnsi="Times New Roman"/>
                <w:sz w:val="15"/>
                <w:szCs w:val="15"/>
              </w:rPr>
              <w:t xml:space="preserve">0.2842</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193</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f14</w:t>
            </w:r>
          </w:p>
        </w:tc>
        <w:tc>
          <w:tcPr>
            <w:tcW w:w="780" w:type="dxa"/>
            <w:vAlign w:val="center"/>
          </w:tcPr>
          <w:p>
            <w:pPr>
              <w:jc w:val="center"/>
              <w:spacing w:after="20" w:line="240" w:lineRule="auto"/>
            </w:pPr>
            <w:r>
              <w:rPr>
                <w:rFonts w:ascii="Times New Roman" w:hAnsi="Times New Roman"/>
                <w:sz w:val="15"/>
                <w:szCs w:val="15"/>
              </w:rPr>
              <w:t xml:space="preserve">0.0392</w:t>
            </w:r>
          </w:p>
        </w:tc>
        <w:tc>
          <w:tcPr>
            <w:tcW w:w="780" w:type="dxa"/>
            <w:vAlign w:val="center"/>
          </w:tcPr>
          <w:p>
            <w:pPr>
              <w:jc w:val="center"/>
              <w:spacing w:after="20" w:line="240" w:lineRule="auto"/>
            </w:pPr>
            <w:r>
              <w:rPr>
                <w:rFonts w:ascii="Times New Roman" w:hAnsi="Times New Roman"/>
                <w:sz w:val="15"/>
                <w:szCs w:val="15"/>
              </w:rPr>
              <w:t xml:space="preserve">0.1517</w:t>
            </w:r>
          </w:p>
        </w:tc>
        <w:tc>
          <w:tcPr>
            <w:tcW w:w="780" w:type="dxa"/>
            <w:vAlign w:val="center"/>
          </w:tcPr>
          <w:p>
            <w:pPr>
              <w:jc w:val="center"/>
              <w:spacing w:after="20" w:line="240" w:lineRule="auto"/>
            </w:pPr>
            <w:r>
              <w:rPr>
                <w:rFonts w:ascii="Times New Roman" w:hAnsi="Times New Roman"/>
                <w:sz w:val="15"/>
                <w:szCs w:val="15"/>
              </w:rPr>
              <w:t xml:space="preserve">0.0124</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0.7608</w:t>
            </w:r>
          </w:p>
        </w:tc>
        <w:tc>
          <w:tcPr>
            <w:tcW w:w="780" w:type="dxa"/>
            <w:vAlign w:val="center"/>
          </w:tcPr>
          <w:p>
            <w:pPr>
              <w:jc w:val="center"/>
              <w:spacing w:after="20" w:line="240" w:lineRule="auto"/>
            </w:pPr>
            <w:r>
              <w:rPr>
                <w:rFonts w:ascii="Times New Roman" w:hAnsi="Times New Roman"/>
                <w:sz w:val="15"/>
                <w:szCs w:val="15"/>
              </w:rPr>
              <w:t xml:space="preserve">0.0143</w:t>
            </w:r>
          </w:p>
        </w:tc>
        <w:tc>
          <w:tcPr>
            <w:tcW w:w="780" w:type="dxa"/>
            <w:vAlign w:val="center"/>
          </w:tcPr>
          <w:p>
            <w:pPr>
              <w:jc w:val="center"/>
              <w:spacing w:after="20" w:line="240" w:lineRule="auto"/>
            </w:pPr>
            <w:r>
              <w:rPr>
                <w:rFonts w:ascii="Times New Roman" w:hAnsi="Times New Roman"/>
                <w:sz w:val="15"/>
                <w:szCs w:val="15"/>
              </w:rPr>
              <w:t xml:space="preserve">0.0274</w:t>
            </w:r>
          </w:p>
        </w:tc>
        <w:tc>
          <w:tcPr>
            <w:tcW w:w="780" w:type="dxa"/>
            <w:vAlign w:val="center"/>
          </w:tcPr>
          <w:p>
            <w:pPr>
              <w:jc w:val="center"/>
              <w:spacing w:after="20" w:line="240" w:lineRule="auto"/>
            </w:pPr>
            <w:r>
              <w:rPr>
                <w:rFonts w:ascii="Times New Roman" w:hAnsi="Times New Roman"/>
                <w:sz w:val="15"/>
                <w:szCs w:val="15"/>
              </w:rPr>
              <w:t xml:space="preserve">0.2183</w:t>
            </w:r>
          </w:p>
        </w:tc>
        <w:tc>
          <w:tcPr>
            <w:tcW w:w="780" w:type="dxa"/>
            <w:vAlign w:val="center"/>
          </w:tcPr>
          <w:p>
            <w:pPr>
              <w:jc w:val="center"/>
              <w:spacing w:after="20" w:line="240" w:lineRule="auto"/>
            </w:pPr>
            <w:r>
              <w:rPr>
                <w:rFonts w:ascii="Times New Roman" w:hAnsi="Times New Roman"/>
                <w:sz w:val="15"/>
                <w:szCs w:val="15"/>
              </w:rPr>
              <w:t xml:space="preserve">0.0027</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0.26</w:t>
            </w:r>
          </w:p>
        </w:tc>
      </w:tr>
      <w:tr>
        <w:tc>
          <w:tcPr>
            <w:tcW w:w="780" w:type="dxa"/>
            <w:vAlign w:val="center"/>
          </w:tcPr>
          <w:p>
            <w:pPr>
              <w:jc w:val="center"/>
              <w:spacing w:after="20" w:line="240" w:lineRule="auto"/>
            </w:pPr>
            <w:r>
              <w:rPr>
                <w:rFonts w:ascii="Times New Roman" w:hAnsi="Times New Roman"/>
                <w:sz w:val="15"/>
                <w:szCs w:val="15"/>
              </w:rPr>
              <w:t xml:space="preserve">f15</w:t>
            </w:r>
          </w:p>
        </w:tc>
        <w:tc>
          <w:tcPr>
            <w:tcW w:w="780" w:type="dxa"/>
            <w:vAlign w:val="center"/>
          </w:tcPr>
          <w:p>
            <w:pPr>
              <w:jc w:val="center"/>
              <w:spacing w:after="20" w:line="240" w:lineRule="auto"/>
            </w:pPr>
            <w:r>
              <w:rPr>
                <w:rFonts w:ascii="Times New Roman" w:hAnsi="Times New Roman"/>
                <w:sz w:val="15"/>
                <w:szCs w:val="15"/>
              </w:rPr>
              <w:t xml:space="preserve">0.0462</w:t>
            </w:r>
          </w:p>
        </w:tc>
        <w:tc>
          <w:tcPr>
            <w:tcW w:w="780" w:type="dxa"/>
            <w:vAlign w:val="center"/>
          </w:tcPr>
          <w:p>
            <w:pPr>
              <w:jc w:val="center"/>
              <w:spacing w:after="20" w:line="240" w:lineRule="auto"/>
            </w:pPr>
            <w:r>
              <w:rPr>
                <w:rFonts w:ascii="Times New Roman" w:hAnsi="Times New Roman"/>
                <w:sz w:val="15"/>
                <w:szCs w:val="15"/>
              </w:rPr>
              <w:t xml:space="preserve">0.1362</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0.6887</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0.0276</w:t>
            </w:r>
          </w:p>
        </w:tc>
        <w:tc>
          <w:tcPr>
            <w:tcW w:w="780" w:type="dxa"/>
            <w:vAlign w:val="center"/>
          </w:tcPr>
          <w:p>
            <w:pPr>
              <w:jc w:val="center"/>
              <w:spacing w:after="20" w:line="240" w:lineRule="auto"/>
            </w:pPr>
            <w:r>
              <w:rPr>
                <w:rFonts w:ascii="Times New Roman" w:hAnsi="Times New Roman"/>
                <w:sz w:val="15"/>
                <w:szCs w:val="15"/>
              </w:rPr>
              <w:t xml:space="preserve">0.2182</w:t>
            </w:r>
          </w:p>
        </w:tc>
        <w:tc>
          <w:tcPr>
            <w:tcW w:w="780" w:type="dxa"/>
            <w:vAlign w:val="center"/>
          </w:tcPr>
          <w:p>
            <w:pPr>
              <w:jc w:val="center"/>
              <w:spacing w:after="20" w:line="240" w:lineRule="auto"/>
            </w:pPr>
            <w:r>
              <w:rPr>
                <w:rFonts w:ascii="Times New Roman" w:hAnsi="Times New Roman"/>
                <w:sz w:val="15"/>
                <w:szCs w:val="15"/>
              </w:rPr>
              <w:t xml:space="preserve">0.0026</w:t>
            </w:r>
          </w:p>
        </w:tc>
        <w:tc>
          <w:tcPr>
            <w:tcW w:w="780" w:type="dxa"/>
            <w:vAlign w:val="center"/>
          </w:tcPr>
          <w:p>
            <w:pPr>
              <w:jc w:val="center"/>
              <w:spacing w:after="20" w:line="240" w:lineRule="auto"/>
            </w:pPr>
            <w:r>
              <w:rPr>
                <w:rFonts w:ascii="Times New Roman" w:hAnsi="Times New Roman"/>
                <w:sz w:val="15"/>
                <w:szCs w:val="15"/>
              </w:rPr>
              <w:t xml:space="preserve">226</w:t>
            </w:r>
          </w:p>
        </w:tc>
        <w:tc>
          <w:tcPr>
            <w:tcW w:w="780" w:type="dxa"/>
            <w:vAlign w:val="center"/>
          </w:tcPr>
          <w:p>
            <w:pPr>
              <w:jc w:val="center"/>
              <w:spacing w:after="20" w:line="240" w:lineRule="auto"/>
            </w:pPr>
            <w:r>
              <w:rPr>
                <w:rFonts w:ascii="Times New Roman" w:hAnsi="Times New Roman"/>
                <w:sz w:val="15"/>
                <w:szCs w:val="15"/>
              </w:rPr>
              <w:t xml:space="preserve">0.31</w:t>
            </w:r>
          </w:p>
        </w:tc>
      </w:tr>
      <w:tr>
        <w:tc>
          <w:tcPr>
            <w:tcW w:w="780" w:type="dxa"/>
            <w:vAlign w:val="center"/>
          </w:tcPr>
          <w:p>
            <w:pPr>
              <w:jc w:val="center"/>
              <w:spacing w:after="20" w:line="240" w:lineRule="auto"/>
            </w:pPr>
            <w:r>
              <w:rPr>
                <w:rFonts w:ascii="Times New Roman" w:hAnsi="Times New Roman"/>
                <w:sz w:val="15"/>
                <w:szCs w:val="15"/>
              </w:rPr>
              <w:t xml:space="preserve">f16</w:t>
            </w:r>
          </w:p>
        </w:tc>
        <w:tc>
          <w:tcPr>
            <w:tcW w:w="780" w:type="dxa"/>
            <w:vAlign w:val="center"/>
          </w:tcPr>
          <w:p>
            <w:pPr>
              <w:jc w:val="center"/>
              <w:spacing w:after="20" w:line="240" w:lineRule="auto"/>
            </w:pPr>
            <w:r>
              <w:rPr>
                <w:rFonts w:ascii="Times New Roman" w:hAnsi="Times New Roman"/>
                <w:sz w:val="15"/>
                <w:szCs w:val="15"/>
              </w:rPr>
              <w:t xml:space="preserve">0.0401</w:t>
            </w:r>
          </w:p>
        </w:tc>
        <w:tc>
          <w:tcPr>
            <w:tcW w:w="780" w:type="dxa"/>
            <w:vAlign w:val="center"/>
          </w:tcPr>
          <w:p>
            <w:pPr>
              <w:jc w:val="center"/>
              <w:spacing w:after="20" w:line="240" w:lineRule="auto"/>
            </w:pPr>
            <w:r>
              <w:rPr>
                <w:rFonts w:ascii="Times New Roman" w:hAnsi="Times New Roman"/>
                <w:sz w:val="15"/>
                <w:szCs w:val="15"/>
              </w:rPr>
              <w:t xml:space="preserve">0.1739</w:t>
            </w:r>
          </w:p>
        </w:tc>
        <w:tc>
          <w:tcPr>
            <w:tcW w:w="780" w:type="dxa"/>
            <w:vAlign w:val="center"/>
          </w:tcPr>
          <w:p>
            <w:pPr>
              <w:jc w:val="center"/>
              <w:spacing w:after="20" w:line="240" w:lineRule="auto"/>
            </w:pPr>
            <w:r>
              <w:rPr>
                <w:rFonts w:ascii="Times New Roman" w:hAnsi="Times New Roman"/>
                <w:sz w:val="15"/>
                <w:szCs w:val="15"/>
              </w:rPr>
              <w:t xml:space="preserve">0.0119</w:t>
            </w:r>
          </w:p>
        </w:tc>
        <w:tc>
          <w:tcPr>
            <w:tcW w:w="780" w:type="dxa"/>
            <w:vAlign w:val="center"/>
          </w:tcPr>
          <w:p>
            <w:pPr>
              <w:jc w:val="center"/>
              <w:spacing w:after="20" w:line="240" w:lineRule="auto"/>
            </w:pPr>
            <w:r>
              <w:rPr>
                <w:rFonts w:ascii="Times New Roman" w:hAnsi="Times New Roman"/>
                <w:sz w:val="15"/>
                <w:szCs w:val="15"/>
              </w:rPr>
              <w:t xml:space="preserve">0.0053</w:t>
            </w:r>
          </w:p>
        </w:tc>
        <w:tc>
          <w:tcPr>
            <w:tcW w:w="780" w:type="dxa"/>
            <w:vAlign w:val="center"/>
          </w:tcPr>
          <w:p>
            <w:pPr>
              <w:jc w:val="center"/>
              <w:spacing w:after="20" w:line="240" w:lineRule="auto"/>
            </w:pPr>
            <w:r>
              <w:rPr>
                <w:rFonts w:ascii="Times New Roman" w:hAnsi="Times New Roman"/>
                <w:sz w:val="15"/>
                <w:szCs w:val="15"/>
              </w:rPr>
              <w:t xml:space="preserve">0.8652</w:t>
            </w:r>
          </w:p>
        </w:tc>
        <w:tc>
          <w:tcPr>
            <w:tcW w:w="780" w:type="dxa"/>
            <w:vAlign w:val="center"/>
          </w:tcPr>
          <w:p>
            <w:pPr>
              <w:jc w:val="center"/>
              <w:spacing w:after="20" w:line="240" w:lineRule="auto"/>
            </w:pPr>
            <w:r>
              <w:rPr>
                <w:rFonts w:ascii="Times New Roman" w:hAnsi="Times New Roman"/>
                <w:sz w:val="15"/>
                <w:szCs w:val="15"/>
              </w:rPr>
              <w:t xml:space="preserve">0.0107</w:t>
            </w:r>
          </w:p>
        </w:tc>
        <w:tc>
          <w:tcPr>
            <w:tcW w:w="780" w:type="dxa"/>
            <w:vAlign w:val="center"/>
          </w:tcPr>
          <w:p>
            <w:pPr>
              <w:jc w:val="center"/>
              <w:spacing w:after="20" w:line="240" w:lineRule="auto"/>
            </w:pPr>
            <w:r>
              <w:rPr>
                <w:rFonts w:ascii="Times New Roman" w:hAnsi="Times New Roman"/>
                <w:sz w:val="15"/>
                <w:szCs w:val="15"/>
              </w:rPr>
              <w:t xml:space="preserve">0.0295</w:t>
            </w:r>
          </w:p>
        </w:tc>
        <w:tc>
          <w:tcPr>
            <w:tcW w:w="780" w:type="dxa"/>
            <w:vAlign w:val="center"/>
          </w:tcPr>
          <w:p>
            <w:pPr>
              <w:jc w:val="center"/>
              <w:spacing w:after="20" w:line="240" w:lineRule="auto"/>
            </w:pPr>
            <w:r>
              <w:rPr>
                <w:rFonts w:ascii="Times New Roman" w:hAnsi="Times New Roman"/>
                <w:sz w:val="15"/>
                <w:szCs w:val="15"/>
              </w:rPr>
              <w:t xml:space="preserve">0.2766</w:t>
            </w:r>
          </w:p>
        </w:tc>
        <w:tc>
          <w:tcPr>
            <w:tcW w:w="780" w:type="dxa"/>
            <w:vAlign w:val="center"/>
          </w:tcPr>
          <w:p>
            <w:pPr>
              <w:jc w:val="center"/>
              <w:spacing w:after="20" w:line="240" w:lineRule="auto"/>
            </w:pPr>
            <w:r>
              <w:rPr>
                <w:rFonts w:ascii="Times New Roman" w:hAnsi="Times New Roman"/>
                <w:sz w:val="15"/>
                <w:szCs w:val="15"/>
              </w:rPr>
              <w:t xml:space="preserve">0.0011</w:t>
            </w:r>
          </w:p>
        </w:tc>
        <w:tc>
          <w:tcPr>
            <w:tcW w:w="780" w:type="dxa"/>
            <w:vAlign w:val="center"/>
          </w:tcPr>
          <w:p>
            <w:pPr>
              <w:jc w:val="center"/>
              <w:spacing w:after="20" w:line="240" w:lineRule="auto"/>
            </w:pPr>
            <w:r>
              <w:rPr>
                <w:rFonts w:ascii="Times New Roman" w:hAnsi="Times New Roman"/>
                <w:sz w:val="15"/>
                <w:szCs w:val="15"/>
              </w:rPr>
              <w:t xml:space="preserve">217</w:t>
            </w:r>
          </w:p>
        </w:tc>
        <w:tc>
          <w:tcPr>
            <w:tcW w:w="780" w:type="dxa"/>
            <w:vAlign w:val="center"/>
          </w:tcPr>
          <w:p>
            <w:pPr>
              <w:jc w:val="center"/>
              <w:spacing w:after="20" w:line="240" w:lineRule="auto"/>
            </w:pPr>
            <w:r>
              <w:rPr>
                <w:rFonts w:ascii="Times New Roman" w:hAnsi="Times New Roman"/>
                <w:sz w:val="15"/>
                <w:szCs w:val="15"/>
              </w:rPr>
              <w:t xml:space="preserve">0.27</w:t>
            </w:r>
          </w:p>
        </w:tc>
      </w:tr>
      <w:tr>
        <w:tc>
          <w:tcPr>
            <w:tcW w:w="780" w:type="dxa"/>
            <w:vAlign w:val="center"/>
          </w:tcPr>
          <w:p>
            <w:pPr>
              <w:jc w:val="center"/>
              <w:spacing w:after="20" w:line="240" w:lineRule="auto"/>
            </w:pPr>
            <w:r>
              <w:rPr>
                <w:rFonts w:ascii="Times New Roman" w:hAnsi="Times New Roman"/>
                <w:sz w:val="15"/>
                <w:szCs w:val="15"/>
              </w:rPr>
              <w:t xml:space="preserve">f17</w:t>
            </w:r>
          </w:p>
        </w:tc>
        <w:tc>
          <w:tcPr>
            <w:tcW w:w="780" w:type="dxa"/>
            <w:vAlign w:val="center"/>
          </w:tcPr>
          <w:p>
            <w:pPr>
              <w:jc w:val="center"/>
              <w:spacing w:after="20" w:line="240" w:lineRule="auto"/>
            </w:pPr>
            <w:r>
              <w:rPr>
                <w:rFonts w:ascii="Times New Roman" w:hAnsi="Times New Roman"/>
                <w:sz w:val="15"/>
                <w:szCs w:val="15"/>
              </w:rPr>
              <w:t xml:space="preserve">0.0499</w:t>
            </w:r>
          </w:p>
        </w:tc>
        <w:tc>
          <w:tcPr>
            <w:tcW w:w="780" w:type="dxa"/>
            <w:vAlign w:val="center"/>
          </w:tcPr>
          <w:p>
            <w:pPr>
              <w:jc w:val="center"/>
              <w:spacing w:after="20" w:line="240" w:lineRule="auto"/>
            </w:pPr>
            <w:r>
              <w:rPr>
                <w:rFonts w:ascii="Times New Roman" w:hAnsi="Times New Roman"/>
                <w:sz w:val="15"/>
                <w:szCs w:val="15"/>
              </w:rPr>
              <w:t xml:space="preserve">0.1327</w:t>
            </w:r>
          </w:p>
        </w:tc>
        <w:tc>
          <w:tcPr>
            <w:tcW w:w="780" w:type="dxa"/>
            <w:vAlign w:val="center"/>
          </w:tcPr>
          <w:p>
            <w:pPr>
              <w:jc w:val="center"/>
              <w:spacing w:after="20" w:line="240" w:lineRule="auto"/>
            </w:pPr>
            <w:r>
              <w:rPr>
                <w:rFonts w:ascii="Times New Roman" w:hAnsi="Times New Roman"/>
                <w:sz w:val="15"/>
                <w:szCs w:val="15"/>
              </w:rPr>
              <w:t xml:space="preserve">0.0121</w:t>
            </w:r>
          </w:p>
        </w:tc>
        <w:tc>
          <w:tcPr>
            <w:tcW w:w="780" w:type="dxa"/>
            <w:vAlign w:val="center"/>
          </w:tcPr>
          <w:p>
            <w:pPr>
              <w:jc w:val="center"/>
              <w:spacing w:after="20" w:line="240" w:lineRule="auto"/>
            </w:pPr>
            <w:r>
              <w:rPr>
                <w:rFonts w:ascii="Times New Roman" w:hAnsi="Times New Roman"/>
                <w:sz w:val="15"/>
                <w:szCs w:val="15"/>
              </w:rPr>
              <w:t xml:space="preserve">0.0045</w:t>
            </w:r>
          </w:p>
        </w:tc>
        <w:tc>
          <w:tcPr>
            <w:tcW w:w="780" w:type="dxa"/>
            <w:vAlign w:val="center"/>
          </w:tcPr>
          <w:p>
            <w:pPr>
              <w:jc w:val="center"/>
              <w:spacing w:after="20" w:line="240" w:lineRule="auto"/>
            </w:pPr>
            <w:r>
              <w:rPr>
                <w:rFonts w:ascii="Times New Roman" w:hAnsi="Times New Roman"/>
                <w:sz w:val="15"/>
                <w:szCs w:val="15"/>
              </w:rPr>
              <w:t xml:space="preserve">0.7110</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0.0272</w:t>
            </w:r>
          </w:p>
        </w:tc>
        <w:tc>
          <w:tcPr>
            <w:tcW w:w="780" w:type="dxa"/>
            <w:vAlign w:val="center"/>
          </w:tcPr>
          <w:p>
            <w:pPr>
              <w:jc w:val="center"/>
              <w:spacing w:after="20" w:line="240" w:lineRule="auto"/>
            </w:pPr>
            <w:r>
              <w:rPr>
                <w:rFonts w:ascii="Times New Roman" w:hAnsi="Times New Roman"/>
                <w:sz w:val="15"/>
                <w:szCs w:val="15"/>
              </w:rPr>
              <w:t xml:space="preserve">0.2923</w:t>
            </w:r>
          </w:p>
        </w:tc>
        <w:tc>
          <w:tcPr>
            <w:tcW w:w="780" w:type="dxa"/>
            <w:vAlign w:val="center"/>
          </w:tcPr>
          <w:p>
            <w:pPr>
              <w:jc w:val="center"/>
              <w:spacing w:after="20" w:line="240" w:lineRule="auto"/>
            </w:pPr>
            <w:r>
              <w:rPr>
                <w:rFonts w:ascii="Times New Roman" w:hAnsi="Times New Roman"/>
                <w:sz w:val="15"/>
                <w:szCs w:val="15"/>
              </w:rPr>
              <w:t xml:space="preserve">0.0010</w:t>
            </w:r>
          </w:p>
        </w:tc>
        <w:tc>
          <w:tcPr>
            <w:tcW w:w="780" w:type="dxa"/>
            <w:vAlign w:val="center"/>
          </w:tcPr>
          <w:p>
            <w:pPr>
              <w:jc w:val="center"/>
              <w:spacing w:after="20" w:line="240" w:lineRule="auto"/>
            </w:pPr>
            <w:r>
              <w:rPr>
                <w:rFonts w:ascii="Times New Roman" w:hAnsi="Times New Roman"/>
                <w:sz w:val="15"/>
                <w:szCs w:val="15"/>
              </w:rPr>
              <w:t xml:space="preserve">204</w:t>
            </w:r>
          </w:p>
        </w:tc>
        <w:tc>
          <w:tcPr>
            <w:tcW w:w="780" w:type="dxa"/>
            <w:vAlign w:val="center"/>
          </w:tcPr>
          <w:p>
            <w:pPr>
              <w:jc w:val="center"/>
              <w:spacing w:after="20" w:line="240" w:lineRule="auto"/>
            </w:pPr>
            <w:r>
              <w:rPr>
                <w:rFonts w:ascii="Times New Roman" w:hAnsi="Times New Roman"/>
                <w:sz w:val="15"/>
                <w:szCs w:val="15"/>
              </w:rPr>
              <w:t xml:space="preserve">0.23</w:t>
            </w:r>
          </w:p>
        </w:tc>
      </w:tr>
      <w:tr>
        <w:tc>
          <w:tcPr>
            <w:tcW w:w="780" w:type="dxa"/>
            <w:vAlign w:val="center"/>
          </w:tcPr>
          <w:p>
            <w:pPr>
              <w:jc w:val="center"/>
              <w:spacing w:after="20" w:line="240" w:lineRule="auto"/>
            </w:pPr>
            <w:r>
              <w:rPr>
                <w:rFonts w:ascii="Times New Roman" w:hAnsi="Times New Roman"/>
                <w:sz w:val="15"/>
                <w:szCs w:val="15"/>
              </w:rPr>
              <w:t xml:space="preserve">f18</w:t>
            </w:r>
          </w:p>
        </w:tc>
        <w:tc>
          <w:tcPr>
            <w:tcW w:w="780" w:type="dxa"/>
            <w:vAlign w:val="center"/>
          </w:tcPr>
          <w:p>
            <w:pPr>
              <w:jc w:val="center"/>
              <w:spacing w:after="20" w:line="240" w:lineRule="auto"/>
            </w:pPr>
            <w:r>
              <w:rPr>
                <w:rFonts w:ascii="Times New Roman" w:hAnsi="Times New Roman"/>
                <w:sz w:val="15"/>
                <w:szCs w:val="15"/>
              </w:rPr>
              <w:t xml:space="preserve">0.0488</w:t>
            </w:r>
          </w:p>
        </w:tc>
        <w:tc>
          <w:tcPr>
            <w:tcW w:w="780" w:type="dxa"/>
            <w:vAlign w:val="center"/>
          </w:tcPr>
          <w:p>
            <w:pPr>
              <w:jc w:val="center"/>
              <w:spacing w:after="20" w:line="240" w:lineRule="auto"/>
            </w:pPr>
            <w:r>
              <w:rPr>
                <w:rFonts w:ascii="Times New Roman" w:hAnsi="Times New Roman"/>
                <w:sz w:val="15"/>
                <w:szCs w:val="15"/>
              </w:rPr>
              <w:t xml:space="preserve">0.1686</w:t>
            </w:r>
          </w:p>
        </w:tc>
        <w:tc>
          <w:tcPr>
            <w:tcW w:w="780" w:type="dxa"/>
            <w:vAlign w:val="center"/>
          </w:tcPr>
          <w:p>
            <w:pPr>
              <w:jc w:val="center"/>
              <w:spacing w:after="20" w:line="240" w:lineRule="auto"/>
            </w:pPr>
            <w:r>
              <w:rPr>
                <w:rFonts w:ascii="Times New Roman" w:hAnsi="Times New Roman"/>
                <w:sz w:val="15"/>
                <w:szCs w:val="15"/>
              </w:rPr>
              <w:t xml:space="preserve">0.0113</w:t>
            </w:r>
          </w:p>
        </w:tc>
        <w:tc>
          <w:tcPr>
            <w:tcW w:w="780" w:type="dxa"/>
            <w:vAlign w:val="center"/>
          </w:tcPr>
          <w:p>
            <w:pPr>
              <w:jc w:val="center"/>
              <w:spacing w:after="20" w:line="240" w:lineRule="auto"/>
            </w:pPr>
            <w:r>
              <w:rPr>
                <w:rFonts w:ascii="Times New Roman" w:hAnsi="Times New Roman"/>
                <w:sz w:val="15"/>
                <w:szCs w:val="15"/>
              </w:rPr>
              <w:t xml:space="preserve">0.0057</w:t>
            </w:r>
          </w:p>
        </w:tc>
        <w:tc>
          <w:tcPr>
            <w:tcW w:w="780" w:type="dxa"/>
            <w:vAlign w:val="center"/>
          </w:tcPr>
          <w:p>
            <w:pPr>
              <w:jc w:val="center"/>
              <w:spacing w:after="20" w:line="240" w:lineRule="auto"/>
            </w:pPr>
            <w:r>
              <w:rPr>
                <w:rFonts w:ascii="Times New Roman" w:hAnsi="Times New Roman"/>
                <w:sz w:val="15"/>
                <w:szCs w:val="15"/>
              </w:rPr>
              <w:t xml:space="preserve">0.8816</w:t>
            </w:r>
          </w:p>
        </w:tc>
        <w:tc>
          <w:tcPr>
            <w:tcW w:w="780" w:type="dxa"/>
            <w:vAlign w:val="center"/>
          </w:tcPr>
          <w:p>
            <w:pPr>
              <w:jc w:val="center"/>
              <w:spacing w:after="20" w:line="240" w:lineRule="auto"/>
            </w:pPr>
            <w:r>
              <w:rPr>
                <w:rFonts w:ascii="Times New Roman" w:hAnsi="Times New Roman"/>
                <w:sz w:val="15"/>
                <w:szCs w:val="15"/>
              </w:rPr>
              <w:t xml:space="preserve">0.0112</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0.2127</w:t>
            </w:r>
          </w:p>
        </w:tc>
        <w:tc>
          <w:tcPr>
            <w:tcW w:w="780" w:type="dxa"/>
            <w:vAlign w:val="center"/>
          </w:tcPr>
          <w:p>
            <w:pPr>
              <w:jc w:val="center"/>
              <w:spacing w:after="20" w:line="240" w:lineRule="auto"/>
            </w:pPr>
            <w:r>
              <w:rPr>
                <w:rFonts w:ascii="Times New Roman" w:hAnsi="Times New Roman"/>
                <w:sz w:val="15"/>
                <w:szCs w:val="15"/>
              </w:rPr>
              <w:t xml:space="preserve">0.0009</w:t>
            </w:r>
          </w:p>
        </w:tc>
        <w:tc>
          <w:tcPr>
            <w:tcW w:w="780" w:type="dxa"/>
            <w:vAlign w:val="center"/>
          </w:tcPr>
          <w:p>
            <w:pPr>
              <w:jc w:val="center"/>
              <w:spacing w:after="20" w:line="240" w:lineRule="auto"/>
            </w:pPr>
            <w:r>
              <w:rPr>
                <w:rFonts w:ascii="Times New Roman" w:hAnsi="Times New Roman"/>
                <w:sz w:val="15"/>
                <w:szCs w:val="15"/>
              </w:rPr>
              <w:t xml:space="preserve">200</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f19</w:t>
            </w:r>
          </w:p>
        </w:tc>
        <w:tc>
          <w:tcPr>
            <w:tcW w:w="780" w:type="dxa"/>
            <w:vAlign w:val="center"/>
          </w:tcPr>
          <w:p>
            <w:pPr>
              <w:jc w:val="center"/>
              <w:spacing w:after="20" w:line="240" w:lineRule="auto"/>
            </w:pPr>
            <w:r>
              <w:rPr>
                <w:rFonts w:ascii="Times New Roman" w:hAnsi="Times New Roman"/>
                <w:sz w:val="15"/>
                <w:szCs w:val="15"/>
              </w:rPr>
              <w:t xml:space="preserve">0.0469</w:t>
            </w:r>
          </w:p>
        </w:tc>
        <w:tc>
          <w:tcPr>
            <w:tcW w:w="780" w:type="dxa"/>
            <w:vAlign w:val="center"/>
          </w:tcPr>
          <w:p>
            <w:pPr>
              <w:jc w:val="center"/>
              <w:spacing w:after="20" w:line="240" w:lineRule="auto"/>
            </w:pPr>
            <w:r>
              <w:rPr>
                <w:rFonts w:ascii="Times New Roman" w:hAnsi="Times New Roman"/>
                <w:sz w:val="15"/>
                <w:szCs w:val="15"/>
              </w:rPr>
              <w:t xml:space="preserve">0.1622</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0.0031</w:t>
            </w:r>
          </w:p>
        </w:tc>
        <w:tc>
          <w:tcPr>
            <w:tcW w:w="780" w:type="dxa"/>
            <w:vAlign w:val="center"/>
          </w:tcPr>
          <w:p>
            <w:pPr>
              <w:jc w:val="center"/>
              <w:spacing w:after="20" w:line="240" w:lineRule="auto"/>
            </w:pPr>
            <w:r>
              <w:rPr>
                <w:rFonts w:ascii="Times New Roman" w:hAnsi="Times New Roman"/>
                <w:sz w:val="15"/>
                <w:szCs w:val="15"/>
              </w:rPr>
              <w:t xml:space="preserve">0.8116</w:t>
            </w:r>
          </w:p>
        </w:tc>
        <w:tc>
          <w:tcPr>
            <w:tcW w:w="780" w:type="dxa"/>
            <w:vAlign w:val="center"/>
          </w:tcPr>
          <w:p>
            <w:pPr>
              <w:jc w:val="center"/>
              <w:spacing w:after="20" w:line="240" w:lineRule="auto"/>
            </w:pPr>
            <w:r>
              <w:rPr>
                <w:rFonts w:ascii="Times New Roman" w:hAnsi="Times New Roman"/>
                <w:sz w:val="15"/>
                <w:szCs w:val="15"/>
              </w:rPr>
              <w:t xml:space="preserve">0.0106</w:t>
            </w:r>
          </w:p>
        </w:tc>
        <w:tc>
          <w:tcPr>
            <w:tcW w:w="780" w:type="dxa"/>
            <w:vAlign w:val="center"/>
          </w:tcPr>
          <w:p>
            <w:pPr>
              <w:jc w:val="center"/>
              <w:spacing w:after="20" w:line="240" w:lineRule="auto"/>
            </w:pPr>
            <w:r>
              <w:rPr>
                <w:rFonts w:ascii="Times New Roman" w:hAnsi="Times New Roman"/>
                <w:sz w:val="15"/>
                <w:szCs w:val="15"/>
              </w:rPr>
              <w:t xml:space="preserve">0.0299</w:t>
            </w:r>
          </w:p>
        </w:tc>
        <w:tc>
          <w:tcPr>
            <w:tcW w:w="780" w:type="dxa"/>
            <w:vAlign w:val="center"/>
          </w:tcPr>
          <w:p>
            <w:pPr>
              <w:jc w:val="center"/>
              <w:spacing w:after="20" w:line="240" w:lineRule="auto"/>
            </w:pPr>
            <w:r>
              <w:rPr>
                <w:rFonts w:ascii="Times New Roman" w:hAnsi="Times New Roman"/>
                <w:sz w:val="15"/>
                <w:szCs w:val="15"/>
              </w:rPr>
              <w:t xml:space="preserve">0.2764</w:t>
            </w:r>
          </w:p>
        </w:tc>
        <w:tc>
          <w:tcPr>
            <w:tcW w:w="780" w:type="dxa"/>
            <w:vAlign w:val="center"/>
          </w:tcPr>
          <w:p>
            <w:pPr>
              <w:jc w:val="center"/>
              <w:spacing w:after="20" w:line="240" w:lineRule="auto"/>
            </w:pPr>
            <w:r>
              <w:rPr>
                <w:rFonts w:ascii="Times New Roman" w:hAnsi="Times New Roman"/>
                <w:sz w:val="15"/>
                <w:szCs w:val="15"/>
              </w:rPr>
              <w:t xml:space="preserve">0.0023</w:t>
            </w:r>
          </w:p>
        </w:tc>
        <w:tc>
          <w:tcPr>
            <w:tcW w:w="780" w:type="dxa"/>
            <w:vAlign w:val="center"/>
          </w:tcPr>
          <w:p>
            <w:pPr>
              <w:jc w:val="center"/>
              <w:spacing w:after="20" w:line="240" w:lineRule="auto"/>
            </w:pPr>
            <w:r>
              <w:rPr>
                <w:rFonts w:ascii="Times New Roman" w:hAnsi="Times New Roman"/>
                <w:sz w:val="15"/>
                <w:szCs w:val="15"/>
              </w:rPr>
              <w:t xml:space="preserve">208</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f20</w:t>
            </w:r>
          </w:p>
        </w:tc>
        <w:tc>
          <w:tcPr>
            <w:tcW w:w="780" w:type="dxa"/>
            <w:vAlign w:val="center"/>
          </w:tcPr>
          <w:p>
            <w:pPr>
              <w:jc w:val="center"/>
              <w:spacing w:after="20" w:line="240" w:lineRule="auto"/>
            </w:pPr>
            <w:r>
              <w:rPr>
                <w:rFonts w:ascii="Times New Roman" w:hAnsi="Times New Roman"/>
                <w:sz w:val="15"/>
                <w:szCs w:val="15"/>
              </w:rPr>
              <w:t xml:space="preserve">0.0471</w:t>
            </w:r>
          </w:p>
        </w:tc>
        <w:tc>
          <w:tcPr>
            <w:tcW w:w="780" w:type="dxa"/>
            <w:vAlign w:val="center"/>
          </w:tcPr>
          <w:p>
            <w:pPr>
              <w:jc w:val="center"/>
              <w:spacing w:after="20" w:line="240" w:lineRule="auto"/>
            </w:pPr>
            <w:r>
              <w:rPr>
                <w:rFonts w:ascii="Times New Roman" w:hAnsi="Times New Roman"/>
                <w:sz w:val="15"/>
                <w:szCs w:val="15"/>
              </w:rPr>
              <w:t xml:space="preserve">0.1480</w:t>
            </w:r>
          </w:p>
        </w:tc>
        <w:tc>
          <w:tcPr>
            <w:tcW w:w="780" w:type="dxa"/>
            <w:vAlign w:val="center"/>
          </w:tcPr>
          <w:p>
            <w:pPr>
              <w:jc w:val="center"/>
              <w:spacing w:after="20" w:line="240" w:lineRule="auto"/>
            </w:pPr>
            <w:r>
              <w:rPr>
                <w:rFonts w:ascii="Times New Roman" w:hAnsi="Times New Roman"/>
                <w:sz w:val="15"/>
                <w:szCs w:val="15"/>
              </w:rPr>
              <w:t xml:space="preserve">0.0157</w:t>
            </w:r>
          </w:p>
        </w:tc>
        <w:tc>
          <w:tcPr>
            <w:tcW w:w="780" w:type="dxa"/>
            <w:vAlign w:val="center"/>
          </w:tcPr>
          <w:p>
            <w:pPr>
              <w:jc w:val="center"/>
              <w:spacing w:after="20" w:line="240" w:lineRule="auto"/>
            </w:pPr>
            <w:r>
              <w:rPr>
                <w:rFonts w:ascii="Times New Roman" w:hAnsi="Times New Roman"/>
                <w:sz w:val="15"/>
                <w:szCs w:val="15"/>
              </w:rPr>
              <w:t xml:space="preserve">0.0039</w:t>
            </w:r>
          </w:p>
        </w:tc>
        <w:tc>
          <w:tcPr>
            <w:tcW w:w="780" w:type="dxa"/>
            <w:vAlign w:val="center"/>
          </w:tcPr>
          <w:p>
            <w:pPr>
              <w:jc w:val="center"/>
              <w:spacing w:after="20" w:line="240" w:lineRule="auto"/>
            </w:pPr>
            <w:r>
              <w:rPr>
                <w:rFonts w:ascii="Times New Roman" w:hAnsi="Times New Roman"/>
                <w:sz w:val="15"/>
                <w:szCs w:val="15"/>
              </w:rPr>
              <w:t xml:space="preserve">0.7590</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0.0201</w:t>
            </w:r>
          </w:p>
        </w:tc>
        <w:tc>
          <w:tcPr>
            <w:tcW w:w="780" w:type="dxa"/>
            <w:vAlign w:val="center"/>
          </w:tcPr>
          <w:p>
            <w:pPr>
              <w:jc w:val="center"/>
              <w:spacing w:after="20" w:line="240" w:lineRule="auto"/>
            </w:pPr>
            <w:r>
              <w:rPr>
                <w:rFonts w:ascii="Times New Roman" w:hAnsi="Times New Roman"/>
                <w:sz w:val="15"/>
                <w:szCs w:val="15"/>
              </w:rPr>
              <w:t xml:space="preserve">0.2610</w:t>
            </w:r>
          </w:p>
        </w:tc>
        <w:tc>
          <w:tcPr>
            <w:tcW w:w="780" w:type="dxa"/>
            <w:vAlign w:val="center"/>
          </w:tcPr>
          <w:p>
            <w:pPr>
              <w:jc w:val="center"/>
              <w:spacing w:after="20" w:line="240" w:lineRule="auto"/>
            </w:pPr>
            <w:r>
              <w:rPr>
                <w:rFonts w:ascii="Times New Roman" w:hAnsi="Times New Roman"/>
                <w:sz w:val="15"/>
                <w:szCs w:val="15"/>
              </w:rPr>
              <w:t xml:space="preserve">0.0024</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0.22</w:t>
            </w:r>
          </w:p>
        </w:tc>
      </w:tr>
      <w:tr>
        <w:tc>
          <w:tcPr>
            <w:tcW w:w="780" w:type="dxa"/>
            <w:vAlign w:val="center"/>
          </w:tcPr>
          <w:p>
            <w:pPr>
              <w:jc w:val="center"/>
              <w:spacing w:after="20" w:line="240" w:lineRule="auto"/>
            </w:pPr>
            <w:r>
              <w:rPr>
                <w:rFonts w:ascii="Times New Roman" w:hAnsi="Times New Roman"/>
                <w:sz w:val="15"/>
                <w:szCs w:val="15"/>
              </w:rPr>
              <w:t xml:space="preserve">f21</w:t>
            </w:r>
          </w:p>
        </w:tc>
        <w:tc>
          <w:tcPr>
            <w:tcW w:w="780" w:type="dxa"/>
            <w:vAlign w:val="center"/>
          </w:tcPr>
          <w:p>
            <w:pPr>
              <w:jc w:val="center"/>
              <w:spacing w:after="20" w:line="240" w:lineRule="auto"/>
            </w:pPr>
            <w:r>
              <w:rPr>
                <w:rFonts w:ascii="Times New Roman" w:hAnsi="Times New Roman"/>
                <w:sz w:val="15"/>
                <w:szCs w:val="15"/>
              </w:rPr>
              <w:t xml:space="preserve">0.0416</w:t>
            </w:r>
          </w:p>
        </w:tc>
        <w:tc>
          <w:tcPr>
            <w:tcW w:w="780" w:type="dxa"/>
            <w:vAlign w:val="center"/>
          </w:tcPr>
          <w:p>
            <w:pPr>
              <w:jc w:val="center"/>
              <w:spacing w:after="20" w:line="240" w:lineRule="auto"/>
            </w:pPr>
            <w:r>
              <w:rPr>
                <w:rFonts w:ascii="Times New Roman" w:hAnsi="Times New Roman"/>
                <w:sz w:val="15"/>
                <w:szCs w:val="15"/>
              </w:rPr>
              <w:t xml:space="preserve">0.1653</w:t>
            </w:r>
          </w:p>
        </w:tc>
        <w:tc>
          <w:tcPr>
            <w:tcW w:w="780" w:type="dxa"/>
            <w:vAlign w:val="center"/>
          </w:tcPr>
          <w:p>
            <w:pPr>
              <w:jc w:val="center"/>
              <w:spacing w:after="20" w:line="240" w:lineRule="auto"/>
            </w:pPr>
            <w:r>
              <w:rPr>
                <w:rFonts w:ascii="Times New Roman" w:hAnsi="Times New Roman"/>
                <w:sz w:val="15"/>
                <w:szCs w:val="15"/>
              </w:rPr>
              <w:t xml:space="preserve">0.0140</w:t>
            </w:r>
          </w:p>
        </w:tc>
        <w:tc>
          <w:tcPr>
            <w:tcW w:w="780" w:type="dxa"/>
            <w:vAlign w:val="center"/>
          </w:tcPr>
          <w:p>
            <w:pPr>
              <w:jc w:val="center"/>
              <w:spacing w:after="20" w:line="240" w:lineRule="auto"/>
            </w:pPr>
            <w:r>
              <w:rPr>
                <w:rFonts w:ascii="Times New Roman" w:hAnsi="Times New Roman"/>
                <w:sz w:val="15"/>
                <w:szCs w:val="15"/>
              </w:rPr>
              <w:t xml:space="preserve">0.0040</w:t>
            </w:r>
          </w:p>
        </w:tc>
        <w:tc>
          <w:tcPr>
            <w:tcW w:w="780" w:type="dxa"/>
            <w:vAlign w:val="center"/>
          </w:tcPr>
          <w:p>
            <w:pPr>
              <w:jc w:val="center"/>
              <w:spacing w:after="20" w:line="240" w:lineRule="auto"/>
            </w:pPr>
            <w:r>
              <w:rPr>
                <w:rFonts w:ascii="Times New Roman" w:hAnsi="Times New Roman"/>
                <w:sz w:val="15"/>
                <w:szCs w:val="15"/>
              </w:rPr>
              <w:t xml:space="preserve">0.8487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0.0218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0.0022</w:t>
            </w:r>
          </w:p>
        </w:tc>
        <w:tc>
          <w:tcPr>
            <w:tcW w:w="780" w:type="dxa"/>
            <w:vAlign w:val="center"/>
          </w:tcPr>
          <w:p>
            <w:pPr>
              <w:jc w:val="center"/>
              <w:spacing w:after="20" w:line="240" w:lineRule="auto"/>
            </w:pPr>
            <w:r>
              <w:rPr>
                <w:rFonts w:ascii="Times New Roman" w:hAnsi="Times New Roman"/>
                <w:sz w:val="15"/>
                <w:szCs w:val="15"/>
              </w:rPr>
              <w:t xml:space="preserve">210</w:t>
            </w:r>
          </w:p>
        </w:tc>
        <w:tc>
          <w:tcPr>
            <w:tcW w:w="780" w:type="dxa"/>
            <w:vAlign w:val="center"/>
          </w:tcPr>
          <w:p>
            <w:pPr>
              <w:jc w:val="center"/>
              <w:spacing w:after="20" w:line="240" w:lineRule="auto"/>
            </w:pPr>
            <w:r>
              <w:rPr>
                <w:rFonts w:ascii="Times New Roman" w:hAnsi="Times New Roman"/>
                <w:sz w:val="15"/>
                <w:szCs w:val="15"/>
              </w:rPr>
              <w:t xml:space="preserve">0.28</w:t>
            </w:r>
          </w:p>
        </w:tc>
      </w:tr>
      <w:tr>
        <w:tc>
          <w:tcPr>
            <w:tcW w:w="780" w:type="dxa"/>
            <w:vAlign w:val="center"/>
          </w:tcPr>
          <w:p>
            <w:pPr>
              <w:jc w:val="center"/>
              <w:spacing w:after="20" w:line="240" w:lineRule="auto"/>
            </w:pPr>
            <w:r>
              <w:rPr>
                <w:rFonts w:ascii="Times New Roman" w:hAnsi="Times New Roman"/>
                <w:sz w:val="15"/>
                <w:szCs w:val="15"/>
              </w:rPr>
              <w:t xml:space="preserve">f22</w:t>
            </w:r>
          </w:p>
        </w:tc>
        <w:tc>
          <w:tcPr>
            <w:tcW w:w="780" w:type="dxa"/>
            <w:vAlign w:val="center"/>
          </w:tcPr>
          <w:p>
            <w:pPr>
              <w:jc w:val="center"/>
              <w:spacing w:after="20" w:line="240" w:lineRule="auto"/>
            </w:pPr>
            <w:r>
              <w:rPr>
                <w:rFonts w:ascii="Times New Roman" w:hAnsi="Times New Roman"/>
                <w:sz w:val="15"/>
                <w:szCs w:val="15"/>
              </w:rPr>
              <w:t xml:space="preserve">0.0476</w:t>
            </w:r>
          </w:p>
        </w:tc>
        <w:tc>
          <w:tcPr>
            <w:tcW w:w="780" w:type="dxa"/>
            <w:vAlign w:val="center"/>
          </w:tcPr>
          <w:p>
            <w:pPr>
              <w:jc w:val="center"/>
              <w:spacing w:after="20" w:line="240" w:lineRule="auto"/>
            </w:pPr>
            <w:r>
              <w:rPr>
                <w:rFonts w:ascii="Times New Roman" w:hAnsi="Times New Roman"/>
                <w:sz w:val="15"/>
                <w:szCs w:val="15"/>
              </w:rPr>
              <w:t xml:space="preserve">0.1231</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0.0170</w:t>
            </w:r>
          </w:p>
        </w:tc>
        <w:tc>
          <w:tcPr>
            <w:tcW w:w="780" w:type="dxa"/>
            <w:vAlign w:val="center"/>
          </w:tcPr>
          <w:p>
            <w:pPr>
              <w:jc w:val="center"/>
              <w:spacing w:after="20" w:line="240" w:lineRule="auto"/>
            </w:pPr>
            <w:r>
              <w:rPr>
                <w:rFonts w:ascii="Times New Roman" w:hAnsi="Times New Roman"/>
                <w:sz w:val="15"/>
                <w:szCs w:val="15"/>
              </w:rPr>
              <w:t xml:space="preserve">0.0208</w:t>
            </w:r>
          </w:p>
        </w:tc>
        <w:tc>
          <w:tcPr>
            <w:tcW w:w="780" w:type="dxa"/>
            <w:vAlign w:val="center"/>
          </w:tcPr>
          <w:p>
            <w:pPr>
              <w:jc w:val="center"/>
              <w:spacing w:after="20" w:line="240" w:lineRule="auto"/>
            </w:pPr>
            <w:r>
              <w:rPr>
                <w:rFonts w:ascii="Times New Roman" w:hAnsi="Times New Roman"/>
                <w:sz w:val="15"/>
                <w:szCs w:val="15"/>
              </w:rPr>
              <w:t xml:space="preserve">0.2125</w:t>
            </w:r>
          </w:p>
        </w:tc>
        <w:tc>
          <w:tcPr>
            <w:tcW w:w="780" w:type="dxa"/>
            <w:vAlign w:val="center"/>
          </w:tcPr>
          <w:p>
            <w:pPr>
              <w:jc w:val="center"/>
              <w:spacing w:after="20" w:line="240" w:lineRule="auto"/>
            </w:pPr>
            <w:r>
              <w:rPr>
                <w:rFonts w:ascii="Times New Roman" w:hAnsi="Times New Roman"/>
                <w:sz w:val="15"/>
                <w:szCs w:val="15"/>
              </w:rPr>
              <w:t xml:space="preserve">0.0025</w:t>
            </w:r>
          </w:p>
        </w:tc>
        <w:tc>
          <w:tcPr>
            <w:tcW w:w="780" w:type="dxa"/>
            <w:vAlign w:val="center"/>
          </w:tcPr>
          <w:p>
            <w:pPr>
              <w:jc w:val="center"/>
              <w:spacing w:after="20" w:line="240" w:lineRule="auto"/>
            </w:pPr>
            <w:r>
              <w:rPr>
                <w:rFonts w:ascii="Times New Roman" w:hAnsi="Times New Roman"/>
                <w:sz w:val="15"/>
                <w:szCs w:val="15"/>
              </w:rPr>
              <w:t xml:space="preserve">175</w:t>
            </w:r>
          </w:p>
        </w:tc>
        <w:tc>
          <w:tcPr>
            <w:tcW w:w="780" w:type="dxa"/>
            <w:vAlign w:val="center"/>
          </w:tcPr>
          <w:p>
            <w:pPr>
              <w:jc w:val="center"/>
              <w:spacing w:after="20" w:line="240" w:lineRule="auto"/>
            </w:pPr>
            <w:r>
              <w:rPr>
                <w:rFonts w:ascii="Times New Roman" w:hAnsi="Times New Roman"/>
                <w:sz w:val="15"/>
                <w:szCs w:val="15"/>
              </w:rPr>
              <w:t xml:space="preserve">0.21</w:t>
            </w:r>
          </w:p>
        </w:tc>
      </w:tr>
      <w:tr>
        <w:tc>
          <w:tcPr>
            <w:tcW w:w="780" w:type="dxa"/>
            <w:vAlign w:val="center"/>
          </w:tcPr>
          <w:p>
            <w:pPr>
              <w:jc w:val="center"/>
              <w:spacing w:after="20" w:line="240" w:lineRule="auto"/>
            </w:pPr>
            <w:r>
              <w:rPr>
                <w:rFonts w:ascii="Times New Roman" w:hAnsi="Times New Roman"/>
                <w:sz w:val="15"/>
                <w:szCs w:val="15"/>
              </w:rPr>
              <w:t xml:space="preserve">f23</w:t>
            </w:r>
          </w:p>
        </w:tc>
        <w:tc>
          <w:tcPr>
            <w:tcW w:w="780" w:type="dxa"/>
            <w:vAlign w:val="center"/>
          </w:tcPr>
          <w:p>
            <w:pPr>
              <w:jc w:val="center"/>
              <w:spacing w:after="20" w:line="240" w:lineRule="auto"/>
            </w:pPr>
            <w:r>
              <w:rPr>
                <w:rFonts w:ascii="Times New Roman" w:hAnsi="Times New Roman"/>
                <w:sz w:val="15"/>
                <w:szCs w:val="15"/>
              </w:rPr>
              <w:t xml:space="preserve">0.0455</w:t>
            </w:r>
          </w:p>
        </w:tc>
        <w:tc>
          <w:tcPr>
            <w:tcW w:w="780" w:type="dxa"/>
            <w:vAlign w:val="center"/>
          </w:tcPr>
          <w:p>
            <w:pPr>
              <w:jc w:val="center"/>
              <w:spacing w:after="20" w:line="240" w:lineRule="auto"/>
            </w:pPr>
            <w:r>
              <w:rPr>
                <w:rFonts w:ascii="Times New Roman" w:hAnsi="Times New Roman"/>
                <w:sz w:val="15"/>
                <w:szCs w:val="15"/>
              </w:rPr>
              <w:t xml:space="preserve">0.1453</w:t>
            </w:r>
          </w:p>
        </w:tc>
        <w:tc>
          <w:tcPr>
            <w:tcW w:w="780" w:type="dxa"/>
            <w:vAlign w:val="center"/>
          </w:tcPr>
          <w:p>
            <w:pPr>
              <w:jc w:val="center"/>
              <w:spacing w:after="20" w:line="240" w:lineRule="auto"/>
            </w:pPr>
            <w:r>
              <w:rPr>
                <w:rFonts w:ascii="Times New Roman" w:hAnsi="Times New Roman"/>
                <w:sz w:val="15"/>
                <w:szCs w:val="15"/>
              </w:rPr>
              <w:t xml:space="preserve">0.0110</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0.6587</w:t>
            </w:r>
          </w:p>
        </w:tc>
        <w:tc>
          <w:tcPr>
            <w:tcW w:w="780" w:type="dxa"/>
            <w:vAlign w:val="center"/>
          </w:tcPr>
          <w:p>
            <w:pPr>
              <w:jc w:val="center"/>
              <w:spacing w:after="20" w:line="240" w:lineRule="auto"/>
            </w:pPr>
            <w:r>
              <w:rPr>
                <w:rFonts w:ascii="Times New Roman" w:hAnsi="Times New Roman"/>
                <w:sz w:val="15"/>
                <w:szCs w:val="15"/>
              </w:rPr>
              <w:t xml:space="preserve">0.0130</w:t>
            </w:r>
          </w:p>
        </w:tc>
        <w:tc>
          <w:tcPr>
            <w:tcW w:w="780" w:type="dxa"/>
            <w:vAlign w:val="center"/>
          </w:tcPr>
          <w:p>
            <w:pPr>
              <w:jc w:val="center"/>
              <w:spacing w:after="20" w:line="240" w:lineRule="auto"/>
            </w:pPr>
            <w:r>
              <w:rPr>
                <w:rFonts w:ascii="Times New Roman" w:hAnsi="Times New Roman"/>
                <w:sz w:val="15"/>
                <w:szCs w:val="15"/>
              </w:rPr>
              <w:t xml:space="preserve">0.0222</w:t>
            </w:r>
          </w:p>
        </w:tc>
        <w:tc>
          <w:tcPr>
            <w:tcW w:w="780" w:type="dxa"/>
            <w:vAlign w:val="center"/>
          </w:tcPr>
          <w:p>
            <w:pPr>
              <w:jc w:val="center"/>
              <w:spacing w:after="20" w:line="240" w:lineRule="auto"/>
            </w:pPr>
            <w:r>
              <w:rPr>
                <w:rFonts w:ascii="Times New Roman" w:hAnsi="Times New Roman"/>
                <w:sz w:val="15"/>
                <w:szCs w:val="15"/>
              </w:rPr>
              <w:t xml:space="preserve">0.2223</w:t>
            </w:r>
          </w:p>
        </w:tc>
        <w:tc>
          <w:tcPr>
            <w:tcW w:w="780" w:type="dxa"/>
            <w:vAlign w:val="center"/>
          </w:tcPr>
          <w:p>
            <w:pPr>
              <w:jc w:val="center"/>
              <w:spacing w:after="20" w:line="240" w:lineRule="auto"/>
            </w:pPr>
            <w:r>
              <w:rPr>
                <w:rFonts w:ascii="Times New Roman" w:hAnsi="Times New Roman"/>
                <w:sz w:val="15"/>
                <w:szCs w:val="15"/>
              </w:rPr>
              <w:t xml:space="preserve">0.0018</w:t>
            </w:r>
          </w:p>
        </w:tc>
        <w:tc>
          <w:tcPr>
            <w:tcW w:w="780" w:type="dxa"/>
            <w:vAlign w:val="center"/>
          </w:tcPr>
          <w:p>
            <w:pPr>
              <w:jc w:val="center"/>
              <w:spacing w:after="20" w:line="240" w:lineRule="auto"/>
            </w:pPr>
            <w:r>
              <w:rPr>
                <w:rFonts w:ascii="Times New Roman" w:hAnsi="Times New Roman"/>
                <w:sz w:val="15"/>
                <w:szCs w:val="15"/>
              </w:rPr>
              <w:t xml:space="preserve">196</w:t>
            </w:r>
          </w:p>
        </w:tc>
        <w:tc>
          <w:tcPr>
            <w:tcW w:w="780" w:type="dxa"/>
            <w:vAlign w:val="center"/>
          </w:tcPr>
          <w:p>
            <w:pPr>
              <w:jc w:val="center"/>
              <w:spacing w:after="20" w:line="240" w:lineRule="auto"/>
            </w:pPr>
            <w:r>
              <w:rPr>
                <w:rFonts w:ascii="Times New Roman" w:hAnsi="Times New Roman"/>
                <w:sz w:val="15"/>
                <w:szCs w:val="15"/>
              </w:rPr>
              <w:t xml:space="preserve">0.29</w:t>
            </w:r>
          </w:p>
        </w:tc>
      </w:tr>
      <w:tr>
        <w:tc>
          <w:tcPr>
            <w:tcW w:w="780" w:type="dxa"/>
            <w:vAlign w:val="center"/>
          </w:tcPr>
          <w:p>
            <w:pPr>
              <w:jc w:val="center"/>
              <w:spacing w:after="20" w:line="240" w:lineRule="auto"/>
            </w:pPr>
            <w:r>
              <w:rPr>
                <w:rFonts w:ascii="Times New Roman" w:hAnsi="Times New Roman"/>
                <w:sz w:val="15"/>
                <w:szCs w:val="15"/>
              </w:rPr>
              <w:t xml:space="preserve">f24</w:t>
            </w:r>
          </w:p>
        </w:tc>
        <w:tc>
          <w:tcPr>
            <w:tcW w:w="780" w:type="dxa"/>
            <w:vAlign w:val="center"/>
          </w:tcPr>
          <w:p>
            <w:pPr>
              <w:jc w:val="center"/>
              <w:spacing w:after="20" w:line="240" w:lineRule="auto"/>
            </w:pPr>
            <w:r>
              <w:rPr>
                <w:rFonts w:ascii="Times New Roman" w:hAnsi="Times New Roman"/>
                <w:sz w:val="15"/>
                <w:szCs w:val="15"/>
              </w:rPr>
              <w:t xml:space="preserve">0.0483</w:t>
            </w:r>
          </w:p>
        </w:tc>
        <w:tc>
          <w:tcPr>
            <w:tcW w:w="780" w:type="dxa"/>
            <w:vAlign w:val="center"/>
          </w:tcPr>
          <w:p>
            <w:pPr>
              <w:jc w:val="center"/>
              <w:spacing w:after="20" w:line="240" w:lineRule="auto"/>
            </w:pPr>
            <w:r>
              <w:rPr>
                <w:rFonts w:ascii="Times New Roman" w:hAnsi="Times New Roman"/>
                <w:sz w:val="15"/>
                <w:szCs w:val="15"/>
              </w:rPr>
              <w:t xml:space="preserve">0.1421</w:t>
            </w:r>
          </w:p>
        </w:tc>
        <w:tc>
          <w:tcPr>
            <w:tcW w:w="780" w:type="dxa"/>
            <w:vAlign w:val="center"/>
          </w:tcPr>
          <w:p>
            <w:pPr>
              <w:jc w:val="center"/>
              <w:spacing w:after="20" w:line="240" w:lineRule="auto"/>
            </w:pPr>
            <w:r>
              <w:rPr>
                <w:rFonts w:ascii="Times New Roman" w:hAnsi="Times New Roman"/>
                <w:sz w:val="15"/>
                <w:szCs w:val="15"/>
              </w:rPr>
              <w:t xml:space="preserve">0.0127</w:t>
            </w:r>
          </w:p>
        </w:tc>
        <w:tc>
          <w:tcPr>
            <w:tcW w:w="780" w:type="dxa"/>
            <w:vAlign w:val="center"/>
          </w:tcPr>
          <w:p>
            <w:pPr>
              <w:jc w:val="center"/>
              <w:spacing w:after="20" w:line="240" w:lineRule="auto"/>
            </w:pPr>
            <w:r>
              <w:rPr>
                <w:rFonts w:ascii="Times New Roman" w:hAnsi="Times New Roman"/>
                <w:sz w:val="15"/>
                <w:szCs w:val="15"/>
              </w:rPr>
              <w:t xml:space="preserve">0.0118</w:t>
            </w:r>
          </w:p>
        </w:tc>
        <w:tc>
          <w:tcPr>
            <w:tcW w:w="780" w:type="dxa"/>
            <w:vAlign w:val="center"/>
          </w:tcPr>
          <w:p>
            <w:pPr>
              <w:jc w:val="center"/>
              <w:spacing w:after="20" w:line="240" w:lineRule="auto"/>
            </w:pPr>
            <w:r>
              <w:rPr>
                <w:rFonts w:ascii="Times New Roman" w:hAnsi="Times New Roman"/>
                <w:sz w:val="15"/>
                <w:szCs w:val="15"/>
              </w:rPr>
              <w:t xml:space="preserve">0.9487</w:t>
            </w:r>
          </w:p>
        </w:tc>
        <w:tc>
          <w:tcPr>
            <w:tcW w:w="780" w:type="dxa"/>
            <w:vAlign w:val="center"/>
          </w:tcPr>
          <w:p>
            <w:pPr>
              <w:jc w:val="center"/>
              <w:spacing w:after="20" w:line="240" w:lineRule="auto"/>
            </w:pPr>
            <w:r>
              <w:rPr>
                <w:rFonts w:ascii="Times New Roman" w:hAnsi="Times New Roman"/>
                <w:sz w:val="15"/>
                <w:szCs w:val="15"/>
              </w:rPr>
              <w:t xml:space="preserve">0.0190</w:t>
            </w:r>
          </w:p>
        </w:tc>
        <w:tc>
          <w:tcPr>
            <w:tcW w:w="780" w:type="dxa"/>
            <w:vAlign w:val="center"/>
          </w:tcPr>
          <w:p>
            <w:pPr>
              <w:jc w:val="center"/>
              <w:spacing w:after="20" w:line="240" w:lineRule="auto"/>
            </w:pPr>
            <w:r>
              <w:rPr>
                <w:rFonts w:ascii="Times New Roman" w:hAnsi="Times New Roman"/>
                <w:sz w:val="15"/>
                <w:szCs w:val="15"/>
              </w:rPr>
              <w:t xml:space="preserve">0.0238</w:t>
            </w:r>
          </w:p>
        </w:tc>
        <w:tc>
          <w:tcPr>
            <w:tcW w:w="780" w:type="dxa"/>
            <w:vAlign w:val="center"/>
          </w:tcPr>
          <w:p>
            <w:pPr>
              <w:jc w:val="center"/>
              <w:spacing w:after="20" w:line="240" w:lineRule="auto"/>
            </w:pPr>
            <w:r>
              <w:rPr>
                <w:rFonts w:ascii="Times New Roman" w:hAnsi="Times New Roman"/>
                <w:sz w:val="15"/>
                <w:szCs w:val="15"/>
              </w:rPr>
              <w:t xml:space="preserve">0.2245</w:t>
            </w:r>
          </w:p>
        </w:tc>
        <w:tc>
          <w:tcPr>
            <w:tcW w:w="780" w:type="dxa"/>
            <w:vAlign w:val="center"/>
          </w:tcPr>
          <w:p>
            <w:pPr>
              <w:jc w:val="center"/>
              <w:spacing w:after="20" w:line="240" w:lineRule="auto"/>
            </w:pPr>
            <w:r>
              <w:rPr>
                <w:rFonts w:ascii="Times New Roman" w:hAnsi="Times New Roman"/>
                <w:sz w:val="15"/>
                <w:szCs w:val="15"/>
              </w:rPr>
              <w:t xml:space="preserve">0.0020</w:t>
            </w:r>
          </w:p>
        </w:tc>
        <w:tc>
          <w:tcPr>
            <w:tcW w:w="780" w:type="dxa"/>
            <w:vAlign w:val="center"/>
          </w:tcPr>
          <w:p>
            <w:pPr>
              <w:jc w:val="center"/>
              <w:spacing w:after="20" w:line="240" w:lineRule="auto"/>
            </w:pPr>
            <w:r>
              <w:rPr>
                <w:rFonts w:ascii="Times New Roman" w:hAnsi="Times New Roman"/>
                <w:sz w:val="15"/>
                <w:szCs w:val="15"/>
              </w:rPr>
              <w:t xml:space="preserve">189</w:t>
            </w:r>
          </w:p>
        </w:tc>
        <w:tc>
          <w:tcPr>
            <w:tcW w:w="780" w:type="dxa"/>
            <w:vAlign w:val="center"/>
          </w:tcPr>
          <w:p>
            <w:pPr>
              <w:jc w:val="center"/>
              <w:spacing w:after="20" w:line="240" w:lineRule="auto"/>
            </w:pPr>
            <w:r>
              <w:rPr>
                <w:rFonts w:ascii="Times New Roman" w:hAnsi="Times New Roman"/>
                <w:sz w:val="15"/>
                <w:szCs w:val="15"/>
              </w:rPr>
              <w:t xml:space="preserve">0.25</w:t>
            </w:r>
          </w:p>
        </w:tc>
      </w:tr>
      <w:tr>
        <w:tc>
          <w:tcPr>
            <w:tcW w:w="780" w:type="dxa"/>
            <w:vAlign w:val="center"/>
          </w:tcPr>
          <w:p>
            <w:pPr>
              <w:jc w:val="center"/>
              <w:spacing w:after="20" w:line="240" w:lineRule="auto"/>
            </w:pPr>
            <w:r>
              <w:rPr>
                <w:rFonts w:ascii="Times New Roman" w:hAnsi="Times New Roman"/>
                <w:sz w:val="15"/>
                <w:szCs w:val="15"/>
              </w:rPr>
              <w:t xml:space="preserve">f25</w:t>
            </w:r>
          </w:p>
        </w:tc>
        <w:tc>
          <w:tcPr>
            <w:tcW w:w="780" w:type="dxa"/>
            <w:vAlign w:val="center"/>
          </w:tcPr>
          <w:p>
            <w:pPr>
              <w:jc w:val="center"/>
              <w:spacing w:after="20" w:line="240" w:lineRule="auto"/>
            </w:pPr>
            <w:r>
              <w:rPr>
                <w:rFonts w:ascii="Times New Roman" w:hAnsi="Times New Roman"/>
                <w:sz w:val="15"/>
                <w:szCs w:val="15"/>
              </w:rPr>
              <w:t xml:space="preserve">0.0413</w:t>
            </w:r>
          </w:p>
        </w:tc>
        <w:tc>
          <w:tcPr>
            <w:tcW w:w="780" w:type="dxa"/>
            <w:vAlign w:val="center"/>
          </w:tcPr>
          <w:p>
            <w:pPr>
              <w:jc w:val="center"/>
              <w:spacing w:after="20" w:line="240" w:lineRule="auto"/>
            </w:pPr>
            <w:r>
              <w:rPr>
                <w:rFonts w:ascii="Times New Roman" w:hAnsi="Times New Roman"/>
                <w:sz w:val="15"/>
                <w:szCs w:val="15"/>
              </w:rPr>
              <w:t xml:space="preserve">0.1253</w:t>
            </w:r>
          </w:p>
        </w:tc>
        <w:tc>
          <w:tcPr>
            <w:tcW w:w="780" w:type="dxa"/>
            <w:vAlign w:val="center"/>
          </w:tcPr>
          <w:p>
            <w:pPr>
              <w:jc w:val="center"/>
              <w:spacing w:after="20" w:line="240" w:lineRule="auto"/>
            </w:pPr>
            <w:r>
              <w:rPr>
                <w:rFonts w:ascii="Times New Roman" w:hAnsi="Times New Roman"/>
                <w:sz w:val="15"/>
                <w:szCs w:val="15"/>
              </w:rPr>
              <w:t xml:space="preserve">0.0152</w:t>
            </w:r>
          </w:p>
        </w:tc>
        <w:tc>
          <w:tcPr>
            <w:tcW w:w="780" w:type="dxa"/>
            <w:vAlign w:val="center"/>
          </w:tcPr>
          <w:p>
            <w:pPr>
              <w:jc w:val="center"/>
              <w:spacing w:after="20" w:line="240" w:lineRule="auto"/>
            </w:pPr>
            <w:r>
              <w:rPr>
                <w:rFonts w:ascii="Times New Roman" w:hAnsi="Times New Roman"/>
                <w:sz w:val="15"/>
                <w:szCs w:val="15"/>
              </w:rPr>
              <w:t xml:space="preserve">0.0120</w:t>
            </w:r>
          </w:p>
        </w:tc>
        <w:tc>
          <w:tcPr>
            <w:tcW w:w="780" w:type="dxa"/>
            <w:vAlign w:val="center"/>
          </w:tcPr>
          <w:p>
            <w:pPr>
              <w:jc w:val="center"/>
              <w:spacing w:after="20" w:line="240" w:lineRule="auto"/>
            </w:pPr>
            <w:r>
              <w:rPr>
                <w:rFonts w:ascii="Times New Roman" w:hAnsi="Times New Roman"/>
                <w:sz w:val="15"/>
                <w:szCs w:val="15"/>
              </w:rPr>
              <w:t xml:space="preserve">0.6487</w:t>
            </w:r>
          </w:p>
        </w:tc>
        <w:tc>
          <w:tcPr>
            <w:tcW w:w="780" w:type="dxa"/>
            <w:vAlign w:val="center"/>
          </w:tcPr>
          <w:p>
            <w:pPr>
              <w:jc w:val="center"/>
              <w:spacing w:after="20" w:line="240" w:lineRule="auto"/>
            </w:pPr>
            <w:r>
              <w:rPr>
                <w:rFonts w:ascii="Times New Roman" w:hAnsi="Times New Roman"/>
                <w:sz w:val="15"/>
                <w:szCs w:val="15"/>
              </w:rPr>
              <w:t xml:space="preserve">0.0193</w:t>
            </w:r>
          </w:p>
        </w:tc>
        <w:tc>
          <w:tcPr>
            <w:tcW w:w="780" w:type="dxa"/>
            <w:vAlign w:val="center"/>
          </w:tcPr>
          <w:p>
            <w:pPr>
              <w:jc w:val="center"/>
              <w:spacing w:after="20" w:line="240" w:lineRule="auto"/>
            </w:pPr>
            <w:r>
              <w:rPr>
                <w:rFonts w:ascii="Times New Roman" w:hAnsi="Times New Roman"/>
                <w:sz w:val="15"/>
                <w:szCs w:val="15"/>
              </w:rPr>
              <w:t xml:space="preserve">0.0228</w:t>
            </w:r>
          </w:p>
        </w:tc>
        <w:tc>
          <w:tcPr>
            <w:tcW w:w="780" w:type="dxa"/>
            <w:vAlign w:val="center"/>
          </w:tcPr>
          <w:p>
            <w:pPr>
              <w:jc w:val="center"/>
              <w:spacing w:after="20" w:line="240" w:lineRule="auto"/>
            </w:pPr>
            <w:r>
              <w:rPr>
                <w:rFonts w:ascii="Times New Roman" w:hAnsi="Times New Roman"/>
                <w:sz w:val="15"/>
                <w:szCs w:val="15"/>
              </w:rPr>
              <w:t xml:space="preserve">0.2725</w:t>
            </w:r>
          </w:p>
        </w:tc>
        <w:tc>
          <w:tcPr>
            <w:tcW w:w="780" w:type="dxa"/>
            <w:vAlign w:val="center"/>
          </w:tcPr>
          <w:p>
            <w:pPr>
              <w:jc w:val="center"/>
              <w:spacing w:after="20" w:line="240" w:lineRule="auto"/>
            </w:pPr>
            <w:r>
              <w:rPr>
                <w:rFonts w:ascii="Times New Roman" w:hAnsi="Times New Roman"/>
                <w:sz w:val="15"/>
                <w:szCs w:val="15"/>
              </w:rPr>
              <w:t xml:space="preserve">0.0019</w:t>
            </w:r>
          </w:p>
        </w:tc>
        <w:tc>
          <w:tcPr>
            <w:tcW w:w="780" w:type="dxa"/>
            <w:vAlign w:val="center"/>
          </w:tcPr>
          <w:p>
            <w:pPr>
              <w:jc w:val="center"/>
              <w:spacing w:after="20" w:line="240" w:lineRule="auto"/>
            </w:pPr>
            <w:r>
              <w:rPr>
                <w:rFonts w:ascii="Times New Roman" w:hAnsi="Times New Roman"/>
                <w:sz w:val="15"/>
                <w:szCs w:val="15"/>
              </w:rPr>
              <w:t xml:space="preserve">184</w:t>
            </w:r>
          </w:p>
        </w:tc>
        <w:tc>
          <w:tcPr>
            <w:tcW w:w="780" w:type="dxa"/>
            <w:vAlign w:val="center"/>
          </w:tcPr>
          <w:p>
            <w:pPr>
              <w:jc w:val="center"/>
              <w:spacing w:after="20" w:line="240" w:lineRule="auto"/>
            </w:pPr>
            <w:r>
              <w:rPr>
                <w:rFonts w:ascii="Times New Roman" w:hAnsi="Times New Roman"/>
                <w:sz w:val="15"/>
                <w:szCs w:val="15"/>
              </w:rPr>
              <w:t xml:space="preserve">0.26</w:t>
            </w:r>
          </w:p>
        </w:tc>
      </w:tr>
    </w:tbl>
    <w:p>
      <w:pPr>
        <w:spacing w:after="120"/>
      </w:pPr>
    </w:p>
    <w:p>
      <w:pPr>
        <w:jc w:val="both"/>
      </w:pPr>
      <w:r>
        <w:rPr>
          <w:rFonts w:ascii="Times New Roman" w:hAnsi="Times New Roman"/>
          <w:sz w:val="24"/>
          <w:szCs w:val="24"/>
        </w:rPr>
        <w:t xml:space="preserve">Twenty-five different flux formulations were used in the experiments; the weld-metal composition (C, Si, Mn, P, S, Mo, Ni, Cr) was determined by atomic absorption spectroscopy (AAS), the microhardness (MH) was measured by Vickers indentation (indenter load of 50 kgf and dwell time of 10 s), and the carbon equivalent (CE) was calculated using the IIW formula.</w:t>
      </w:r>
    </w:p>
    <w:p>
      <w:pPr>
        <w:jc w:val="both"/>
      </w:pPr>
      <w:r>
        <w:rPr>
          <w:rFonts w:ascii="Times New Roman" w:hAnsi="Times New Roman"/>
          <w:sz w:val="24"/>
          <w:szCs w:val="24"/>
        </w:rPr>
        <w:t xml:space="preserve">The element transfer and properties were predicted by statistically significant regression models (R² = 0.76–0.95, p &lt; 0.05). The equations developed can be used to predict the composition, microhardness and carbon equivalent of the weld metal directly from the flux composition, without the need for trial-and-error experiments. Furthermore, the interaction terms give clues to the synergic and antagonistic interactions between the flux components, which help provide a more in-depth understanding of the slag–metal reactions.</w:t>
      </w:r>
    </w:p>
    <w:p>
      <w:pPr>
        <w:pStyle w:val="Heading3"/>
      </w:pPr>
      <w:r>
        <w:rPr>
          <w:b/>
          <w:rFonts w:ascii="Times New Roman" w:hAnsi="Times New Roman"/>
          <w:sz w:val="26"/>
          <w:szCs w:val="26"/>
        </w:rPr>
        <w:t xml:space="preserve">4.4.2  Microhardness Measurement of Beads</w:t>
      </w:r>
    </w:p>
    <w:p>
      <w:pPr>
        <w:jc w:val="both"/>
      </w:pPr>
      <w:r>
        <w:rPr>
          <w:rFonts w:ascii="Times New Roman" w:hAnsi="Times New Roman"/>
          <w:sz w:val="24"/>
          <w:szCs w:val="24"/>
        </w:rPr>
        <w:t xml:space="preserve">The microhardness of all twenty-five beads was analysed with a microhardness tester using a 50 kgf load and a 10 s dwell time. To assess the hardness distribution along the weld metal, Vickers microhardness was carried out on the polished cross-sections of each multipass weld bead. The microhardness values ranged from 175 HV (Flux 22) to 226 HV (Flux 15), as shown in Table 4.6. For the optimized flux, a microhardness of 220 HV, a CE of 0.29 and a fine acicular ferrite structure were obtained at low Ti levels (9–30 ppm). The F22 flux gave a microhardness of 175 HV and a CE of 0.21. The microhardness variation over the 25 formulations is due to the complex interaction between the flux chemistry, the element transfer and the resulting weld-metal microstructure.</w:t>
      </w:r>
    </w:p>
    <w:p>
      <w:pPr>
        <w:jc w:val="both"/>
      </w:pPr>
      <w:r>
        <w:rPr>
          <w:rFonts w:ascii="Times New Roman" w:hAnsi="Times New Roman"/>
          <w:sz w:val="24"/>
          <w:szCs w:val="24"/>
        </w:rPr>
        <w:t xml:space="preserve">Across the 25 multipass beads, the Ti content in the weld metal ranged from 0.0009% to 0.0030%. This is a very important range for the microstructural formation of acicular ferrite. Ti is one of the most efficient microalloying agents for promoting acicular ferrite (AF) in C–Mn and HSLA steel weld metals. During solidification of the molten weld pool, fine, dispersed Ti-rich oxide particles form in this optimal low-concentration range. These inclusions provide intragranular nucleation sites for the precipitated acicular ferrite, a fine-grained interlocking microstructure known to yield high toughness and strength.</w:t>
      </w:r>
    </w:p>
    <w:p>
      <w:pPr>
        <w:pStyle w:val="Heading3"/>
      </w:pPr>
      <w:r>
        <w:rPr>
          <w:b/>
          <w:rFonts w:ascii="Times New Roman" w:hAnsi="Times New Roman"/>
          <w:sz w:val="26"/>
          <w:szCs w:val="26"/>
        </w:rPr>
        <w:t xml:space="preserve">4.4.3  Selection of Adequate Fluxes by Qualitative Analysis of Multipass Beads</w:t>
      </w:r>
    </w:p>
    <w:p>
      <w:pPr>
        <w:jc w:val="both"/>
      </w:pPr>
      <w:r>
        <w:rPr>
          <w:rFonts w:ascii="Times New Roman" w:hAnsi="Times New Roman"/>
          <w:sz w:val="24"/>
          <w:szCs w:val="24"/>
        </w:rPr>
        <w:t xml:space="preserve">Twenty-five different beads were visually inspected to check bead morphology, bead porosity and slag detachability. Based on this preliminary screening, three fluxes from the present basic flux system were selected for further investigation, based on their good bead morphology, minimum porosity and satisfactory slag detachability characteristics.</w:t>
      </w:r>
    </w:p>
    <w:p>
      <w:pPr>
        <w:jc w:val="both"/>
      </w:pPr>
      <w:r>
        <w:rPr>
          <w:rFonts w:ascii="Times New Roman" w:hAnsi="Times New Roman"/>
          <w:sz w:val="24"/>
          <w:szCs w:val="24"/>
        </w:rPr>
        <w:t xml:space="preserve">Hence, fluxes of grade F6B, F20B and F22B of the basic system were chosen to make the final submerged arc weld joints. The performance and characteristics of these three selected laboratory-prepared fluxes were then evaluated by comparing the weld joints made with them against a reference weld joint fabricated using a commercial flux (designated C.F.).</w:t>
      </w:r>
    </w:p>
    <w:p>
      <w:pPr>
        <w:jc w:val="both"/>
      </w:pPr>
      <w:r>
        <w:rPr>
          <w:rFonts w:ascii="Times New Roman" w:hAnsi="Times New Roman"/>
          <w:sz w:val="24"/>
          <w:szCs w:val="24"/>
        </w:rPr>
        <w:t xml:space="preserve">The selection criteria for adequate fluxes were the following qualitative parameters, evaluated during visual inspection:</w:t>
      </w:r>
    </w:p>
    <w:p>
      <w:pPr>
        <w:ind w:left="720" w:hanging="360"/>
        <w:jc w:val="both"/>
      </w:pPr>
      <w:r>
        <w:rPr>
          <w:rFonts w:ascii="Times New Roman" w:hAnsi="Times New Roman"/>
          <w:sz w:val="24"/>
          <w:szCs w:val="24"/>
        </w:rPr>
        <w:t xml:space="preserve">•  Bead shape – a smooth, even bead profile without excessive convexity.</w:t>
      </w:r>
    </w:p>
    <w:p>
      <w:pPr>
        <w:ind w:left="720" w:hanging="360"/>
        <w:jc w:val="both"/>
      </w:pPr>
      <w:r>
        <w:rPr>
          <w:rFonts w:ascii="Times New Roman" w:hAnsi="Times New Roman"/>
          <w:sz w:val="24"/>
          <w:szCs w:val="24"/>
        </w:rPr>
        <w:t xml:space="preserve">•  Surface porosity – no visible surface porosity or gas pockets.</w:t>
      </w:r>
    </w:p>
    <w:p>
      <w:pPr>
        <w:ind w:left="720" w:hanging="360"/>
        <w:jc w:val="both"/>
      </w:pPr>
      <w:r>
        <w:rPr>
          <w:rFonts w:ascii="Times New Roman" w:hAnsi="Times New Roman"/>
          <w:sz w:val="24"/>
          <w:szCs w:val="24"/>
        </w:rPr>
        <w:t xml:space="preserve">•  Slag detachability – the ability of the solidified slag to be separated from the weld-bead surface.</w:t>
      </w:r>
    </w:p>
    <w:p>
      <w:pPr>
        <w:ind w:left="720" w:hanging="360"/>
        <w:jc w:val="both"/>
      </w:pPr>
      <w:r>
        <w:rPr>
          <w:rFonts w:ascii="Times New Roman" w:hAnsi="Times New Roman"/>
          <w:sz w:val="24"/>
          <w:szCs w:val="24"/>
        </w:rPr>
        <w:t xml:space="preserve">•  Arc stability – assessed by visual inspection of bead width and uniformity.</w:t>
      </w:r>
    </w:p>
    <w:p>
      <w:pPr>
        <w:jc w:val="both"/>
      </w:pPr>
      <w:r>
        <w:rPr>
          <w:rFonts w:ascii="Times New Roman" w:hAnsi="Times New Roman"/>
          <w:sz w:val="24"/>
          <w:szCs w:val="24"/>
        </w:rPr>
        <w:t xml:space="preserve">It is evident that these fluxes may be used in X70 SAW welds, as the regression models can be used to forecast the behaviour within the specification, with the three selected fluxes (F6B, F20B, F22B) covering different compositional zones of the flux design space and providing a thorough evaluation of the flux-system performance throughout the basicity-index range.</w:t>
      </w:r>
    </w:p>
    <w:p>
      <w:pPr>
        <w:pStyle w:val="Heading2"/>
      </w:pPr>
      <w:r>
        <w:rPr>
          <w:b/>
          <w:rFonts w:ascii="Times New Roman" w:hAnsi="Times New Roman"/>
          <w:sz w:val="28"/>
          <w:szCs w:val="28"/>
        </w:rPr>
        <w:t xml:space="preserve">4.5  Materials and Experimental Setup</w:t>
      </w:r>
    </w:p>
    <w:p>
      <w:pPr>
        <w:pStyle w:val="Heading3"/>
      </w:pPr>
      <w:r>
        <w:rPr>
          <w:b/>
          <w:rFonts w:ascii="Times New Roman" w:hAnsi="Times New Roman"/>
          <w:sz w:val="26"/>
          <w:szCs w:val="26"/>
        </w:rPr>
        <w:t xml:space="preserve">4.5.1  Submerged Arc Welding Using Adequate Fluxes for Various Characterizations</w:t>
      </w:r>
    </w:p>
    <w:p>
      <w:pPr>
        <w:jc w:val="both"/>
      </w:pPr>
      <w:r>
        <w:rPr>
          <w:rFonts w:ascii="Times New Roman" w:hAnsi="Times New Roman"/>
          <w:sz w:val="24"/>
          <w:szCs w:val="24"/>
        </w:rPr>
        <w:t xml:space="preserve">In the present study, the microstructural changes and mechanical properties of the welds of API X70 line pipe steel are investigated and compared between welds produced using a commercial flux and welds produced using laboratory-prepared agglomerated fluxes for submerged arc welding (SAW). The laboratory basic fluxes were formulated to determine their effects on weld-metal chemistry and performance compared to a standard commercial flux. As high-strength line pipe steels such as API X70 become the norm for modern pipeline infrastructure, pipeline welding is an enabling technology for the safe and efficient transport of oil and gas over long distances. API X70 (specified minimum yield strength = 485 MPa) offers a good combination of strength, ductility and weldability for high-pressure transmission lines and difficult service environments.</w:t>
      </w:r>
    </w:p>
    <w:p>
      <w:pPr>
        <w:pStyle w:val="Heading3"/>
      </w:pPr>
      <w:r>
        <w:rPr>
          <w:b/>
          <w:rFonts w:ascii="Times New Roman" w:hAnsi="Times New Roman"/>
          <w:sz w:val="26"/>
          <w:szCs w:val="26"/>
        </w:rPr>
        <w:t xml:space="preserve">4.5.2  Formation of the Weld Coupon</w:t>
      </w:r>
    </w:p>
    <w:p>
      <w:pPr>
        <w:jc w:val="both"/>
      </w:pPr>
      <w:r>
        <w:rPr>
          <w:rFonts w:ascii="Times New Roman" w:hAnsi="Times New Roman"/>
          <w:sz w:val="24"/>
          <w:szCs w:val="24"/>
        </w:rPr>
        <w:t xml:space="preserve">API X70 steel base plates of dimensions 140 mm × 140 mm × 22 mm were prepared by butt welding. The joint configuration was designed with a single-V groove, an included angle of 60° and a root gap of 2 mm. This geometry provides good penetration and fusion while keeping the heat input manageable.</w:t>
      </w:r>
    </w:p>
    <w:p>
      <w:pPr>
        <w:pStyle w:val="Heading3"/>
      </w:pPr>
      <w:r>
        <w:rPr>
          <w:b/>
          <w:rFonts w:ascii="Times New Roman" w:hAnsi="Times New Roman"/>
          <w:sz w:val="26"/>
          <w:szCs w:val="26"/>
        </w:rPr>
        <w:t xml:space="preserve">4.5.3  Submerged Arc Welding of Plates</w:t>
      </w:r>
    </w:p>
    <w:p>
      <w:pPr>
        <w:jc w:val="both"/>
      </w:pPr>
      <w:r>
        <w:rPr>
          <w:rFonts w:ascii="Times New Roman" w:hAnsi="Times New Roman"/>
          <w:sz w:val="24"/>
          <w:szCs w:val="24"/>
        </w:rPr>
        <w:t xml:space="preserve">All experimental welding was carried out under direct current electrode positive (DCEP) polarity, and optimum welding parameters were selected after several trial welds. These pre-trials were done to qualitatively test bead profile, porosity and slag detachability, each rated on a low, medium or high scale. Based on these tests, a current of 440 A, a voltage of 28 V and a welding speed of 13 inch/min were obtained, with the nozzle-to-tip distance kept constant at 20 mm. The submerged arc welding was then performed using a single-wire SAW machine. Following weld fabrication, comprehensive mechanical and microstructural characterization was carried out on four weld joints: three prepared with the agglomerated submerged arc fluxes (F6B, F20B and F22B) and one prepared with the commercial flux (C.F.) as the reference.</w:t>
      </w:r>
    </w:p>
    <w:p>
      <w:pPr>
        <w:jc w:val="center"/>
        <w:spacing w:before="160" w:after="60"/>
        <w:keepNext/>
      </w:pPr>
      <w:r>
        <w:rPr>
          <w:b/>
          <w:rFonts w:ascii="Times New Roman" w:hAnsi="Times New Roman"/>
          <w:sz w:val="22"/>
          <w:szCs w:val="22"/>
        </w:rPr>
        <w:t xml:space="preserve">Table 4.7  Chemical composition analysis of parent metal, filler wire and weld metals</w:t>
      </w:r>
    </w:p>
    <w:tbl>
      <w:tblPr>
        <w:tblStyle w:val="TableGrid"/>
        <w:tblW w:w="9360" w:type="dxa"/>
        <w:jc w:val="center"/>
        <w:tblBorders>
          <w:top w:val="single" w:sz="6" w:color="000000"/>
          <w:bottom w:val="single" w:sz="6" w:color="000000"/>
          <w:left w:val="single" w:sz="6" w:color="000000"/>
          <w:right w:val="single" w:sz="6" w:color="000000"/>
          <w:insideH w:val="single" w:sz="4" w:color="000000"/>
          <w:insideV w:val="single" w:sz="4" w:color="000000"/>
        </w:tblBorders>
      </w:tblPr>
      <w:tblGrid>
        <w:gridCol w:w="668"/>
        <w:gridCol w:w="668"/>
        <w:gridCol w:w="668"/>
        <w:gridCol w:w="668"/>
        <w:gridCol w:w="668"/>
        <w:gridCol w:w="668"/>
        <w:gridCol w:w="668"/>
        <w:gridCol w:w="668"/>
        <w:gridCol w:w="668"/>
        <w:gridCol w:w="668"/>
        <w:gridCol w:w="668"/>
        <w:gridCol w:w="668"/>
        <w:gridCol w:w="668"/>
        <w:gridCol w:w="668"/>
      </w:tblGrid>
      <w:tr>
        <w:trPr>
          <w:tblHeader/>
        </w:trPr>
        <w:tc>
          <w:tcPr>
            <w:tcW w:w="668" w:type="dxa"/>
            <w:vAlign w:val="center"/>
            <w:shd w:val="clear" w:color="auto" w:fill="D9E2F3"/>
          </w:tcPr>
          <w:p>
            <w:pPr>
              <w:jc w:val="center"/>
              <w:spacing w:after="20" w:line="240" w:lineRule="auto"/>
            </w:pPr>
            <w:r>
              <w:rPr>
                <w:b/>
                <w:rFonts w:ascii="Times New Roman" w:hAnsi="Times New Roman"/>
                <w:sz w:val="14"/>
                <w:szCs w:val="14"/>
              </w:rPr>
              <w:t xml:space="preserve">Mat.</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%Mn</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%P</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%S</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%Cr</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%Mo</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%Cu</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%Nb</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%Ti</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%Fe</w:t>
            </w:r>
          </w:p>
        </w:tc>
        <w:tc>
          <w:tcPr>
            <w:tcW w:w="668" w:type="dxa"/>
            <w:vAlign w:val="center"/>
            <w:shd w:val="clear" w:color="auto" w:fill="D9E2F3"/>
          </w:tcPr>
          <w:p>
            <w:pPr>
              <w:jc w:val="center"/>
              <w:spacing w:after="20" w:line="240" w:lineRule="auto"/>
            </w:pPr>
            <w:r>
              <w:rPr>
                <w:b/>
                <w:rFonts w:ascii="Times New Roman" w:hAnsi="Times New Roman"/>
                <w:sz w:val="14"/>
                <w:szCs w:val="14"/>
              </w:rPr>
              <w:t xml:space="preserve">%CE</w:t>
            </w:r>
          </w:p>
        </w:tc>
      </w:tr>
      <w:tr>
        <w:tc>
          <w:tcPr>
            <w:tcW w:w="668" w:type="dxa"/>
            <w:vAlign w:val="center"/>
          </w:tcPr>
          <w:p>
            <w:pPr>
              <w:jc w:val="left"/>
              <w:spacing w:after="20" w:line="240" w:lineRule="auto"/>
            </w:pPr>
            <w:r>
              <w:rPr>
                <w:rFonts w:ascii="Times New Roman" w:hAnsi="Times New Roman"/>
                <w:sz w:val="14"/>
                <w:szCs w:val="14"/>
              </w:rPr>
              <w:t xml:space="preserve">X70</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0.331</w:t>
            </w:r>
          </w:p>
        </w:tc>
        <w:tc>
          <w:tcPr>
            <w:tcW w:w="668" w:type="dxa"/>
            <w:vAlign w:val="center"/>
          </w:tcPr>
          <w:p>
            <w:pPr>
              <w:jc w:val="center"/>
              <w:spacing w:after="20" w:line="240" w:lineRule="auto"/>
            </w:pPr>
            <w:r>
              <w:rPr>
                <w:rFonts w:ascii="Times New Roman" w:hAnsi="Times New Roman"/>
                <w:sz w:val="14"/>
                <w:szCs w:val="14"/>
              </w:rPr>
              <w:t xml:space="preserve">1.70</w:t>
            </w:r>
          </w:p>
        </w:tc>
        <w:tc>
          <w:tcPr>
            <w:tcW w:w="668" w:type="dxa"/>
            <w:vAlign w:val="center"/>
          </w:tcPr>
          <w:p>
            <w:pPr>
              <w:jc w:val="center"/>
              <w:spacing w:after="20" w:line="240" w:lineRule="auto"/>
            </w:pPr>
            <w:r>
              <w:rPr>
                <w:rFonts w:ascii="Times New Roman" w:hAnsi="Times New Roman"/>
                <w:sz w:val="14"/>
                <w:szCs w:val="14"/>
              </w:rPr>
              <w:t xml:space="preserve">0.0068</w:t>
            </w:r>
          </w:p>
        </w:tc>
        <w:tc>
          <w:tcPr>
            <w:tcW w:w="668" w:type="dxa"/>
            <w:vAlign w:val="center"/>
          </w:tcPr>
          <w:p>
            <w:pPr>
              <w:jc w:val="center"/>
              <w:spacing w:after="20" w:line="240" w:lineRule="auto"/>
            </w:pPr>
            <w:r>
              <w:rPr>
                <w:rFonts w:ascii="Times New Roman" w:hAnsi="Times New Roman"/>
                <w:sz w:val="14"/>
                <w:szCs w:val="14"/>
              </w:rPr>
              <w:t xml:space="preserve">0.0032</w:t>
            </w:r>
          </w:p>
        </w:tc>
        <w:tc>
          <w:tcPr>
            <w:tcW w:w="668" w:type="dxa"/>
            <w:vAlign w:val="center"/>
          </w:tcPr>
          <w:p>
            <w:pPr>
              <w:jc w:val="center"/>
              <w:spacing w:after="20" w:line="240" w:lineRule="auto"/>
            </w:pPr>
            <w:r>
              <w:rPr>
                <w:rFonts w:ascii="Times New Roman" w:hAnsi="Times New Roman"/>
                <w:sz w:val="14"/>
                <w:szCs w:val="14"/>
              </w:rPr>
              <w:t xml:space="preserve">0.007</w:t>
            </w:r>
          </w:p>
        </w:tc>
        <w:tc>
          <w:tcPr>
            <w:tcW w:w="668" w:type="dxa"/>
            <w:vAlign w:val="center"/>
          </w:tcPr>
          <w:p>
            <w:pPr>
              <w:jc w:val="center"/>
              <w:spacing w:after="20" w:line="240" w:lineRule="auto"/>
            </w:pPr>
            <w:r>
              <w:rPr>
                <w:rFonts w:ascii="Times New Roman" w:hAnsi="Times New Roman"/>
                <w:sz w:val="14"/>
                <w:szCs w:val="14"/>
              </w:rPr>
              <w:t xml:space="preserve">0.002</w:t>
            </w:r>
          </w:p>
        </w:tc>
        <w:tc>
          <w:tcPr>
            <w:tcW w:w="668" w:type="dxa"/>
            <w:vAlign w:val="center"/>
          </w:tcPr>
          <w:p>
            <w:pPr>
              <w:jc w:val="center"/>
              <w:spacing w:after="20" w:line="240" w:lineRule="auto"/>
            </w:pPr>
            <w:r>
              <w:rPr>
                <w:rFonts w:ascii="Times New Roman" w:hAnsi="Times New Roman"/>
                <w:sz w:val="14"/>
                <w:szCs w:val="14"/>
              </w:rPr>
              <w:t xml:space="preserve">0.299</w:t>
            </w:r>
          </w:p>
        </w:tc>
        <w:tc>
          <w:tcPr>
            <w:tcW w:w="668" w:type="dxa"/>
            <w:vAlign w:val="center"/>
          </w:tcPr>
          <w:p>
            <w:pPr>
              <w:jc w:val="center"/>
              <w:spacing w:after="20" w:line="240" w:lineRule="auto"/>
            </w:pPr>
            <w:r>
              <w:rPr>
                <w:rFonts w:ascii="Times New Roman" w:hAnsi="Times New Roman"/>
                <w:sz w:val="14"/>
                <w:szCs w:val="14"/>
              </w:rPr>
              <w:t xml:space="preserve">0.0061</w:t>
            </w:r>
          </w:p>
        </w:tc>
        <w:tc>
          <w:tcPr>
            <w:tcW w:w="668" w:type="dxa"/>
            <w:vAlign w:val="center"/>
          </w:tcPr>
          <w:p>
            <w:pPr>
              <w:jc w:val="center"/>
              <w:spacing w:after="20" w:line="240" w:lineRule="auto"/>
            </w:pPr>
            <w:r>
              <w:rPr>
                <w:rFonts w:ascii="Times New Roman" w:hAnsi="Times New Roman"/>
                <w:sz w:val="14"/>
                <w:szCs w:val="14"/>
              </w:rPr>
              <w:t xml:space="preserve">0.062</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97.50</w:t>
            </w:r>
          </w:p>
        </w:tc>
        <w:tc>
          <w:tcPr>
            <w:tcW w:w="668" w:type="dxa"/>
            <w:vAlign w:val="center"/>
          </w:tcPr>
          <w:p>
            <w:pPr>
              <w:jc w:val="center"/>
              <w:spacing w:after="20" w:line="240" w:lineRule="auto"/>
            </w:pPr>
            <w:r>
              <w:rPr>
                <w:rFonts w:ascii="Times New Roman" w:hAnsi="Times New Roman"/>
                <w:sz w:val="14"/>
                <w:szCs w:val="14"/>
              </w:rPr>
              <w:t xml:space="preserve">0.33</w:t>
            </w:r>
          </w:p>
        </w:tc>
      </w:tr>
      <w:tr>
        <w:tc>
          <w:tcPr>
            <w:tcW w:w="668" w:type="dxa"/>
            <w:vAlign w:val="center"/>
          </w:tcPr>
          <w:p>
            <w:pPr>
              <w:jc w:val="left"/>
              <w:spacing w:after="20" w:line="240" w:lineRule="auto"/>
            </w:pPr>
            <w:r>
              <w:rPr>
                <w:rFonts w:ascii="Times New Roman" w:hAnsi="Times New Roman"/>
                <w:sz w:val="14"/>
                <w:szCs w:val="14"/>
              </w:rPr>
              <w:t xml:space="preserve">FW</w:t>
            </w:r>
          </w:p>
        </w:tc>
        <w:tc>
          <w:tcPr>
            <w:tcW w:w="668" w:type="dxa"/>
            <w:vAlign w:val="center"/>
          </w:tcPr>
          <w:p>
            <w:pPr>
              <w:jc w:val="center"/>
              <w:spacing w:after="20" w:line="240" w:lineRule="auto"/>
            </w:pPr>
            <w:r>
              <w:rPr>
                <w:rFonts w:ascii="Times New Roman" w:hAnsi="Times New Roman"/>
                <w:sz w:val="14"/>
                <w:szCs w:val="14"/>
              </w:rPr>
              <w:t xml:space="preserve">0.028</w:t>
            </w:r>
          </w:p>
        </w:tc>
        <w:tc>
          <w:tcPr>
            <w:tcW w:w="668" w:type="dxa"/>
            <w:vAlign w:val="center"/>
          </w:tcPr>
          <w:p>
            <w:pPr>
              <w:jc w:val="center"/>
              <w:spacing w:after="20" w:line="240" w:lineRule="auto"/>
            </w:pPr>
            <w:r>
              <w:rPr>
                <w:rFonts w:ascii="Times New Roman" w:hAnsi="Times New Roman"/>
                <w:sz w:val="14"/>
                <w:szCs w:val="14"/>
              </w:rPr>
              <w:t xml:space="preserve">0.089</w:t>
            </w:r>
          </w:p>
        </w:tc>
        <w:tc>
          <w:tcPr>
            <w:tcW w:w="668" w:type="dxa"/>
            <w:vAlign w:val="center"/>
          </w:tcPr>
          <w:p>
            <w:pPr>
              <w:jc w:val="center"/>
              <w:spacing w:after="20" w:line="240" w:lineRule="auto"/>
            </w:pPr>
            <w:r>
              <w:rPr>
                <w:rFonts w:ascii="Times New Roman" w:hAnsi="Times New Roman"/>
                <w:sz w:val="14"/>
                <w:szCs w:val="14"/>
              </w:rPr>
              <w:t xml:space="preserve">0.92</w:t>
            </w:r>
          </w:p>
        </w:tc>
        <w:tc>
          <w:tcPr>
            <w:tcW w:w="668" w:type="dxa"/>
            <w:vAlign w:val="center"/>
          </w:tcPr>
          <w:p>
            <w:pPr>
              <w:jc w:val="center"/>
              <w:spacing w:after="20" w:line="240" w:lineRule="auto"/>
            </w:pPr>
            <w:r>
              <w:rPr>
                <w:rFonts w:ascii="Times New Roman" w:hAnsi="Times New Roman"/>
                <w:sz w:val="14"/>
                <w:szCs w:val="14"/>
              </w:rPr>
              <w:t xml:space="preserve">0.0112</w:t>
            </w:r>
          </w:p>
        </w:tc>
        <w:tc>
          <w:tcPr>
            <w:tcW w:w="668" w:type="dxa"/>
            <w:vAlign w:val="center"/>
          </w:tcPr>
          <w:p>
            <w:pPr>
              <w:jc w:val="center"/>
              <w:spacing w:after="20" w:line="240" w:lineRule="auto"/>
            </w:pPr>
            <w:r>
              <w:rPr>
                <w:rFonts w:ascii="Times New Roman" w:hAnsi="Times New Roman"/>
                <w:sz w:val="14"/>
                <w:szCs w:val="14"/>
              </w:rPr>
              <w:t xml:space="preserve">0.0080</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0.312</w:t>
            </w:r>
          </w:p>
        </w:tc>
        <w:tc>
          <w:tcPr>
            <w:tcW w:w="668" w:type="dxa"/>
            <w:vAlign w:val="center"/>
          </w:tcPr>
          <w:p>
            <w:pPr>
              <w:jc w:val="center"/>
              <w:spacing w:after="20" w:line="240" w:lineRule="auto"/>
            </w:pPr>
            <w:r>
              <w:rPr>
                <w:rFonts w:ascii="Times New Roman" w:hAnsi="Times New Roman"/>
                <w:sz w:val="14"/>
                <w:szCs w:val="14"/>
              </w:rPr>
              <w:t xml:space="preserve">0.091</w:t>
            </w:r>
          </w:p>
        </w:tc>
        <w:tc>
          <w:tcPr>
            <w:tcW w:w="668" w:type="dxa"/>
            <w:vAlign w:val="center"/>
          </w:tcPr>
          <w:p>
            <w:pPr>
              <w:jc w:val="center"/>
              <w:spacing w:after="20" w:line="240" w:lineRule="auto"/>
            </w:pPr>
            <w:r>
              <w:rPr>
                <w:rFonts w:ascii="Times New Roman" w:hAnsi="Times New Roman"/>
                <w:sz w:val="14"/>
                <w:szCs w:val="14"/>
              </w:rPr>
              <w:t xml:space="preserve">0.1501</w:t>
            </w:r>
          </w:p>
        </w:tc>
        <w:tc>
          <w:tcPr>
            <w:tcW w:w="668" w:type="dxa"/>
            <w:vAlign w:val="center"/>
          </w:tcPr>
          <w:p>
            <w:pPr>
              <w:jc w:val="center"/>
              <w:spacing w:after="20" w:line="240" w:lineRule="auto"/>
            </w:pPr>
            <w:r>
              <w:rPr>
                <w:rFonts w:ascii="Times New Roman" w:hAnsi="Times New Roman"/>
                <w:sz w:val="14"/>
                <w:szCs w:val="14"/>
              </w:rPr>
              <w:t xml:space="preserve">0.025</w:t>
            </w:r>
          </w:p>
        </w:tc>
        <w:tc>
          <w:tcPr>
            <w:tcW w:w="668" w:type="dxa"/>
            <w:vAlign w:val="center"/>
          </w:tcPr>
          <w:p>
            <w:pPr>
              <w:jc w:val="center"/>
              <w:spacing w:after="20" w:line="240" w:lineRule="auto"/>
            </w:pPr>
            <w:r>
              <w:rPr>
                <w:rFonts w:ascii="Times New Roman" w:hAnsi="Times New Roman"/>
                <w:sz w:val="14"/>
                <w:szCs w:val="14"/>
              </w:rPr>
              <w:t xml:space="preserve">0.01</w:t>
            </w:r>
          </w:p>
        </w:tc>
        <w:tc>
          <w:tcPr>
            <w:tcW w:w="668" w:type="dxa"/>
            <w:vAlign w:val="center"/>
          </w:tcPr>
          <w:p>
            <w:pPr>
              <w:jc w:val="center"/>
              <w:spacing w:after="20" w:line="240" w:lineRule="auto"/>
            </w:pPr>
            <w:r>
              <w:rPr>
                <w:rFonts w:ascii="Times New Roman" w:hAnsi="Times New Roman"/>
                <w:sz w:val="14"/>
                <w:szCs w:val="14"/>
              </w:rPr>
              <w:t xml:space="preserve">98.31</w:t>
            </w:r>
          </w:p>
        </w:tc>
        <w:tc>
          <w:tcPr>
            <w:tcW w:w="668" w:type="dxa"/>
            <w:vAlign w:val="center"/>
          </w:tcPr>
          <w:p>
            <w:pPr>
              <w:jc w:val="center"/>
              <w:spacing w:after="20" w:line="240" w:lineRule="auto"/>
            </w:pPr>
            <w:r>
              <w:rPr>
                <w:rFonts w:ascii="Times New Roman" w:hAnsi="Times New Roman"/>
                <w:sz w:val="14"/>
                <w:szCs w:val="14"/>
              </w:rPr>
              <w:t xml:space="preserve">0.25</w:t>
            </w:r>
          </w:p>
        </w:tc>
      </w:tr>
      <w:tr>
        <w:tc>
          <w:tcPr>
            <w:tcW w:w="668" w:type="dxa"/>
            <w:vAlign w:val="center"/>
          </w:tcPr>
          <w:p>
            <w:pPr>
              <w:jc w:val="left"/>
              <w:spacing w:after="20" w:line="240" w:lineRule="auto"/>
            </w:pPr>
            <w:r>
              <w:rPr>
                <w:rFonts w:ascii="Times New Roman" w:hAnsi="Times New Roman"/>
                <w:sz w:val="14"/>
                <w:szCs w:val="14"/>
              </w:rPr>
              <w:t xml:space="preserve">C.F</w:t>
            </w:r>
          </w:p>
        </w:tc>
        <w:tc>
          <w:tcPr>
            <w:tcW w:w="668" w:type="dxa"/>
            <w:vAlign w:val="center"/>
          </w:tcPr>
          <w:p>
            <w:pPr>
              <w:jc w:val="center"/>
              <w:spacing w:after="20" w:line="240" w:lineRule="auto"/>
            </w:pPr>
            <w:r>
              <w:rPr>
                <w:rFonts w:ascii="Times New Roman" w:hAnsi="Times New Roman"/>
                <w:sz w:val="14"/>
                <w:szCs w:val="14"/>
              </w:rPr>
              <w:t xml:space="preserve">0.059</w:t>
            </w:r>
          </w:p>
        </w:tc>
        <w:tc>
          <w:tcPr>
            <w:tcW w:w="668" w:type="dxa"/>
            <w:vAlign w:val="center"/>
          </w:tcPr>
          <w:p>
            <w:pPr>
              <w:jc w:val="center"/>
              <w:spacing w:after="20" w:line="240" w:lineRule="auto"/>
            </w:pPr>
            <w:r>
              <w:rPr>
                <w:rFonts w:ascii="Times New Roman" w:hAnsi="Times New Roman"/>
                <w:sz w:val="14"/>
                <w:szCs w:val="14"/>
              </w:rPr>
              <w:t xml:space="preserve">0.374</w:t>
            </w:r>
          </w:p>
        </w:tc>
        <w:tc>
          <w:tcPr>
            <w:tcW w:w="668" w:type="dxa"/>
            <w:vAlign w:val="center"/>
          </w:tcPr>
          <w:p>
            <w:pPr>
              <w:jc w:val="center"/>
              <w:spacing w:after="20" w:line="240" w:lineRule="auto"/>
            </w:pPr>
            <w:r>
              <w:rPr>
                <w:rFonts w:ascii="Times New Roman" w:hAnsi="Times New Roman"/>
                <w:sz w:val="14"/>
                <w:szCs w:val="14"/>
              </w:rPr>
              <w:t xml:space="preserve">1.62</w:t>
            </w:r>
          </w:p>
        </w:tc>
        <w:tc>
          <w:tcPr>
            <w:tcW w:w="668" w:type="dxa"/>
            <w:vAlign w:val="center"/>
          </w:tcPr>
          <w:p>
            <w:pPr>
              <w:jc w:val="center"/>
              <w:spacing w:after="20" w:line="240" w:lineRule="auto"/>
            </w:pPr>
            <w:r>
              <w:rPr>
                <w:rFonts w:ascii="Times New Roman" w:hAnsi="Times New Roman"/>
                <w:sz w:val="14"/>
                <w:szCs w:val="14"/>
              </w:rPr>
              <w:t xml:space="preserve">0.0164</w:t>
            </w:r>
          </w:p>
        </w:tc>
        <w:tc>
          <w:tcPr>
            <w:tcW w:w="668" w:type="dxa"/>
            <w:vAlign w:val="center"/>
          </w:tcPr>
          <w:p>
            <w:pPr>
              <w:jc w:val="center"/>
              <w:spacing w:after="20" w:line="240" w:lineRule="auto"/>
            </w:pPr>
            <w:r>
              <w:rPr>
                <w:rFonts w:ascii="Times New Roman" w:hAnsi="Times New Roman"/>
                <w:sz w:val="14"/>
                <w:szCs w:val="14"/>
              </w:rPr>
              <w:t xml:space="preserve">0.0070</w:t>
            </w:r>
          </w:p>
        </w:tc>
        <w:tc>
          <w:tcPr>
            <w:tcW w:w="668" w:type="dxa"/>
            <w:vAlign w:val="center"/>
          </w:tcPr>
          <w:p>
            <w:pPr>
              <w:jc w:val="center"/>
              <w:spacing w:after="20" w:line="240" w:lineRule="auto"/>
            </w:pPr>
            <w:r>
              <w:rPr>
                <w:rFonts w:ascii="Times New Roman" w:hAnsi="Times New Roman"/>
                <w:sz w:val="14"/>
                <w:szCs w:val="14"/>
              </w:rPr>
              <w:t xml:space="preserve">0.039</w:t>
            </w:r>
          </w:p>
        </w:tc>
        <w:tc>
          <w:tcPr>
            <w:tcW w:w="668" w:type="dxa"/>
            <w:vAlign w:val="center"/>
          </w:tcPr>
          <w:p>
            <w:pPr>
              <w:jc w:val="center"/>
              <w:spacing w:after="20" w:line="240" w:lineRule="auto"/>
            </w:pPr>
            <w:r>
              <w:rPr>
                <w:rFonts w:ascii="Times New Roman" w:hAnsi="Times New Roman"/>
                <w:sz w:val="14"/>
                <w:szCs w:val="14"/>
              </w:rPr>
              <w:t xml:space="preserve">0.412</w:t>
            </w:r>
          </w:p>
        </w:tc>
        <w:tc>
          <w:tcPr>
            <w:tcW w:w="668" w:type="dxa"/>
            <w:vAlign w:val="center"/>
          </w:tcPr>
          <w:p>
            <w:pPr>
              <w:jc w:val="center"/>
              <w:spacing w:after="20" w:line="240" w:lineRule="auto"/>
            </w:pPr>
            <w:r>
              <w:rPr>
                <w:rFonts w:ascii="Times New Roman" w:hAnsi="Times New Roman"/>
                <w:sz w:val="14"/>
                <w:szCs w:val="14"/>
              </w:rPr>
              <w:t xml:space="preserve">0.068</w:t>
            </w:r>
          </w:p>
        </w:tc>
        <w:tc>
          <w:tcPr>
            <w:tcW w:w="668" w:type="dxa"/>
            <w:vAlign w:val="center"/>
          </w:tcPr>
          <w:p>
            <w:pPr>
              <w:jc w:val="center"/>
              <w:spacing w:after="20" w:line="240" w:lineRule="auto"/>
            </w:pPr>
            <w:r>
              <w:rPr>
                <w:rFonts w:ascii="Times New Roman" w:hAnsi="Times New Roman"/>
                <w:sz w:val="14"/>
                <w:szCs w:val="14"/>
              </w:rPr>
              <w:t xml:space="preserve">0.0810</w:t>
            </w:r>
          </w:p>
        </w:tc>
        <w:tc>
          <w:tcPr>
            <w:tcW w:w="668" w:type="dxa"/>
            <w:vAlign w:val="center"/>
          </w:tcPr>
          <w:p>
            <w:pPr>
              <w:jc w:val="center"/>
              <w:spacing w:after="20" w:line="240" w:lineRule="auto"/>
            </w:pPr>
            <w:r>
              <w:rPr>
                <w:rFonts w:ascii="Times New Roman" w:hAnsi="Times New Roman"/>
                <w:sz w:val="14"/>
                <w:szCs w:val="14"/>
              </w:rPr>
              <w:t xml:space="preserve">0.008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97.29</w:t>
            </w:r>
          </w:p>
        </w:tc>
        <w:tc>
          <w:tcPr>
            <w:tcW w:w="668" w:type="dxa"/>
            <w:vAlign w:val="center"/>
          </w:tcPr>
          <w:p>
            <w:pPr>
              <w:jc w:val="center"/>
              <w:spacing w:after="20" w:line="240" w:lineRule="auto"/>
            </w:pPr>
            <w:r>
              <w:rPr>
                <w:rFonts w:ascii="Times New Roman" w:hAnsi="Times New Roman"/>
                <w:sz w:val="14"/>
                <w:szCs w:val="14"/>
              </w:rPr>
              <w:t xml:space="preserve">0.38</w:t>
            </w:r>
          </w:p>
        </w:tc>
      </w:tr>
      <w:tr>
        <w:tc>
          <w:tcPr>
            <w:tcW w:w="668" w:type="dxa"/>
            <w:vAlign w:val="center"/>
          </w:tcPr>
          <w:p>
            <w:pPr>
              <w:jc w:val="left"/>
              <w:spacing w:after="20" w:line="240" w:lineRule="auto"/>
            </w:pPr>
            <w:r>
              <w:rPr>
                <w:rFonts w:ascii="Times New Roman" w:hAnsi="Times New Roman"/>
                <w:sz w:val="14"/>
                <w:szCs w:val="14"/>
              </w:rPr>
              <w:t xml:space="preserve">F6B</w:t>
            </w:r>
          </w:p>
        </w:tc>
        <w:tc>
          <w:tcPr>
            <w:tcW w:w="668" w:type="dxa"/>
            <w:vAlign w:val="center"/>
          </w:tcPr>
          <w:p>
            <w:pPr>
              <w:jc w:val="center"/>
              <w:spacing w:after="20" w:line="240" w:lineRule="auto"/>
            </w:pPr>
            <w:r>
              <w:rPr>
                <w:rFonts w:ascii="Times New Roman" w:hAnsi="Times New Roman"/>
                <w:sz w:val="14"/>
                <w:szCs w:val="14"/>
              </w:rPr>
              <w:t xml:space="preserve">0.042</w:t>
            </w:r>
          </w:p>
        </w:tc>
        <w:tc>
          <w:tcPr>
            <w:tcW w:w="668" w:type="dxa"/>
            <w:vAlign w:val="center"/>
          </w:tcPr>
          <w:p>
            <w:pPr>
              <w:jc w:val="center"/>
              <w:spacing w:after="20" w:line="240" w:lineRule="auto"/>
            </w:pPr>
            <w:r>
              <w:rPr>
                <w:rFonts w:ascii="Times New Roman" w:hAnsi="Times New Roman"/>
                <w:sz w:val="14"/>
                <w:szCs w:val="14"/>
              </w:rPr>
              <w:t xml:space="preserve">0.397</w:t>
            </w:r>
          </w:p>
        </w:tc>
        <w:tc>
          <w:tcPr>
            <w:tcW w:w="668" w:type="dxa"/>
            <w:vAlign w:val="center"/>
          </w:tcPr>
          <w:p>
            <w:pPr>
              <w:jc w:val="center"/>
              <w:spacing w:after="20" w:line="240" w:lineRule="auto"/>
            </w:pPr>
            <w:r>
              <w:rPr>
                <w:rFonts w:ascii="Times New Roman" w:hAnsi="Times New Roman"/>
                <w:sz w:val="14"/>
                <w:szCs w:val="14"/>
              </w:rPr>
              <w:t xml:space="preserve">0.80</w:t>
            </w:r>
          </w:p>
        </w:tc>
        <w:tc>
          <w:tcPr>
            <w:tcW w:w="668" w:type="dxa"/>
            <w:vAlign w:val="center"/>
          </w:tcPr>
          <w:p>
            <w:pPr>
              <w:jc w:val="center"/>
              <w:spacing w:after="20" w:line="240" w:lineRule="auto"/>
            </w:pPr>
            <w:r>
              <w:rPr>
                <w:rFonts w:ascii="Times New Roman" w:hAnsi="Times New Roman"/>
                <w:sz w:val="14"/>
                <w:szCs w:val="14"/>
              </w:rPr>
              <w:t xml:space="preserve">0.0119</w:t>
            </w:r>
          </w:p>
        </w:tc>
        <w:tc>
          <w:tcPr>
            <w:tcW w:w="668" w:type="dxa"/>
            <w:vAlign w:val="center"/>
          </w:tcPr>
          <w:p>
            <w:pPr>
              <w:jc w:val="center"/>
              <w:spacing w:after="20" w:line="240" w:lineRule="auto"/>
            </w:pPr>
            <w:r>
              <w:rPr>
                <w:rFonts w:ascii="Times New Roman" w:hAnsi="Times New Roman"/>
                <w:sz w:val="14"/>
                <w:szCs w:val="14"/>
              </w:rPr>
              <w:t xml:space="preserve">0.0024</w:t>
            </w:r>
          </w:p>
        </w:tc>
        <w:tc>
          <w:tcPr>
            <w:tcW w:w="668" w:type="dxa"/>
            <w:vAlign w:val="center"/>
          </w:tcPr>
          <w:p>
            <w:pPr>
              <w:jc w:val="center"/>
              <w:spacing w:after="20" w:line="240" w:lineRule="auto"/>
            </w:pPr>
            <w:r>
              <w:rPr>
                <w:rFonts w:ascii="Times New Roman" w:hAnsi="Times New Roman"/>
                <w:sz w:val="14"/>
                <w:szCs w:val="14"/>
              </w:rPr>
              <w:t xml:space="preserve">0.029</w:t>
            </w:r>
          </w:p>
        </w:tc>
        <w:tc>
          <w:tcPr>
            <w:tcW w:w="668" w:type="dxa"/>
            <w:vAlign w:val="center"/>
          </w:tcPr>
          <w:p>
            <w:pPr>
              <w:jc w:val="center"/>
              <w:spacing w:after="20" w:line="240" w:lineRule="auto"/>
            </w:pPr>
            <w:r>
              <w:rPr>
                <w:rFonts w:ascii="Times New Roman" w:hAnsi="Times New Roman"/>
                <w:sz w:val="14"/>
                <w:szCs w:val="14"/>
              </w:rPr>
              <w:t xml:space="preserve">0.392</w:t>
            </w:r>
          </w:p>
        </w:tc>
        <w:tc>
          <w:tcPr>
            <w:tcW w:w="668" w:type="dxa"/>
            <w:vAlign w:val="center"/>
          </w:tcPr>
          <w:p>
            <w:pPr>
              <w:jc w:val="center"/>
              <w:spacing w:after="20" w:line="240" w:lineRule="auto"/>
            </w:pPr>
            <w:r>
              <w:rPr>
                <w:rFonts w:ascii="Times New Roman" w:hAnsi="Times New Roman"/>
                <w:sz w:val="14"/>
                <w:szCs w:val="14"/>
              </w:rPr>
              <w:t xml:space="preserve">0.052</w:t>
            </w:r>
          </w:p>
        </w:tc>
        <w:tc>
          <w:tcPr>
            <w:tcW w:w="668" w:type="dxa"/>
            <w:vAlign w:val="center"/>
          </w:tcPr>
          <w:p>
            <w:pPr>
              <w:jc w:val="center"/>
              <w:spacing w:after="20" w:line="240" w:lineRule="auto"/>
            </w:pPr>
            <w:r>
              <w:rPr>
                <w:rFonts w:ascii="Times New Roman" w:hAnsi="Times New Roman"/>
                <w:sz w:val="14"/>
                <w:szCs w:val="14"/>
              </w:rPr>
              <w:t xml:space="preserve">0.0701</w:t>
            </w:r>
          </w:p>
        </w:tc>
        <w:tc>
          <w:tcPr>
            <w:tcW w:w="668" w:type="dxa"/>
            <w:vAlign w:val="center"/>
          </w:tcPr>
          <w:p>
            <w:pPr>
              <w:jc w:val="center"/>
              <w:spacing w:after="20" w:line="240" w:lineRule="auto"/>
            </w:pPr>
            <w:r>
              <w:rPr>
                <w:rFonts w:ascii="Times New Roman" w:hAnsi="Times New Roman"/>
                <w:sz w:val="14"/>
                <w:szCs w:val="14"/>
              </w:rPr>
              <w:t xml:space="preserve">0.006</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98.17</w:t>
            </w:r>
          </w:p>
        </w:tc>
        <w:tc>
          <w:tcPr>
            <w:tcW w:w="668" w:type="dxa"/>
            <w:vAlign w:val="center"/>
          </w:tcPr>
          <w:p>
            <w:pPr>
              <w:jc w:val="center"/>
              <w:spacing w:after="20" w:line="240" w:lineRule="auto"/>
            </w:pPr>
            <w:r>
              <w:rPr>
                <w:rFonts w:ascii="Times New Roman" w:hAnsi="Times New Roman"/>
                <w:sz w:val="14"/>
                <w:szCs w:val="14"/>
              </w:rPr>
              <w:t xml:space="preserve">0.31</w:t>
            </w:r>
          </w:p>
        </w:tc>
      </w:tr>
      <w:tr>
        <w:tc>
          <w:tcPr>
            <w:tcW w:w="668" w:type="dxa"/>
            <w:vAlign w:val="center"/>
          </w:tcPr>
          <w:p>
            <w:pPr>
              <w:jc w:val="left"/>
              <w:spacing w:after="20" w:line="240" w:lineRule="auto"/>
            </w:pPr>
            <w:r>
              <w:rPr>
                <w:rFonts w:ascii="Times New Roman" w:hAnsi="Times New Roman"/>
                <w:sz w:val="14"/>
                <w:szCs w:val="14"/>
              </w:rPr>
              <w:t xml:space="preserve">F20B</w:t>
            </w:r>
          </w:p>
        </w:tc>
        <w:tc>
          <w:tcPr>
            <w:tcW w:w="668" w:type="dxa"/>
            <w:vAlign w:val="center"/>
          </w:tcPr>
          <w:p>
            <w:pPr>
              <w:jc w:val="center"/>
              <w:spacing w:after="20" w:line="240" w:lineRule="auto"/>
            </w:pPr>
            <w:r>
              <w:rPr>
                <w:rFonts w:ascii="Times New Roman" w:hAnsi="Times New Roman"/>
                <w:sz w:val="14"/>
                <w:szCs w:val="14"/>
              </w:rPr>
              <w:t xml:space="preserve">0.051</w:t>
            </w:r>
          </w:p>
        </w:tc>
        <w:tc>
          <w:tcPr>
            <w:tcW w:w="668" w:type="dxa"/>
            <w:vAlign w:val="center"/>
          </w:tcPr>
          <w:p>
            <w:pPr>
              <w:jc w:val="center"/>
              <w:spacing w:after="20" w:line="240" w:lineRule="auto"/>
            </w:pPr>
            <w:r>
              <w:rPr>
                <w:rFonts w:ascii="Times New Roman" w:hAnsi="Times New Roman"/>
                <w:sz w:val="14"/>
                <w:szCs w:val="14"/>
              </w:rPr>
              <w:t xml:space="preserve">0.441</w:t>
            </w:r>
          </w:p>
        </w:tc>
        <w:tc>
          <w:tcPr>
            <w:tcW w:w="668" w:type="dxa"/>
            <w:vAlign w:val="center"/>
          </w:tcPr>
          <w:p>
            <w:pPr>
              <w:jc w:val="center"/>
              <w:spacing w:after="20" w:line="240" w:lineRule="auto"/>
            </w:pPr>
            <w:r>
              <w:rPr>
                <w:rFonts w:ascii="Times New Roman" w:hAnsi="Times New Roman"/>
                <w:sz w:val="14"/>
                <w:szCs w:val="14"/>
              </w:rPr>
              <w:t xml:space="preserve">0.67</w:t>
            </w:r>
          </w:p>
        </w:tc>
        <w:tc>
          <w:tcPr>
            <w:tcW w:w="668" w:type="dxa"/>
            <w:vAlign w:val="center"/>
          </w:tcPr>
          <w:p>
            <w:pPr>
              <w:jc w:val="center"/>
              <w:spacing w:after="20" w:line="240" w:lineRule="auto"/>
            </w:pPr>
            <w:r>
              <w:rPr>
                <w:rFonts w:ascii="Times New Roman" w:hAnsi="Times New Roman"/>
                <w:sz w:val="14"/>
                <w:szCs w:val="14"/>
              </w:rPr>
              <w:t xml:space="preserve">0.0211</w:t>
            </w:r>
          </w:p>
        </w:tc>
        <w:tc>
          <w:tcPr>
            <w:tcW w:w="668" w:type="dxa"/>
            <w:vAlign w:val="center"/>
          </w:tcPr>
          <w:p>
            <w:pPr>
              <w:jc w:val="center"/>
              <w:spacing w:after="20" w:line="240" w:lineRule="auto"/>
            </w:pPr>
            <w:r>
              <w:rPr>
                <w:rFonts w:ascii="Times New Roman" w:hAnsi="Times New Roman"/>
                <w:sz w:val="14"/>
                <w:szCs w:val="14"/>
              </w:rPr>
              <w:t xml:space="preserve">0.0019</w:t>
            </w:r>
          </w:p>
        </w:tc>
        <w:tc>
          <w:tcPr>
            <w:tcW w:w="668" w:type="dxa"/>
            <w:vAlign w:val="center"/>
          </w:tcPr>
          <w:p>
            <w:pPr>
              <w:jc w:val="center"/>
              <w:spacing w:after="20" w:line="240" w:lineRule="auto"/>
            </w:pPr>
            <w:r>
              <w:rPr>
                <w:rFonts w:ascii="Times New Roman" w:hAnsi="Times New Roman"/>
                <w:sz w:val="14"/>
                <w:szCs w:val="14"/>
              </w:rPr>
              <w:t xml:space="preserve">0.030</w:t>
            </w:r>
          </w:p>
        </w:tc>
        <w:tc>
          <w:tcPr>
            <w:tcW w:w="668" w:type="dxa"/>
            <w:vAlign w:val="center"/>
          </w:tcPr>
          <w:p>
            <w:pPr>
              <w:jc w:val="center"/>
              <w:spacing w:after="20" w:line="240" w:lineRule="auto"/>
            </w:pPr>
            <w:r>
              <w:rPr>
                <w:rFonts w:ascii="Times New Roman" w:hAnsi="Times New Roman"/>
                <w:sz w:val="14"/>
                <w:szCs w:val="14"/>
              </w:rPr>
              <w:t xml:space="preserve">0.401</w:t>
            </w:r>
          </w:p>
        </w:tc>
        <w:tc>
          <w:tcPr>
            <w:tcW w:w="668" w:type="dxa"/>
            <w:vAlign w:val="center"/>
          </w:tcPr>
          <w:p>
            <w:pPr>
              <w:jc w:val="center"/>
              <w:spacing w:after="20" w:line="240" w:lineRule="auto"/>
            </w:pPr>
            <w:r>
              <w:rPr>
                <w:rFonts w:ascii="Times New Roman" w:hAnsi="Times New Roman"/>
                <w:sz w:val="14"/>
                <w:szCs w:val="14"/>
              </w:rPr>
              <w:t xml:space="preserve">0.049</w:t>
            </w:r>
          </w:p>
        </w:tc>
        <w:tc>
          <w:tcPr>
            <w:tcW w:w="668" w:type="dxa"/>
            <w:vAlign w:val="center"/>
          </w:tcPr>
          <w:p>
            <w:pPr>
              <w:jc w:val="center"/>
              <w:spacing w:after="20" w:line="240" w:lineRule="auto"/>
            </w:pPr>
            <w:r>
              <w:rPr>
                <w:rFonts w:ascii="Times New Roman" w:hAnsi="Times New Roman"/>
                <w:sz w:val="14"/>
                <w:szCs w:val="14"/>
              </w:rPr>
              <w:t xml:space="preserve">0.0699</w:t>
            </w:r>
          </w:p>
        </w:tc>
        <w:tc>
          <w:tcPr>
            <w:tcW w:w="668" w:type="dxa"/>
            <w:vAlign w:val="center"/>
          </w:tcPr>
          <w:p>
            <w:pPr>
              <w:jc w:val="center"/>
              <w:spacing w:after="20" w:line="240" w:lineRule="auto"/>
            </w:pPr>
            <w:r>
              <w:rPr>
                <w:rFonts w:ascii="Times New Roman" w:hAnsi="Times New Roman"/>
                <w:sz w:val="14"/>
                <w:szCs w:val="14"/>
              </w:rPr>
              <w:t xml:space="preserve">0.012</w:t>
            </w:r>
          </w:p>
        </w:tc>
        <w:tc>
          <w:tcPr>
            <w:tcW w:w="668" w:type="dxa"/>
            <w:vAlign w:val="center"/>
          </w:tcPr>
          <w:p>
            <w:pPr>
              <w:jc w:val="center"/>
              <w:spacing w:after="20" w:line="240" w:lineRule="auto"/>
            </w:pPr>
            <w:r>
              <w:rPr>
                <w:rFonts w:ascii="Times New Roman" w:hAnsi="Times New Roman"/>
                <w:sz w:val="14"/>
                <w:szCs w:val="14"/>
              </w:rPr>
              <w:t xml:space="preserve">0.03</w:t>
            </w:r>
          </w:p>
        </w:tc>
        <w:tc>
          <w:tcPr>
            <w:tcW w:w="668" w:type="dxa"/>
            <w:vAlign w:val="center"/>
          </w:tcPr>
          <w:p>
            <w:pPr>
              <w:jc w:val="center"/>
              <w:spacing w:after="20" w:line="240" w:lineRule="auto"/>
            </w:pPr>
            <w:r>
              <w:rPr>
                <w:rFonts w:ascii="Times New Roman" w:hAnsi="Times New Roman"/>
                <w:sz w:val="14"/>
                <w:szCs w:val="14"/>
              </w:rPr>
              <w:t xml:space="preserve">98.22</w:t>
            </w:r>
          </w:p>
        </w:tc>
        <w:tc>
          <w:tcPr>
            <w:tcW w:w="668" w:type="dxa"/>
            <w:vAlign w:val="center"/>
          </w:tcPr>
          <w:p>
            <w:pPr>
              <w:jc w:val="center"/>
              <w:spacing w:after="20" w:line="240" w:lineRule="auto"/>
            </w:pPr>
            <w:r>
              <w:rPr>
                <w:rFonts w:ascii="Times New Roman" w:hAnsi="Times New Roman"/>
                <w:sz w:val="14"/>
                <w:szCs w:val="14"/>
              </w:rPr>
              <w:t xml:space="preserve">0.28</w:t>
            </w:r>
          </w:p>
        </w:tc>
      </w:tr>
      <w:tr>
        <w:tc>
          <w:tcPr>
            <w:tcW w:w="668" w:type="dxa"/>
            <w:vAlign w:val="center"/>
          </w:tcPr>
          <w:p>
            <w:pPr>
              <w:jc w:val="left"/>
              <w:spacing w:after="20" w:line="240" w:lineRule="auto"/>
            </w:pPr>
            <w:r>
              <w:rPr>
                <w:rFonts w:ascii="Times New Roman" w:hAnsi="Times New Roman"/>
                <w:sz w:val="14"/>
                <w:szCs w:val="14"/>
              </w:rPr>
              <w:t xml:space="preserve">F22B</w:t>
            </w:r>
          </w:p>
        </w:tc>
        <w:tc>
          <w:tcPr>
            <w:tcW w:w="668" w:type="dxa"/>
            <w:vAlign w:val="center"/>
          </w:tcPr>
          <w:p>
            <w:pPr>
              <w:jc w:val="center"/>
              <w:spacing w:after="20" w:line="240" w:lineRule="auto"/>
            </w:pPr>
            <w:r>
              <w:rPr>
                <w:rFonts w:ascii="Times New Roman" w:hAnsi="Times New Roman"/>
                <w:sz w:val="14"/>
                <w:szCs w:val="14"/>
              </w:rPr>
              <w:t xml:space="preserve">0.061</w:t>
            </w:r>
          </w:p>
        </w:tc>
        <w:tc>
          <w:tcPr>
            <w:tcW w:w="668" w:type="dxa"/>
            <w:vAlign w:val="center"/>
          </w:tcPr>
          <w:p>
            <w:pPr>
              <w:jc w:val="center"/>
              <w:spacing w:after="20" w:line="240" w:lineRule="auto"/>
            </w:pPr>
            <w:r>
              <w:rPr>
                <w:rFonts w:ascii="Times New Roman" w:hAnsi="Times New Roman"/>
                <w:sz w:val="14"/>
                <w:szCs w:val="14"/>
              </w:rPr>
              <w:t xml:space="preserve">0.451</w:t>
            </w:r>
          </w:p>
        </w:tc>
        <w:tc>
          <w:tcPr>
            <w:tcW w:w="668" w:type="dxa"/>
            <w:vAlign w:val="center"/>
          </w:tcPr>
          <w:p>
            <w:pPr>
              <w:jc w:val="center"/>
              <w:spacing w:after="20" w:line="240" w:lineRule="auto"/>
            </w:pPr>
            <w:r>
              <w:rPr>
                <w:rFonts w:ascii="Times New Roman" w:hAnsi="Times New Roman"/>
                <w:sz w:val="14"/>
                <w:szCs w:val="14"/>
              </w:rPr>
              <w:t xml:space="preserve">0.71</w:t>
            </w:r>
          </w:p>
        </w:tc>
        <w:tc>
          <w:tcPr>
            <w:tcW w:w="668" w:type="dxa"/>
            <w:vAlign w:val="center"/>
          </w:tcPr>
          <w:p>
            <w:pPr>
              <w:jc w:val="center"/>
              <w:spacing w:after="20" w:line="240" w:lineRule="auto"/>
            </w:pPr>
            <w:r>
              <w:rPr>
                <w:rFonts w:ascii="Times New Roman" w:hAnsi="Times New Roman"/>
                <w:sz w:val="14"/>
                <w:szCs w:val="14"/>
              </w:rPr>
              <w:t xml:space="preserve">0.0222</w:t>
            </w:r>
          </w:p>
        </w:tc>
        <w:tc>
          <w:tcPr>
            <w:tcW w:w="668" w:type="dxa"/>
            <w:vAlign w:val="center"/>
          </w:tcPr>
          <w:p>
            <w:pPr>
              <w:jc w:val="center"/>
              <w:spacing w:after="20" w:line="240" w:lineRule="auto"/>
            </w:pPr>
            <w:r>
              <w:rPr>
                <w:rFonts w:ascii="Times New Roman" w:hAnsi="Times New Roman"/>
                <w:sz w:val="14"/>
                <w:szCs w:val="14"/>
              </w:rPr>
              <w:t xml:space="preserve">0.0011</w:t>
            </w:r>
          </w:p>
        </w:tc>
        <w:tc>
          <w:tcPr>
            <w:tcW w:w="668" w:type="dxa"/>
            <w:vAlign w:val="center"/>
          </w:tcPr>
          <w:p>
            <w:pPr>
              <w:jc w:val="center"/>
              <w:spacing w:after="20" w:line="240" w:lineRule="auto"/>
            </w:pPr>
            <w:r>
              <w:rPr>
                <w:rFonts w:ascii="Times New Roman" w:hAnsi="Times New Roman"/>
                <w:sz w:val="14"/>
                <w:szCs w:val="14"/>
              </w:rPr>
              <w:t xml:space="preserve">0.022</w:t>
            </w:r>
          </w:p>
        </w:tc>
        <w:tc>
          <w:tcPr>
            <w:tcW w:w="668" w:type="dxa"/>
            <w:vAlign w:val="center"/>
          </w:tcPr>
          <w:p>
            <w:pPr>
              <w:jc w:val="center"/>
              <w:spacing w:after="20" w:line="240" w:lineRule="auto"/>
            </w:pPr>
            <w:r>
              <w:rPr>
                <w:rFonts w:ascii="Times New Roman" w:hAnsi="Times New Roman"/>
                <w:sz w:val="14"/>
                <w:szCs w:val="14"/>
              </w:rPr>
              <w:t xml:space="preserve">0.355</w:t>
            </w:r>
          </w:p>
        </w:tc>
        <w:tc>
          <w:tcPr>
            <w:tcW w:w="668" w:type="dxa"/>
            <w:vAlign w:val="center"/>
          </w:tcPr>
          <w:p>
            <w:pPr>
              <w:jc w:val="center"/>
              <w:spacing w:after="20" w:line="240" w:lineRule="auto"/>
            </w:pPr>
            <w:r>
              <w:rPr>
                <w:rFonts w:ascii="Times New Roman" w:hAnsi="Times New Roman"/>
                <w:sz w:val="14"/>
                <w:szCs w:val="14"/>
              </w:rPr>
              <w:t xml:space="preserve">0.050</w:t>
            </w:r>
          </w:p>
        </w:tc>
        <w:tc>
          <w:tcPr>
            <w:tcW w:w="668" w:type="dxa"/>
            <w:vAlign w:val="center"/>
          </w:tcPr>
          <w:p>
            <w:pPr>
              <w:jc w:val="center"/>
              <w:spacing w:after="20" w:line="240" w:lineRule="auto"/>
            </w:pPr>
            <w:r>
              <w:rPr>
                <w:rFonts w:ascii="Times New Roman" w:hAnsi="Times New Roman"/>
                <w:sz w:val="14"/>
                <w:szCs w:val="14"/>
              </w:rPr>
              <w:t xml:space="preserve">0.0555</w:t>
            </w:r>
          </w:p>
        </w:tc>
        <w:tc>
          <w:tcPr>
            <w:tcW w:w="668" w:type="dxa"/>
            <w:vAlign w:val="center"/>
          </w:tcPr>
          <w:p>
            <w:pPr>
              <w:jc w:val="center"/>
              <w:spacing w:after="20" w:line="240" w:lineRule="auto"/>
            </w:pPr>
            <w:r>
              <w:rPr>
                <w:rFonts w:ascii="Times New Roman" w:hAnsi="Times New Roman"/>
                <w:sz w:val="14"/>
                <w:szCs w:val="14"/>
              </w:rPr>
              <w:t xml:space="preserve">0.018</w:t>
            </w:r>
          </w:p>
        </w:tc>
        <w:tc>
          <w:tcPr>
            <w:tcW w:w="668" w:type="dxa"/>
            <w:vAlign w:val="center"/>
          </w:tcPr>
          <w:p>
            <w:pPr>
              <w:jc w:val="center"/>
              <w:spacing w:after="20" w:line="240" w:lineRule="auto"/>
            </w:pPr>
            <w:r>
              <w:rPr>
                <w:rFonts w:ascii="Times New Roman" w:hAnsi="Times New Roman"/>
                <w:sz w:val="14"/>
                <w:szCs w:val="14"/>
              </w:rPr>
              <w:t xml:space="preserve">0.02</w:t>
            </w:r>
          </w:p>
        </w:tc>
        <w:tc>
          <w:tcPr>
            <w:tcW w:w="668" w:type="dxa"/>
            <w:vAlign w:val="center"/>
          </w:tcPr>
          <w:p>
            <w:pPr>
              <w:jc w:val="center"/>
              <w:spacing w:after="20" w:line="240" w:lineRule="auto"/>
            </w:pPr>
            <w:r>
              <w:rPr>
                <w:rFonts w:ascii="Times New Roman" w:hAnsi="Times New Roman"/>
                <w:sz w:val="14"/>
                <w:szCs w:val="14"/>
              </w:rPr>
              <w:t xml:space="preserve">98.23</w:t>
            </w:r>
          </w:p>
        </w:tc>
        <w:tc>
          <w:tcPr>
            <w:tcW w:w="668" w:type="dxa"/>
            <w:vAlign w:val="center"/>
          </w:tcPr>
          <w:p>
            <w:pPr>
              <w:jc w:val="center"/>
              <w:spacing w:after="20" w:line="240" w:lineRule="auto"/>
            </w:pPr>
            <w:r>
              <w:rPr>
                <w:rFonts w:ascii="Times New Roman" w:hAnsi="Times New Roman"/>
                <w:sz w:val="14"/>
                <w:szCs w:val="14"/>
              </w:rPr>
              <w:t xml:space="preserve">0.27</w:t>
            </w:r>
          </w:p>
        </w:tc>
      </w:tr>
    </w:tbl>
    <w:p>
      <w:pPr>
        <w:spacing w:after="120"/>
      </w:pPr>
    </w:p>
    <w:p>
      <w:pPr>
        <w:jc w:val="both"/>
      </w:pPr>
      <w:r>
        <w:rPr>
          <w:rFonts w:ascii="Times New Roman" w:hAnsi="Times New Roman"/>
          <w:sz w:val="24"/>
          <w:szCs w:val="24"/>
        </w:rPr>
        <w:t xml:space="preserve">The parent- and fusion-metal elements show that the Ni and Nb content in the weld metal is lowered, while significant quantities of Ti, B, Cu and Cr (carbide formers) are added from the base metal. The sulfur content in all weld joints was considerably reduced compared to the base material (BM), filler wire and commercial flux. The maximum carbon equivalent (CE = 0.38 wt%) was observed for the weld joint fabricated using the commercial flux. The CE of specimen F6B was very close to that of the base metal. Lower CE values were observed for the F20B and F22B fluxes. Significantly, the CE was reduced substantially in the fusion zone compared to the parent metal. These observations show that decreased CE% in the fusion zone reduces the volume fraction of low-temperature transformation products, which favour the formation of coarser microstructures.</w:t>
      </w:r>
    </w:p>
    <w:p>
      <w:pPr>
        <w:pStyle w:val="Heading3"/>
      </w:pPr>
      <w:r>
        <w:rPr>
          <w:b/>
          <w:rFonts w:ascii="Times New Roman" w:hAnsi="Times New Roman"/>
          <w:sz w:val="26"/>
          <w:szCs w:val="26"/>
        </w:rPr>
        <w:t xml:space="preserve">4.5.4  Weld Specimen Cutting</w:t>
      </w:r>
    </w:p>
    <w:p>
      <w:pPr>
        <w:jc w:val="both"/>
      </w:pPr>
      <w:r>
        <w:rPr>
          <w:rFonts w:ascii="Times New Roman" w:hAnsi="Times New Roman"/>
          <w:sz w:val="24"/>
          <w:szCs w:val="24"/>
        </w:rPr>
        <w:t xml:space="preserve">After welding was finished, the weld joints were prepared for various mechanical and metallurgical characterization tests. All the weld beads were studied in detail by conventional metallographic methods: grinding with progressively finer grades of emery paper, then polishing with diamond paste to a mirror finish. The specimens for tensile, impact, microhardness, microstructure and corrosion analysis were cut from the welded plates by wire-cut electrical discharge machining (EDM) to avoid thermal distortion from cutting.</w:t>
      </w:r>
    </w:p>
    <w:p>
      <w:pPr>
        <w:pStyle w:val="Heading3"/>
      </w:pPr>
      <w:r>
        <w:rPr>
          <w:b/>
          <w:rFonts w:ascii="Times New Roman" w:hAnsi="Times New Roman"/>
          <w:sz w:val="26"/>
          <w:szCs w:val="26"/>
        </w:rPr>
        <w:t xml:space="preserve">4.5.5  Weld Specimen Mechanical Characterization</w:t>
      </w:r>
    </w:p>
    <w:p>
      <w:pPr>
        <w:jc w:val="both"/>
      </w:pPr>
      <w:r>
        <w:rPr>
          <w:rFonts w:ascii="Times New Roman" w:hAnsi="Times New Roman"/>
          <w:sz w:val="24"/>
          <w:szCs w:val="24"/>
        </w:rPr>
        <w:t xml:space="preserve">Impact toughness, microhardness and microstructure tests were performed on these weld joints. The mechanical testing of the SAW welds comprised tensile testing, Charpy impact testing, Vickers microhardness profiling, optical microstructural examination, fractographic analysis and electrochemical corrosion testing.</w:t>
      </w:r>
    </w:p>
    <w:p>
      <w:pPr>
        <w:pStyle w:val="Heading4"/>
      </w:pPr>
      <w:r>
        <w:rPr>
          <w:b/>
          <w:i/>
          <w:rFonts w:ascii="Times New Roman" w:hAnsi="Times New Roman"/>
          <w:sz w:val="24"/>
          <w:szCs w:val="24"/>
        </w:rPr>
        <w:t xml:space="preserve">4.5.5.1  Weld Specimen Tensile Testing</w:t>
      </w:r>
    </w:p>
    <w:p>
      <w:pPr>
        <w:jc w:val="both"/>
      </w:pPr>
      <w:r>
        <w:rPr>
          <w:rFonts w:ascii="Times New Roman" w:hAnsi="Times New Roman"/>
          <w:sz w:val="24"/>
          <w:szCs w:val="24"/>
        </w:rPr>
        <w:t xml:space="preserve">Tensile test specimens were prepared from the welded plates according to the ASTM E8/E8M standard for tension testing of metallic materials. The specimens were cut across the weld, perpendicular to the weld direction, in order to test the overall joint strength. The tensile properties – yield strength, ultimate tensile strength, percentage elongation and reduction in area – were obtained from a universal testing machine at a constant crosshead speed. The location of fracture gives good information about the most vulnerable area of the weld joint (weld metal, HAZ or base metal).</w:t>
      </w:r>
    </w:p>
    <w:p>
      <w:pPr>
        <w:pStyle w:val="Heading4"/>
      </w:pPr>
      <w:r>
        <w:rPr>
          <w:b/>
          <w:i/>
          <w:rFonts w:ascii="Times New Roman" w:hAnsi="Times New Roman"/>
          <w:sz w:val="24"/>
          <w:szCs w:val="24"/>
        </w:rPr>
        <w:t xml:space="preserve">4.5.5.2  Weld Specimen Impact Testing</w:t>
      </w:r>
    </w:p>
    <w:p>
      <w:pPr>
        <w:jc w:val="both"/>
      </w:pPr>
      <w:r>
        <w:rPr>
          <w:rFonts w:ascii="Times New Roman" w:hAnsi="Times New Roman"/>
          <w:sz w:val="24"/>
          <w:szCs w:val="24"/>
        </w:rPr>
        <w:t xml:space="preserve">Depending on the kind of flux – acidic, basic or neutral – the constituents of the flux have an important influence on the impact strength of the weld metal. The amount of oxygen in the weld metal depends on the kind of flux applied, and hence so do the final mechanical properties. If the weld metal contains too much oxygen – which could result from acidic flux or wire constituents such as SiO₂/Al₂O₃, or from atmospheric oxygen – the impact toughness will be adversely affected. Basic fluxes offer better impact properties than acidic fluxes, since the addition of fluorides or strong oxides has the ability to decrease the oxygen content in the weld metal. Charpy V-notch impact testing was performed at ambient (room) temperature and at −55°C, according to the ASTM E23 standard. Two 10 mm × 10 mm × 55 mm sub-size fusion-zone and heat-affected-zone specimens were cut from each weldment, with a 2 mm V-notch at the centre.</w:t>
      </w:r>
    </w:p>
    <w:p>
      <w:pPr>
        <w:pStyle w:val="Heading4"/>
      </w:pPr>
      <w:r>
        <w:rPr>
          <w:b/>
          <w:i/>
          <w:rFonts w:ascii="Times New Roman" w:hAnsi="Times New Roman"/>
          <w:sz w:val="24"/>
          <w:szCs w:val="24"/>
        </w:rPr>
        <w:t xml:space="preserve">4.5.5.3  Fractography Analysis of Weld Specimen</w:t>
      </w:r>
    </w:p>
    <w:p>
      <w:pPr>
        <w:jc w:val="both"/>
      </w:pPr>
      <w:r>
        <w:rPr>
          <w:rFonts w:ascii="Times New Roman" w:hAnsi="Times New Roman"/>
          <w:sz w:val="24"/>
          <w:szCs w:val="24"/>
        </w:rPr>
        <w:t xml:space="preserve">The fractography of the tested specimens of the API X70 SAW weldments reveals the interactions between the welding flux chemistry, the weld-metal microstructure and the fracture mechanisms in the parent metal (PM), heat-affected zone (HAZ) and fusion zone (FZ). Systematic fractographic analysis shows that the impact-loading behaviour of these regions differs markedly, depending on the specific microstructural features and on the welding flux employed. Typical features of ductile fracture in the parent metal (PM) include microvoid coalescence and well-developed dimple structures. The parent metal showed the best impact toughness, with average Charpy energies of 350 and 400 J at ambient temperature (FZ and HAZ), and the fracture surface showed a high degree of plastic deformation prior to fracture. The F6B basic flux and the commercial flux (CF) demonstrated excellent performance, with 171 J and 159 J impact toughness in the weld zone at room temperature; fractography showed a mixture of ductile features, while brittle fracture with some faceted torn surfaces was observed at −55°C for both fluxes. The F20B and F22B fluxes, on the other hand, produced fusion-zone fracture surfaces (at both room temperature and −55°C) with larger cleavage facets and a smaller shear-lip area, indicating lower fracture resistance.</w:t>
      </w:r>
    </w:p>
    <w:p>
      <w:pPr>
        <w:jc w:val="both"/>
      </w:pPr>
      <w:r>
        <w:rPr>
          <w:rFonts w:ascii="Times New Roman" w:hAnsi="Times New Roman"/>
          <w:sz w:val="24"/>
          <w:szCs w:val="24"/>
        </w:rPr>
        <w:t xml:space="preserve">The HAZ shows transitional fractographic behaviour between the parent metal and fusion zone. The coarse-grained HAZ (CGHAZ) adjacent to the fusion line has the most brittle properties, associated with cleavage fracture related to the presence of martensite–austenite (M–A) constituents and large prior-austenite grains. Fractographic analysis of HAZ specimens from welds made with the basic flux (F6B) and commercial flux (CF) shows improved toughness, with a greater ductile-fracture area compared to the other fluxes. The F6B flux provides 385 J of impact energy in the HAZ at ambient temperature and 28 J at −55°C, with fractography showing large numbers of coalesced microvoids. All fractographic observations were performed using a scanning electron microscope (SEM) at 1000× magnification and 15.0 kV accelerating voltage. The fractographs of the API X70 SAW weldments in the parent, fusion-zone and HAZ regions are shown in Figure 4.9.</w:t>
      </w:r>
    </w:p>
    <w:p>
      <w:pPr>
        <w:jc w:val="center"/>
        <w:spacing w:before="120" w:after="20"/>
      </w:pPr>
      <w:r>
        <w:drawing>
          <wp:inline distT="0" distB="0" distL="0" distR="0">
            <wp:extent cx="5486400" cy="3900830"/>
            <wp:docPr id="5" name="Picture5"/>
            <a:graphic xmlns:a="http://schemas.openxmlformats.org/drawingml/2006/main">
              <a:graphicData uri="http://schemas.openxmlformats.org/drawingml/2006/picture">
                <pic:pic xmlns:pic="http://schemas.openxmlformats.org/drawingml/2006/picture">
                  <pic:nvPicPr>
                    <pic:cNvPr id="5" name="Picture5"/>
                    <pic:cNvPicPr/>
                  </pic:nvPicPr>
                  <pic:blipFill>
                    <a:blip r:embed="rIdImg5"/>
                    <a:stretch>
                      <a:fillRect/>
                    </a:stretch>
                  </pic:blipFill>
                  <pic:spPr>
                    <a:xfrm>
                      <a:off x="0" y="0"/>
                      <a:ext cx="5486400" cy="3900830"/>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4.9  Fractographs of API X70 SAW weldments in the parent metal, fusion zone and HAZ (SEM, 1000×, 15 kV).</w:t>
      </w:r>
    </w:p>
    <w:p>
      <w:pPr>
        <w:pStyle w:val="Heading4"/>
      </w:pPr>
      <w:r>
        <w:rPr>
          <w:b/>
          <w:i/>
          <w:rFonts w:ascii="Times New Roman" w:hAnsi="Times New Roman"/>
          <w:sz w:val="24"/>
          <w:szCs w:val="24"/>
        </w:rPr>
        <w:t xml:space="preserve">4.5.5.4  Weld Specimen Microhardness Testing</w:t>
      </w:r>
    </w:p>
    <w:p>
      <w:pPr>
        <w:jc w:val="both"/>
      </w:pPr>
      <w:r>
        <w:rPr>
          <w:rFonts w:ascii="Times New Roman" w:hAnsi="Times New Roman"/>
          <w:sz w:val="24"/>
          <w:szCs w:val="24"/>
        </w:rPr>
        <w:t xml:space="preserve">Microhardness assessment of the API X70 SAW joints with various fluxes reveals that flux basicity, together with other factors such as weld-metal composition and microstructural changes in the parent metal, weld metal and heat-affected zone (HAZ) due to the thermal cycles, plays a complex role in the joint microhardness. The as-received API X70 steel has a fine-grained ferrite–pearlite microstructure with a microhardness range of 190–220 HV, giving a balanced strength–toughness relationship suitable for high-pressure applications. Vickers microhardness tests were performed across the cross-section of the weldment from the base metal through the HAZ, across the fusion zone, and symmetrically from the other side of the weldment, with a load of 500 gf and a dwell time of 10 s.</w:t>
      </w:r>
    </w:p>
    <w:p>
      <w:pPr>
        <w:jc w:val="both"/>
      </w:pPr>
      <w:r>
        <w:rPr>
          <w:rFonts w:ascii="Times New Roman" w:hAnsi="Times New Roman"/>
          <w:sz w:val="24"/>
          <w:szCs w:val="24"/>
        </w:rPr>
        <w:t xml:space="preserve">The maximum microhardness values for the laboratory-prepared and commercial fluxes were 233 HV and 224 HV in the fusion zone respectively, and 257 HV and 251 HV in the heat-affected zone (HAZ). Basic fluxes prepared in the laboratory (such as F6B, F20B and F22B) tend to deposit a more basic weld, which produces more interaction between slag and metal, limiting the amount of oxygen and hydrogen in the weld, creating a refined weld-metal microstructure and reducing the chance of developing coarse martensite and fresh bainite in the fusion zone.</w:t>
      </w:r>
    </w:p>
    <w:p>
      <w:pPr>
        <w:jc w:val="both"/>
      </w:pPr>
      <w:r>
        <w:rPr>
          <w:rFonts w:ascii="Times New Roman" w:hAnsi="Times New Roman"/>
          <w:sz w:val="24"/>
          <w:szCs w:val="24"/>
        </w:rPr>
        <w:t xml:space="preserve">The microhardness distribution of the weld metal generally shows a medium level of microhardness for the F6B welded joint (205–224 HV), which can be attributed to the presence of acicular ferrite with a small dispersion of bainite. F20B and F22B, on the other hand, with higher CaO/CaF₂ concentration, produce lower average weld-metal hardness (195–215 HV for F20B and 184–202 HV for F22B), resulting from their improved deoxidation ability and microstructural refinement. The commercial flux (CF) has a satisfactory hardness value (210–233 HV) in the fusion area, slightly higher than all the laboratory fluxes, and a hardness range of 211–257 HV in the HAZ.</w:t>
      </w:r>
    </w:p>
    <w:p>
      <w:pPr>
        <w:pStyle w:val="Heading4"/>
      </w:pPr>
      <w:r>
        <w:rPr>
          <w:b/>
          <w:i/>
          <w:rFonts w:ascii="Times New Roman" w:hAnsi="Times New Roman"/>
          <w:sz w:val="24"/>
          <w:szCs w:val="24"/>
        </w:rPr>
        <w:t xml:space="preserve">4.5.5.5  Weld Specimen Microstructure Analysis</w:t>
      </w:r>
    </w:p>
    <w:p>
      <w:pPr>
        <w:jc w:val="both"/>
      </w:pPr>
      <w:r>
        <w:rPr>
          <w:rFonts w:ascii="Times New Roman" w:hAnsi="Times New Roman"/>
          <w:sz w:val="24"/>
          <w:szCs w:val="24"/>
        </w:rPr>
        <w:t xml:space="preserve">The microstructural behaviour of SAW weldments is critically controlled by the type of flux used; in particular, the high-basicity fluxes (F6B, F20B and F22B) provided a much more evolved and desirable microstructural evolution compared to commercial SAW fluxes. The fundamental distinction lies in the differences in imposed thermal cycles and weld-metal chemistries of each type of flux. In the fusion zone, the weld metal solidifies directly from the molten state, with the basicity of the flux determining the oxygen potential and the inclusion population. High-basicity fluxes, containing high fractions of basic oxides (CaO, MgO) relative to acidic oxides (SiO₂, TiO₂), create a low-oxygen atmosphere that decreases the fraction of oxide inclusions and favours the development of finely dispersed, complex titanium-rich inclusions. These inclusions become preferential nucleation centres for acicular ferrite (AF), an intragranular microstructure composed of fine, non-aligned laths of ferrite with exceptional resistance to cleavage fracture.</w:t>
      </w:r>
    </w:p>
    <w:p>
      <w:pPr>
        <w:jc w:val="both"/>
      </w:pPr>
      <w:r>
        <w:rPr>
          <w:rFonts w:ascii="Times New Roman" w:hAnsi="Times New Roman"/>
          <w:sz w:val="24"/>
          <w:szCs w:val="24"/>
        </w:rPr>
        <w:t xml:space="preserve">Weldments made using the basic fluxes (F6B, F20B, F22B and CF) have acicular ferrite as the major constituent of the fusion zone, with a small amount of polygonal ferrite and bainite. In previous work, it was observed that fluxes of lower basicity index or rutile-based composition yield higher oxygen content in the weld metal, resulting in a coarser inclusion distribution and the formation of less desirable microstructures such as grain-boundary ferrite (GBF) and Widmanstätten ferrite (WF). The microstructural changes in the heat-affected zone (HAZ), caused by the complex thermal cycle experienced by the material without melting, are similarly sensitive to the choice of flux. The HAZ of API X70 steel is normally composed of several sub-regions, such as the coarse-grained HAZ (CGHAZ) adjacent to the fusion line, which experiences peak temperatures and austenite grain coarsening, and the fine-grained HAZ (FGHAZ), which is subjected to normalizing temperatures. The typical microstructure of the CGHAZ of API X70 welds made using the basic fluxes F6B, F20B, F22B and the commercial flux (CF) is bainite and acicular ferrite. The microstructural behaviour of the SAW weldments fabricated using F6B, F20B, F22B and the commercial flux (CF) is shown in Figure 4.10. The following abbreviations are used: PF (polygonal ferrite); P (pearlite); AF (acicular ferrite); LB (lower bainite); UB (upper bainite); QPF (quenched polygonal ferrite); M/A (martensite–austenite); WF (Widmanstätten ferrite); GBF (grain-boundary ferrite).</w:t>
      </w:r>
    </w:p>
    <w:p>
      <w:pPr>
        <w:jc w:val="center"/>
        <w:spacing w:before="120" w:after="20"/>
      </w:pPr>
      <w:r>
        <w:drawing>
          <wp:inline distT="0" distB="0" distL="0" distR="0">
            <wp:extent cx="5486400" cy="3780129"/>
            <wp:docPr id="6" name="Picture6"/>
            <a:graphic xmlns:a="http://schemas.openxmlformats.org/drawingml/2006/main">
              <a:graphicData uri="http://schemas.openxmlformats.org/drawingml/2006/picture">
                <pic:pic xmlns:pic="http://schemas.openxmlformats.org/drawingml/2006/picture">
                  <pic:nvPicPr>
                    <pic:cNvPr id="6" name="Picture6"/>
                    <pic:cNvPicPr/>
                  </pic:nvPicPr>
                  <pic:blipFill>
                    <a:blip r:embed="rIdImg6"/>
                    <a:stretch>
                      <a:fillRect/>
                    </a:stretch>
                  </pic:blipFill>
                  <pic:spPr>
                    <a:xfrm>
                      <a:off x="0" y="0"/>
                      <a:ext cx="5486400" cy="3780129"/>
                    </a:xfrm>
                    <a:prstGeom prst="rect">
                      <a:avLst/>
                    </a:prstGeom>
                  </pic:spPr>
                </pic:pic>
              </a:graphicData>
            </a:graphic>
          </wp:inline>
        </w:drawing>
      </w:r>
    </w:p>
    <w:p>
      <w:pPr>
        <w:jc w:val="center"/>
        <w:spacing w:before="60" w:after="200"/>
      </w:pPr>
      <w:r>
        <w:rPr>
          <w:b/>
          <w:rFonts w:ascii="Times New Roman" w:hAnsi="Times New Roman"/>
          <w:sz w:val="20"/>
          <w:szCs w:val="20"/>
        </w:rPr>
        <w:t xml:space="preserve">Figure 4.10  Fusion-zone microstructures of SAW weldments fabricated using (a) F6B, (b) F20B, (c) F22B and (d) commercial flux (CF).</w:t>
      </w:r>
    </w:p>
    <w:p>
      <w:pPr>
        <w:pStyle w:val="Heading4"/>
      </w:pPr>
      <w:r>
        <w:rPr>
          <w:b/>
          <w:i/>
          <w:rFonts w:ascii="Times New Roman" w:hAnsi="Times New Roman"/>
          <w:sz w:val="24"/>
          <w:szCs w:val="24"/>
        </w:rPr>
        <w:t xml:space="preserve">4.5.5.6  Weld Specimen Corrosion Analysis</w:t>
      </w:r>
    </w:p>
    <w:p>
      <w:pPr>
        <w:jc w:val="both"/>
      </w:pPr>
      <w:r>
        <w:rPr>
          <w:rFonts w:ascii="Times New Roman" w:hAnsi="Times New Roman"/>
          <w:sz w:val="24"/>
          <w:szCs w:val="24"/>
        </w:rPr>
        <w:t xml:space="preserve">The electrochemical corrosion properties of the API X70 SAW weldments were investigated to determine the corrosion resistance of the weld metal and heat-affected zone (HAZ) as affected by flux chemistry. Sharma and Chhibber studied the effect of SAW fluxes on the electrochemical corrosion and microstructural behaviour of API X70 weldments and found that the basicity of the fluxes affects the corrosion potential and passivation of the weld metal.</w:t>
      </w:r>
    </w:p>
    <w:p>
      <w:pPr>
        <w:jc w:val="both"/>
      </w:pPr>
      <w:r>
        <w:rPr>
          <w:rFonts w:ascii="Times New Roman" w:hAnsi="Times New Roman"/>
          <w:sz w:val="24"/>
          <w:szCs w:val="24"/>
        </w:rPr>
        <w:t xml:space="preserve">The potentiodynamic polarization tests were performed in a three-electrode electrochemical cell configuration, following ASTM G59 and ASTM G102. The working electrode was the weld specimen (active surface area about 1 cm²), the reference electrode was a saturated calomel electrode (SCE), and a platinum counter electrode was used. The electrolyte was a 3.5 wt% NaCl solution at room temperature to emulate marine/offshore service conditions. Tafel extrapolation of the polarization curves was used to determine the corrosion parameters, such as corrosion potential (E_corr), corrosion current density (i_corr) and corrosion rate. The anodic polarization response was also used to assess passive-film stability and pitting resistance. A more noble corrosion potential and a lower corrosion current density indicate better corrosion resistance of the weld metal. The corrosion behaviour is strongly affected by the weld-metal chemistry, especially the amount of transferred flux oxides (Mn, Mo, Cr and Si). Basic fluxes with optimized slag–metal reactions yield weld metals containing fewer impurities, such as sulfur and phosphorus, which are known to adversely influence grain-boundary corrosion resistance. It is also seen that the inclusion morphology and distribution, dictated by the flux oxygen potential, influence the initiation sites of pitting corrosion in marine environments.</w:t>
      </w:r>
    </w:p>
    <w:p>
      <w:pPr>
        <w:pStyle w:val="Heading2"/>
      </w:pPr>
      <w:r>
        <w:rPr>
          <w:b/>
          <w:rFonts w:ascii="Times New Roman" w:hAnsi="Times New Roman"/>
          <w:sz w:val="28"/>
          <w:szCs w:val="28"/>
        </w:rPr>
        <w:t xml:space="preserve">4.7  Tensile Test</w:t>
      </w:r>
    </w:p>
    <w:p>
      <w:pPr>
        <w:pStyle w:val="Heading3"/>
      </w:pPr>
      <w:r>
        <w:rPr>
          <w:b/>
          <w:rFonts w:ascii="Times New Roman" w:hAnsi="Times New Roman"/>
          <w:sz w:val="26"/>
          <w:szCs w:val="26"/>
        </w:rPr>
        <w:t xml:space="preserve">4.7.1  Introduction to Tensile Testing of SAW Weldments</w:t>
      </w:r>
    </w:p>
    <w:p>
      <w:pPr>
        <w:jc w:val="both"/>
      </w:pPr>
      <w:r>
        <w:rPr>
          <w:rFonts w:ascii="Times New Roman" w:hAnsi="Times New Roman"/>
          <w:sz w:val="24"/>
          <w:szCs w:val="24"/>
        </w:rPr>
        <w:t xml:space="preserve">Tensile testing is one of the most basic and important mechanical tests carried out on welded joints, used to assess their structural integrity and load-bearing capacity under uniaxial loading. It is the most important method for obtaining the parameters needed to evaluate the fitness-for-service of welded pipelines for high-stress oil-and-gas transmission applications, such as yield strength, ultimate tensile strength (UTS), percentage elongation and reduction in area for pipeline steel weldments produced by submerged arc welding (SAW). The flux is a major factor in the tensile behaviour of SAW weldments, since it dictates the slag–metal reactions that influence the final weld-metal chemistry, inclusion population and microstructural evolution. In general, basic fluxes yield weld metal with lower oxygen content, smaller inclusion size and a predominantly acicular ferrite microstructure, which results in a better strength–ductility balance. Acidic or neutral fluxes, on the other hand, can generate weld metal with higher oxygen content, coarser inclusions, and grain-boundary ferrite or Widmanstätten ferrite microstructures that decrease strength and elongation.</w:t>
      </w:r>
    </w:p>
    <w:p>
      <w:pPr>
        <w:pStyle w:val="Heading3"/>
      </w:pPr>
      <w:r>
        <w:rPr>
          <w:b/>
          <w:rFonts w:ascii="Times New Roman" w:hAnsi="Times New Roman"/>
          <w:sz w:val="26"/>
          <w:szCs w:val="26"/>
        </w:rPr>
        <w:t xml:space="preserve">4.7.2  Specimen Preparation</w:t>
      </w:r>
    </w:p>
    <w:p>
      <w:pPr>
        <w:jc w:val="both"/>
      </w:pPr>
      <w:r>
        <w:rPr>
          <w:rFonts w:ascii="Times New Roman" w:hAnsi="Times New Roman"/>
          <w:sz w:val="24"/>
          <w:szCs w:val="24"/>
        </w:rPr>
        <w:t xml:space="preserve">Welded plates were cut into transverse tensile test specimens following the ASTM E8/E8M standard test methods for tension testing of metallic materials. All specimens were cut across the weld, perpendicular to the weld direction, to ensure that the region of interest included the weld metal, heat-affected zone (HAZ) and base metal, enabling evaluation of the overall joint efficiency. To minimise the possibility of thermal distortion and metallurgical alteration of the specimen edges, the standard rectangular cross-section specimens were cut by wire-cut EDM with a gauge length of 50 mm, a gauge width of 12.5 mm and an overall length of 200 mm.</w:t>
      </w:r>
    </w:p>
    <w:p>
      <w:pPr>
        <w:jc w:val="both"/>
      </w:pPr>
      <w:r>
        <w:rPr>
          <w:rFonts w:ascii="Times New Roman" w:hAnsi="Times New Roman"/>
          <w:sz w:val="24"/>
          <w:szCs w:val="24"/>
        </w:rPr>
        <w:t xml:space="preserve">The weld reinforcement (excess weld metal on both the top and bottom surfaces of the weld) was machined flush with the base-plate surface to avoid stress-concentration effects during testing. The surface finish of the gauge section was maintained at Ra ≤ 0.8 µm to reduce the risk of early failure initiation from surface irregularities. To obtain statistically valid results, at least three tensile specimens were tested for each weld-joint condition (F6B, F20B, F22B and commercial flux), and the results were reported as average values.</w:t>
      </w:r>
    </w:p>
    <w:p>
      <w:pPr>
        <w:pStyle w:val="Heading3"/>
      </w:pPr>
      <w:r>
        <w:rPr>
          <w:b/>
          <w:rFonts w:ascii="Times New Roman" w:hAnsi="Times New Roman"/>
          <w:sz w:val="26"/>
          <w:szCs w:val="26"/>
        </w:rPr>
        <w:t xml:space="preserve">4.7.3  Testing Procedure</w:t>
      </w:r>
    </w:p>
    <w:p>
      <w:pPr>
        <w:jc w:val="both"/>
      </w:pPr>
      <w:r>
        <w:rPr>
          <w:rFonts w:ascii="Times New Roman" w:hAnsi="Times New Roman"/>
          <w:sz w:val="24"/>
          <w:szCs w:val="24"/>
        </w:rPr>
        <w:t xml:space="preserve">The tensile properties were measured using a servo-hydraulic universal testing machine with a 100 kN load capacity at ambient temperature (25 ± 2°C). The crosshead speed was kept constant at 2 mm/min, giving an initial strain rate of approximately 6.67 × 10⁻⁴ s⁻¹, which is within the quasi-static loading regime recommended by ASTM E8. To measure elongation accurately during the test, an extensometer with a 50 mm gauge length was attached to the specimen. The engineering stress–strain curves were obtained throughout the test and the following properties were calculated:</w:t>
      </w:r>
    </w:p>
    <w:p>
      <w:pPr>
        <w:ind w:left="720" w:hanging="360"/>
        <w:jc w:val="both"/>
      </w:pPr>
      <w:r>
        <w:rPr>
          <w:rFonts w:ascii="Times New Roman" w:hAnsi="Times New Roman"/>
          <w:sz w:val="24"/>
          <w:szCs w:val="24"/>
        </w:rPr>
        <w:t xml:space="preserve">•  Yield strength (σ_y): obtained using the 0.2% offset method.</w:t>
      </w:r>
    </w:p>
    <w:p>
      <w:pPr>
        <w:ind w:left="720" w:hanging="360"/>
        <w:jc w:val="both"/>
      </w:pPr>
      <w:r>
        <w:rPr>
          <w:rFonts w:ascii="Times New Roman" w:hAnsi="Times New Roman"/>
          <w:sz w:val="24"/>
          <w:szCs w:val="24"/>
        </w:rPr>
        <w:t xml:space="preserve">•  Ultimate tensile strength (σ_UTS): the maximum engineering stress during the test.</w:t>
      </w:r>
    </w:p>
    <w:p>
      <w:pPr>
        <w:ind w:left="720" w:hanging="360"/>
        <w:jc w:val="both"/>
      </w:pPr>
      <w:r>
        <w:rPr>
          <w:rFonts w:ascii="Times New Roman" w:hAnsi="Times New Roman"/>
          <w:sz w:val="24"/>
          <w:szCs w:val="24"/>
        </w:rPr>
        <w:t xml:space="preserve">•  Percentage elongation (%EL): measured over the original gauge length (50 mm).</w:t>
      </w:r>
    </w:p>
    <w:p>
      <w:pPr>
        <w:ind w:left="720" w:hanging="360"/>
        <w:jc w:val="both"/>
      </w:pPr>
      <w:r>
        <w:rPr>
          <w:rFonts w:ascii="Times New Roman" w:hAnsi="Times New Roman"/>
          <w:sz w:val="24"/>
          <w:szCs w:val="24"/>
        </w:rPr>
        <w:t xml:space="preserve">•  Reduction in area (RA%): percentage reduction of the cross-sectional area after fracture.</w:t>
      </w:r>
    </w:p>
    <w:p>
      <w:pPr>
        <w:jc w:val="center"/>
        <w:spacing w:before="80" w:after="80"/>
      </w:pPr>
      <w:r>
        <w:rPr>
          <w:i/>
          <w:rFonts w:ascii="Times New Roman" w:hAnsi="Times New Roman"/>
          <w:sz w:val="24"/>
          <w:szCs w:val="24"/>
        </w:rPr>
        <w:t xml:space="preserve">Joint efficiency (%) = (Weld joint UTS / Base metal UTS) × 100</w:t>
      </w:r>
    </w:p>
    <w:p>
      <w:pPr>
        <w:pStyle w:val="Heading3"/>
      </w:pPr>
      <w:r>
        <w:rPr>
          <w:b/>
          <w:rFonts w:ascii="Times New Roman" w:hAnsi="Times New Roman"/>
          <w:sz w:val="26"/>
          <w:szCs w:val="26"/>
        </w:rPr>
        <w:t xml:space="preserve">4.7.4  Expected Outcomes and Significance</w:t>
      </w:r>
    </w:p>
    <w:p>
      <w:pPr>
        <w:jc w:val="both"/>
      </w:pPr>
      <w:r>
        <w:rPr>
          <w:rFonts w:ascii="Times New Roman" w:hAnsi="Times New Roman"/>
          <w:sz w:val="24"/>
          <w:szCs w:val="24"/>
        </w:rPr>
        <w:t xml:space="preserve">The fracture-surface morphology in tensile specimens provides supplementary information: a cup-and-cone fracture with extensive necking indicates ductile failure, while a flat fracture with minimal necking suggests a brittle or quasi-cleavage failure mechanism. The location of fracture (base metal, HAZ or weld metal) indicates which region is metallurgically weakest and guides further optimization of the welding procedure.</w:t>
      </w:r>
    </w:p>
    <w:p>
      <w:pPr>
        <w:pStyle w:val="Heading3"/>
      </w:pPr>
      <w:r>
        <w:rPr>
          <w:b/>
          <w:rFonts w:ascii="Times New Roman" w:hAnsi="Times New Roman"/>
          <w:sz w:val="26"/>
          <w:szCs w:val="26"/>
        </w:rPr>
        <w:t xml:space="preserve">4.7.5  Influence of Flux Composition on Tensile Properties</w:t>
      </w:r>
    </w:p>
    <w:p>
      <w:pPr>
        <w:jc w:val="both"/>
      </w:pPr>
      <w:r>
        <w:rPr>
          <w:rFonts w:ascii="Times New Roman" w:hAnsi="Times New Roman"/>
          <w:sz w:val="24"/>
          <w:szCs w:val="24"/>
        </w:rPr>
        <w:t xml:space="preserve">The base metal for API X70 pipeline steel has a minimum yield strength of 485 MPa and a minimum ultimate tensile strength of 570 MPa, with a typical elongation of 18–24%. The weld joints are expected to achieve joint efficiencies above 90%, and the fracture position gives information about the weakest region of the weldment. Sharma and Chhibber reported that the tensile strength of SAW weld joints produced from X70 API steel with CaO–SiO₂–CaF₂-based fluxes was similar to that of the base metal, with fracture occurring mainly in the base-metal region, indicating that the strength of the weld metal and HAZ was sufficient.</w:t>
      </w:r>
    </w:p>
    <w:p>
      <w:pPr>
        <w:jc w:val="both"/>
      </w:pPr>
      <w:r>
        <w:rPr>
          <w:rFonts w:ascii="Times New Roman" w:hAnsi="Times New Roman"/>
          <w:sz w:val="24"/>
          <w:szCs w:val="24"/>
        </w:rPr>
        <w:t xml:space="preserve">The carbon equivalent (CE) of the weld metal, calculated from the chemical analysis (Table 4.7), is directly related to the hardenability of the weld metal and thus to the tensile response of the weldment. Generally, higher CE values (e.g. commercial flux weldment, CE = 0.38) give higher strength but can lead to lower ductility, while lower CE values (e.g. F20B: CE = 0.28; F22B: CE = 0.27) give lower strength but higher ductility. An intermediate CE value (F6B: CE = 0.31) is best for the formation of acicular ferrite, and the resulting microstructure has been shown to have a very good combination of strength, toughness and ductility.</w:t>
      </w:r>
    </w:p>
    <w:p>
      <w:pPr>
        <w:jc w:val="both"/>
      </w:pPr>
      <w:r>
        <w:rPr>
          <w:rFonts w:ascii="Times New Roman" w:hAnsi="Times New Roman"/>
          <w:sz w:val="24"/>
          <w:szCs w:val="24"/>
        </w:rPr>
        <w:t xml:space="preserve">The influence of the flux constituents on the tensile properties is due to several interconnected mechanisms:</w:t>
      </w:r>
    </w:p>
    <w:p>
      <w:pPr>
        <w:ind w:left="720" w:hanging="360"/>
        <w:jc w:val="both"/>
      </w:pPr>
      <w:r>
        <w:rPr>
          <w:rFonts w:ascii="Times New Roman" w:hAnsi="Times New Roman"/>
          <w:sz w:val="24"/>
          <w:szCs w:val="24"/>
        </w:rPr>
        <w:t xml:space="preserve">•  (i) Transfer of strengthening elements: controlled slag–metal equilibria transfer solid-solution- and precipitation-strengthening elements (such as Mn, Mo and Cr) from the flux to the weld metal in basic fluxes.</w:t>
      </w:r>
    </w:p>
    <w:p>
      <w:pPr>
        <w:ind w:left="720" w:hanging="360"/>
        <w:jc w:val="both"/>
      </w:pPr>
      <w:r>
        <w:rPr>
          <w:rFonts w:ascii="Times New Roman" w:hAnsi="Times New Roman"/>
          <w:sz w:val="24"/>
          <w:szCs w:val="24"/>
        </w:rPr>
        <w:t xml:space="preserve">•  (ii) Oxygen control: the basicity of the flux controls the oxygen potential at the slag–metal interface. Highly basic fluxes produce fewer oxide inclusions, which would otherwise act as stress concentrators and crack-initiation sites.</w:t>
      </w:r>
    </w:p>
    <w:p>
      <w:pPr>
        <w:ind w:left="720" w:hanging="360"/>
        <w:jc w:val="both"/>
      </w:pPr>
      <w:r>
        <w:rPr>
          <w:rFonts w:ascii="Times New Roman" w:hAnsi="Times New Roman"/>
          <w:sz w:val="24"/>
          <w:szCs w:val="24"/>
        </w:rPr>
        <w:t xml:space="preserve">•  (iii) Microstructural refinement: basic fluxes containing TiO₂ induce the formation of fine Ti-bearing inclusions that act as nuclei for acicular ferrite, resulting in a fine-grained interlocking structure with better tensile properties.</w:t>
      </w:r>
    </w:p>
    <w:p>
      <w:pPr>
        <w:ind w:left="720" w:hanging="360"/>
        <w:jc w:val="both"/>
      </w:pPr>
      <w:r>
        <w:rPr>
          <w:rFonts w:ascii="Times New Roman" w:hAnsi="Times New Roman"/>
          <w:sz w:val="24"/>
          <w:szCs w:val="24"/>
        </w:rPr>
        <w:t xml:space="preserve">•  (iv) Desulfurization: CaF₂ and CaO in basic fluxes effectively desulfurize the weld metal, decreasing the amount of MnS inclusions that can form along grain boundaries and cause intergranular fracture and reduced ductility.</w:t>
      </w:r>
    </w:p>
    <w:p>
      <w:pPr>
        <w:pStyle w:val="Heading2"/>
      </w:pPr>
      <w:r>
        <w:rPr>
          <w:b/>
          <w:rFonts w:ascii="Times New Roman" w:hAnsi="Times New Roman"/>
          <w:sz w:val="28"/>
          <w:szCs w:val="28"/>
        </w:rPr>
        <w:t xml:space="preserve">4.8  Corrosion Test</w:t>
      </w:r>
    </w:p>
    <w:p>
      <w:pPr>
        <w:pStyle w:val="Heading3"/>
      </w:pPr>
      <w:r>
        <w:rPr>
          <w:b/>
          <w:rFonts w:ascii="Times New Roman" w:hAnsi="Times New Roman"/>
          <w:sz w:val="26"/>
          <w:szCs w:val="26"/>
        </w:rPr>
        <w:t xml:space="preserve">4.8.1  Introduction to Corrosion Testing of SAW Weldments</w:t>
      </w:r>
    </w:p>
    <w:p>
      <w:pPr>
        <w:jc w:val="both"/>
      </w:pPr>
      <w:r>
        <w:rPr>
          <w:rFonts w:ascii="Times New Roman" w:hAnsi="Times New Roman"/>
          <w:sz w:val="24"/>
          <w:szCs w:val="24"/>
        </w:rPr>
        <w:t xml:space="preserve">For pipeline steels exposed to corrosive environments during service – such as marine/offshore environments, sour-gas (H₂S-containing) environments and buried-soil environments – the electrochemical corrosion behaviour of the welded joints is of paramount importance. Corrosion assessment is a critical component of the characterization of weldments used in environments where catastrophic corrosion failure is a concern. Sharma and Chhibber confirmed the influence of flux chemistry on the corrosion potential and passivation characteristics of the weld metal, and showed that the electrochemical behaviour of SAW welds is directly related to the flux chemistry through its effect on weld-metal chemistry and inclusion morphology.</w:t>
      </w:r>
    </w:p>
    <w:p>
      <w:pPr>
        <w:jc w:val="both"/>
      </w:pPr>
      <w:r>
        <w:rPr>
          <w:rFonts w:ascii="Times New Roman" w:hAnsi="Times New Roman"/>
          <w:sz w:val="24"/>
          <w:szCs w:val="24"/>
        </w:rPr>
        <w:t xml:space="preserve">Several flux-dependent factors control the corrosion resistance of SAW weldments:</w:t>
      </w:r>
    </w:p>
    <w:p>
      <w:pPr>
        <w:ind w:left="720" w:hanging="360"/>
        <w:jc w:val="both"/>
      </w:pPr>
      <w:r>
        <w:rPr>
          <w:rFonts w:ascii="Times New Roman" w:hAnsi="Times New Roman"/>
          <w:sz w:val="24"/>
          <w:szCs w:val="24"/>
        </w:rPr>
        <w:t xml:space="preserve">•  The alloying content of the weld metal (Cr, Mo, Ni and Cu), which is important for the formation of stable passive films.</w:t>
      </w:r>
    </w:p>
    <w:p>
      <w:pPr>
        <w:ind w:left="720" w:hanging="360"/>
        <w:jc w:val="both"/>
      </w:pPr>
      <w:r>
        <w:rPr>
          <w:rFonts w:ascii="Times New Roman" w:hAnsi="Times New Roman"/>
          <w:sz w:val="24"/>
          <w:szCs w:val="24"/>
        </w:rPr>
        <w:t xml:space="preserve">•  The amount of sulfur and phosphorus impurities, which affect grain-boundary corrosion resistance.</w:t>
      </w:r>
    </w:p>
    <w:p>
      <w:pPr>
        <w:ind w:left="720" w:hanging="360"/>
        <w:jc w:val="both"/>
      </w:pPr>
      <w:r>
        <w:rPr>
          <w:rFonts w:ascii="Times New Roman" w:hAnsi="Times New Roman"/>
          <w:sz w:val="24"/>
          <w:szCs w:val="24"/>
        </w:rPr>
        <w:t xml:space="preserve">•  The inclusion type, size and distribution, which provide favourable initiation sites for pitting corrosion.</w:t>
      </w:r>
    </w:p>
    <w:p>
      <w:pPr>
        <w:ind w:left="720" w:hanging="360"/>
        <w:jc w:val="both"/>
      </w:pPr>
      <w:r>
        <w:rPr>
          <w:rFonts w:ascii="Times New Roman" w:hAnsi="Times New Roman"/>
          <w:sz w:val="24"/>
          <w:szCs w:val="24"/>
        </w:rPr>
        <w:t xml:space="preserve">•  The microstructural homogeneity and grain refinement, which affect galvanic coupling between different phases.</w:t>
      </w:r>
    </w:p>
    <w:p>
      <w:pPr>
        <w:jc w:val="both"/>
      </w:pPr>
      <w:r>
        <w:rPr>
          <w:rFonts w:ascii="Times New Roman" w:hAnsi="Times New Roman"/>
          <w:sz w:val="24"/>
          <w:szCs w:val="24"/>
        </w:rPr>
        <w:t xml:space="preserve">Galvanic corrosion can take place within multi-phase weldments where electrochemical potential differences between the weld metal, HAZ and base-metal regions form localized corrosion cells that drive material loss. These galvanic differences can be minimized by controlling the weld-metal chemistry and microstructure throughout the weldment, which is accomplished through the flux composition.</w:t>
      </w:r>
    </w:p>
    <w:p>
      <w:pPr>
        <w:pStyle w:val="Heading3"/>
      </w:pPr>
      <w:r>
        <w:rPr>
          <w:b/>
          <w:rFonts w:ascii="Times New Roman" w:hAnsi="Times New Roman"/>
          <w:sz w:val="26"/>
          <w:szCs w:val="26"/>
        </w:rPr>
        <w:t xml:space="preserve">4.8.2  Specimen Preparation for Corrosion Testing</w:t>
      </w:r>
    </w:p>
    <w:p>
      <w:pPr>
        <w:jc w:val="both"/>
      </w:pPr>
      <w:r>
        <w:rPr>
          <w:rFonts w:ascii="Times New Roman" w:hAnsi="Times New Roman"/>
          <w:sz w:val="24"/>
          <w:szCs w:val="24"/>
        </w:rPr>
        <w:t xml:space="preserve">To cover the particular regions of interest, specimens for corrosion testing were removed from the welded plates as follows: weld metal (fusion zone), heat-affected zone, or base metal. Samples of about 10 mm × 10 mm were taken from each zone without causing thermal damage to the microstructure, using wire-cut EDM. Only one face (area ≈ 1 cm²) of each specimen was exposed to the test electrolyte. The exposed surface was ground sequentially from SiC paper 220 to SiC paper 2000 and then polished with 1 µm diamond paste to a mirror finish. This surface preparation provides reproducible and comparable electrochemical measurements by removing surface irregularities that may serve as preferential corrosion-initiation sites. The samples were then degreased with acetone, rinsed with deionized water, and dried in warm air to prevent surface contamination just before testing. Each specimen was soldered to a copper wire at the back side of the sample, mounted in epoxy, to form an ohmic contact with the potentiostat without disturbing the test surface area. The contact resistance was confirmed to be less than 1 Ω before every test.</w:t>
      </w:r>
    </w:p>
    <w:p>
      <w:pPr>
        <w:pStyle w:val="Heading3"/>
      </w:pPr>
      <w:r>
        <w:rPr>
          <w:b/>
          <w:rFonts w:ascii="Times New Roman" w:hAnsi="Times New Roman"/>
          <w:sz w:val="26"/>
          <w:szCs w:val="26"/>
        </w:rPr>
        <w:t xml:space="preserve">4.8.3  Electrochemical Test Setup and Procedure</w:t>
      </w:r>
    </w:p>
    <w:p>
      <w:pPr>
        <w:jc w:val="both"/>
      </w:pPr>
      <w:r>
        <w:rPr>
          <w:rFonts w:ascii="Times New Roman" w:hAnsi="Times New Roman"/>
          <w:sz w:val="24"/>
          <w:szCs w:val="24"/>
        </w:rPr>
        <w:t xml:space="preserve">Potentiodynamic polarization tests were performed using a three-electrode electrochemical cell system with a computer-controlled potentiostat/galvanostat. The cell configuration was:</w:t>
      </w:r>
    </w:p>
    <w:p>
      <w:pPr>
        <w:ind w:left="720" w:hanging="360"/>
        <w:jc w:val="both"/>
      </w:pPr>
      <w:r>
        <w:rPr>
          <w:rFonts w:ascii="Times New Roman" w:hAnsi="Times New Roman"/>
          <w:sz w:val="24"/>
          <w:szCs w:val="24"/>
        </w:rPr>
        <w:t xml:space="preserve">•  Working electrode: SAW weld specimen (exposed area ≈ 1 cm²).</w:t>
      </w:r>
    </w:p>
    <w:p>
      <w:pPr>
        <w:ind w:left="720" w:hanging="360"/>
        <w:jc w:val="both"/>
      </w:pPr>
      <w:r>
        <w:rPr>
          <w:rFonts w:ascii="Times New Roman" w:hAnsi="Times New Roman"/>
          <w:sz w:val="24"/>
          <w:szCs w:val="24"/>
        </w:rPr>
        <w:t xml:space="preserve">•  Counter electrode: platinum sheet (large surface area to make the current distribution uniform).</w:t>
      </w:r>
    </w:p>
    <w:p>
      <w:pPr>
        <w:ind w:left="720" w:hanging="360"/>
        <w:jc w:val="both"/>
      </w:pPr>
      <w:r>
        <w:rPr>
          <w:rFonts w:ascii="Times New Roman" w:hAnsi="Times New Roman"/>
          <w:sz w:val="24"/>
          <w:szCs w:val="24"/>
        </w:rPr>
        <w:t xml:space="preserve">•  Reference electrode: saturated calomel electrode (SCE).</w:t>
      </w:r>
    </w:p>
    <w:p>
      <w:pPr>
        <w:jc w:val="both"/>
      </w:pPr>
      <w:r>
        <w:rPr>
          <w:rFonts w:ascii="Times New Roman" w:hAnsi="Times New Roman"/>
          <w:sz w:val="24"/>
          <w:szCs w:val="24"/>
        </w:rPr>
        <w:t xml:space="preserve">The electrolyte was a 3.5 wt% NaCl solution, prepared by dissolving analytical-grade NaCl in deionized water, at room temperature (25 ± 1°C). This concentration mimics the typical salinity of seawater and represents the aggressive marine/offshore environment to which pipeline weldments may be subjected during service. The solution was naturally aerated (open to the atmosphere) to reflect actual service conditions. The tests were conducted according to ASTM G59 (Standard Test Method for Conducting Potentiodynamic Polarization Resistance Measurements) and ASTM G102 (Standard Practice for Calculation of Corrosion Rates from Electrochemical Measurements).</w:t>
      </w:r>
    </w:p>
    <w:p>
      <w:pPr>
        <w:jc w:val="both"/>
      </w:pPr>
      <w:r>
        <w:rPr>
          <w:rFonts w:ascii="Times New Roman" w:hAnsi="Times New Roman"/>
          <w:sz w:val="24"/>
          <w:szCs w:val="24"/>
        </w:rPr>
        <w:t xml:space="preserve">A stabilization time of 60 minutes in the electrolyte was allowed before the polarization test (Step 1: Open Circuit Potential, OCP, stabilization). This is a stabilization period during which the surface of the specimen reaches pseudo-steady-state conditions with the electrolyte prior to the perturbation created by the applied potential.</w:t>
      </w:r>
    </w:p>
    <w:p>
      <w:pPr>
        <w:jc w:val="both"/>
      </w:pPr>
      <w:r>
        <w:rPr>
          <w:rFonts w:ascii="Times New Roman" w:hAnsi="Times New Roman"/>
          <w:sz w:val="24"/>
          <w:szCs w:val="24"/>
        </w:rPr>
        <w:t xml:space="preserve">After stabilization of the OCP, the potential was scanned from −250 mV (vs OCP) in the cathodic direction to +1000 mV (vs OCP) in the anodic direction, at a constant scan rate of 1 mV/s. This scan rate gives adequate resolution of the polarization-curve features without excessive capacitive charging effects.</w:t>
      </w:r>
    </w:p>
    <w:p>
      <w:pPr>
        <w:jc w:val="both"/>
      </w:pPr>
      <w:r>
        <w:rPr>
          <w:rFonts w:ascii="Times New Roman" w:hAnsi="Times New Roman"/>
          <w:sz w:val="24"/>
          <w:szCs w:val="24"/>
        </w:rPr>
        <w:t xml:space="preserve">The recorded polarization curves were analyzed using the Tafel extrapolation method and the following corrosion parameters were extracted:</w:t>
      </w:r>
    </w:p>
    <w:p>
      <w:pPr>
        <w:ind w:left="720" w:hanging="360"/>
        <w:jc w:val="both"/>
      </w:pPr>
      <w:r>
        <w:rPr>
          <w:rFonts w:ascii="Times New Roman" w:hAnsi="Times New Roman"/>
          <w:sz w:val="24"/>
          <w:szCs w:val="24"/>
        </w:rPr>
        <w:t xml:space="preserve">•  Corrosion potential (E_corr): the potential at which the anodic and cathodic currents are equal (zero net current).</w:t>
      </w:r>
    </w:p>
    <w:p>
      <w:pPr>
        <w:ind w:left="720" w:hanging="360"/>
        <w:jc w:val="both"/>
      </w:pPr>
      <w:r>
        <w:rPr>
          <w:rFonts w:ascii="Times New Roman" w:hAnsi="Times New Roman"/>
          <w:sz w:val="24"/>
          <w:szCs w:val="24"/>
        </w:rPr>
        <w:t xml:space="preserve">•  Corrosion current density (i_corr): obtained by extrapolation of the Tafel slopes to E_corr at their intersection.</w:t>
      </w:r>
    </w:p>
    <w:p>
      <w:pPr>
        <w:ind w:left="720" w:hanging="360"/>
        <w:jc w:val="both"/>
      </w:pPr>
      <w:r>
        <w:rPr>
          <w:rFonts w:ascii="Times New Roman" w:hAnsi="Times New Roman"/>
          <w:sz w:val="24"/>
          <w:szCs w:val="24"/>
        </w:rPr>
        <w:t xml:space="preserve">•  Anodic Tafel slope (β_a): the slope of the linear portion of the anodic polarization curve.</w:t>
      </w:r>
    </w:p>
    <w:p>
      <w:pPr>
        <w:ind w:left="720" w:hanging="360"/>
        <w:jc w:val="both"/>
      </w:pPr>
      <w:r>
        <w:rPr>
          <w:rFonts w:ascii="Times New Roman" w:hAnsi="Times New Roman"/>
          <w:sz w:val="24"/>
          <w:szCs w:val="24"/>
        </w:rPr>
        <w:t xml:space="preserve">•  Cathodic Tafel slope (β_c): the slope of the linear portion of the cathodic polarization curve.</w:t>
      </w:r>
    </w:p>
    <w:p>
      <w:pPr>
        <w:jc w:val="center"/>
        <w:spacing w:before="80" w:after="80"/>
      </w:pPr>
      <w:r>
        <w:rPr>
          <w:i/>
          <w:rFonts w:ascii="Times New Roman" w:hAnsi="Times New Roman"/>
          <w:sz w:val="24"/>
          <w:szCs w:val="24"/>
        </w:rPr>
        <w:t xml:space="preserve">Polarization resistance:  R_p = (β_a × β_c) / [ 2.303 × i_corr × (β_a + β_c) ]</w:t>
      </w:r>
    </w:p>
    <w:p>
      <w:pPr>
        <w:jc w:val="both"/>
      </w:pPr>
      <w:r>
        <w:rPr>
          <w:rFonts w:ascii="Times New Roman" w:hAnsi="Times New Roman"/>
          <w:sz w:val="24"/>
          <w:szCs w:val="24"/>
        </w:rPr>
        <w:t xml:space="preserve">The corrosion rate (CR) was computed using Faraday's law, CR = (i_corr × K × EW) / (ρ × A), where K is a constant, EW is the equivalent weight, ρ is the density and A is the exposed area.</w:t>
      </w:r>
    </w:p>
    <w:p>
      <w:pPr>
        <w:pStyle w:val="Heading3"/>
      </w:pPr>
      <w:r>
        <w:rPr>
          <w:b/>
          <w:rFonts w:ascii="Times New Roman" w:hAnsi="Times New Roman"/>
          <w:sz w:val="26"/>
          <w:szCs w:val="26"/>
        </w:rPr>
        <w:t xml:space="preserve">4.8.4  Influence of Flux Chemistry on Corrosion Behaviour</w:t>
      </w:r>
    </w:p>
    <w:p>
      <w:pPr>
        <w:jc w:val="both"/>
      </w:pPr>
      <w:r>
        <w:rPr>
          <w:rFonts w:ascii="Times New Roman" w:hAnsi="Times New Roman"/>
          <w:sz w:val="24"/>
          <w:szCs w:val="24"/>
        </w:rPr>
        <w:t xml:space="preserve">The Mn, Mo, Cr and Si levels transferred to the weld metal as a result of the slag–metal reactions are significant factors in the formation of the protective oxide layer and therefore have a significant influence on the corrosion behaviour. The corrosion resistance is controlled by the following flux-dependent mechanisms:</w:t>
      </w:r>
    </w:p>
    <w:p>
      <w:pPr>
        <w:ind w:left="720" w:hanging="360"/>
        <w:jc w:val="both"/>
      </w:pPr>
      <w:r>
        <w:rPr>
          <w:rFonts w:ascii="Times New Roman" w:hAnsi="Times New Roman"/>
          <w:sz w:val="24"/>
          <w:szCs w:val="24"/>
        </w:rPr>
        <w:t xml:space="preserve">•  (i) Cr and Mo content in weld metal: more stable chromium oxide (Cr₂O₃) and molybdenum-enriched passive films are formed, which resist breakdown in chlorides. As shown in Table 4.7, the F6B and F20B fluxes deposit significant amounts of Mo into the weld metal (0.392% and 0.401% respectively), improving the pitting resistance of the weld metal.</w:t>
      </w:r>
    </w:p>
    <w:p>
      <w:pPr>
        <w:ind w:left="720" w:hanging="360"/>
        <w:jc w:val="both"/>
      </w:pPr>
      <w:r>
        <w:rPr>
          <w:rFonts w:ascii="Times New Roman" w:hAnsi="Times New Roman"/>
          <w:sz w:val="24"/>
          <w:szCs w:val="24"/>
        </w:rPr>
        <w:t xml:space="preserve">•  (ii) Sulfur and phosphorus removal: basic fluxes with high CaF₂ and CaO content effectively remove sulfur and phosphorus from the weld metal. The significantly lower sulfur content in the laboratory flux weldments (F6B: 0.0024%, F20B: 0.0019%, F22B: 0.0011%) compared to the commercial flux (CF: 0.0070%) is expected to provide superior corrosion resistance by reducing the possibility of MnS inclusion formation at grain boundaries.</w:t>
      </w:r>
    </w:p>
    <w:p>
      <w:pPr>
        <w:ind w:left="720" w:hanging="360"/>
        <w:jc w:val="both"/>
      </w:pPr>
      <w:r>
        <w:rPr>
          <w:rFonts w:ascii="Times New Roman" w:hAnsi="Times New Roman"/>
          <w:sz w:val="24"/>
          <w:szCs w:val="24"/>
        </w:rPr>
        <w:t xml:space="preserve">•  (iii) Inclusion morphology and distribution: the oxide-inclusion size, type and distribution in the weld metal are related to the oxygen potential controlled by the flux basicity. Fine, small, spherical inclusions (typical of high-basicity fluxes) are less detrimental to corrosion resistance than the large, angular inclusions or large clusters (typical of low-basicity fluxes), which can dissolve preferentially, forming micro-pits that serve as crack sources.</w:t>
      </w:r>
    </w:p>
    <w:p>
      <w:pPr>
        <w:ind w:left="720" w:hanging="360"/>
        <w:jc w:val="both"/>
      </w:pPr>
      <w:r>
        <w:rPr>
          <w:rFonts w:ascii="Times New Roman" w:hAnsi="Times New Roman"/>
          <w:sz w:val="24"/>
          <w:szCs w:val="24"/>
        </w:rPr>
        <w:t xml:space="preserve">•  (iv) Microstructural uniformity: acicular-ferrite-dominated microstructures (formed by basic fluxes such as F6B) are fine-grained with random grain orientation, which minimizes the galvanic potential difference between neighbouring grains and gives more uniform corrosion behaviour. Microstructures with extensive regions of grain-boundary ferrite or Widmanstätten ferrite, on the other hand, tend to corrode along grain-boundary ferrite/pearlite or grain-boundary ferrite/bainite interfaces.</w:t>
      </w:r>
    </w:p>
    <w:p>
      <w:pPr>
        <w:pStyle w:val="Heading3"/>
      </w:pPr>
      <w:r>
        <w:rPr>
          <w:b/>
          <w:rFonts w:ascii="Times New Roman" w:hAnsi="Times New Roman"/>
          <w:sz w:val="26"/>
          <w:szCs w:val="26"/>
        </w:rPr>
        <w:t xml:space="preserve">4.8.5  Expected Corrosion Performance</w:t>
      </w:r>
    </w:p>
    <w:p>
      <w:pPr>
        <w:jc w:val="both"/>
      </w:pPr>
      <w:r>
        <w:rPr>
          <w:rFonts w:ascii="Times New Roman" w:hAnsi="Times New Roman"/>
          <w:sz w:val="24"/>
          <w:szCs w:val="24"/>
        </w:rPr>
        <w:t xml:space="preserve">Based on the weld-metal chemistry (Table 4.7) and the microstructural observations (Figure 4.10), the following corrosion-performance hierarchy is expected:</w:t>
      </w:r>
    </w:p>
    <w:p>
      <w:pPr>
        <w:ind w:left="720" w:hanging="360"/>
        <w:jc w:val="both"/>
      </w:pPr>
      <w:r>
        <w:rPr>
          <w:rFonts w:ascii="Times New Roman" w:hAnsi="Times New Roman"/>
          <w:sz w:val="24"/>
          <w:szCs w:val="24"/>
        </w:rPr>
        <w:t xml:space="preserve">•  F6B flux weldment: optimized to contain the lowest sulfur (0.0024%), adequate Mo (0.392%) and a predominantly acicular ferrite microstructure, expected to give the most noble corrosion potential and the lowest corrosion rate of the laboratory fluxes.</w:t>
      </w:r>
    </w:p>
    <w:p>
      <w:pPr>
        <w:ind w:left="720" w:hanging="360"/>
        <w:jc w:val="both"/>
      </w:pPr>
      <w:r>
        <w:rPr>
          <w:rFonts w:ascii="Times New Roman" w:hAnsi="Times New Roman"/>
          <w:sz w:val="24"/>
          <w:szCs w:val="24"/>
        </w:rPr>
        <w:t xml:space="preserve">•  F20B and F22B flux weldments: with very low sulfur content (0.0019% and 0.0011%) and slightly lower Mn content, these may have slightly less passive-film stability but are expected to show intermediate corrosion resistance.</w:t>
      </w:r>
    </w:p>
    <w:p>
      <w:pPr>
        <w:ind w:left="720" w:hanging="360"/>
        <w:jc w:val="both"/>
      </w:pPr>
      <w:r>
        <w:rPr>
          <w:rFonts w:ascii="Times New Roman" w:hAnsi="Times New Roman"/>
          <w:sz w:val="24"/>
          <w:szCs w:val="24"/>
        </w:rPr>
        <w:t xml:space="preserve">•  Commercial flux (CF) weldment: with the highest Mo content (0.412%), but relatively higher sulfur content (0.0070%), the sulfur can offset the alloying benefit, so its corrosion resistance may be comparable to or lower than that of F6B.</w:t>
      </w:r>
    </w:p>
    <w:p>
      <w:pPr>
        <w:ind w:left="720" w:hanging="360"/>
        <w:jc w:val="both"/>
      </w:pPr>
      <w:r>
        <w:rPr>
          <w:rFonts w:ascii="Times New Roman" w:hAnsi="Times New Roman"/>
          <w:sz w:val="24"/>
          <w:szCs w:val="24"/>
        </w:rPr>
        <w:t xml:space="preserve">•  Base metal (API X70): a fine-grained ferrite–pearlite microstructure with controlled alloying, serving as the reference corrosion behaviour against which all weldments are compared.</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Normal" w:default="1">
    <w:name w:val="Normal"/>
    <w:pPr>
      <w:spacing w:after="120" w:line="360" w:lineRule="auto"/>
    </w:pPr>
    <w:rPr>
      <w:rFonts w:ascii="Times New Roman" w:hAnsi="Times New Roman"/>
      <w:sz w:val="24"/>
      <w:szCs w:val="24"/>
    </w:rPr>
  </w:style>
  <w:style w:type="paragraph" w:styleId="Title">
    <w:name w:val="Title"/>
    <w:pPr>
      <w:jc w:val="center"/>
      <w:spacing w:before="240" w:after="240"/>
    </w:pPr>
    <w:rPr>
      <w:rFonts w:ascii="Times New Roman" w:hAnsi="Times New Roman"/>
      <w:b/>
      <w:sz w:val="40"/>
      <w:szCs w:val="40"/>
    </w:rPr>
  </w:style>
  <w:style w:type="paragraph" w:styleId="Heading1">
    <w:name w:val="heading 1"/>
    <w:basedOn w:val="Normal"/>
    <w:pPr>
      <w:spacing w:before="360" w:after="120"/>
      <w:keepNext/>
    </w:pPr>
    <w:rPr>
      <w:rFonts w:ascii="Times New Roman" w:hAnsi="Times New Roman"/>
      <w:b/>
      <w:sz w:val="32"/>
      <w:szCs w:val="32"/>
    </w:rPr>
  </w:style>
  <w:style w:type="paragraph" w:styleId="Heading2">
    <w:name w:val="heading 2"/>
    <w:basedOn w:val="Normal"/>
    <w:pPr>
      <w:spacing w:before="240" w:after="100"/>
      <w:keepNext/>
    </w:pPr>
    <w:rPr>
      <w:rFonts w:ascii="Times New Roman" w:hAnsi="Times New Roman"/>
      <w:b/>
      <w:sz w:val="28"/>
      <w:szCs w:val="28"/>
    </w:rPr>
  </w:style>
  <w:style w:type="paragraph" w:styleId="Heading3">
    <w:name w:val="heading 3"/>
    <w:basedOn w:val="Normal"/>
    <w:pPr>
      <w:spacing w:before="200" w:after="80"/>
      <w:keepNext/>
    </w:pPr>
    <w:rPr>
      <w:rFonts w:ascii="Times New Roman" w:hAnsi="Times New Roman"/>
      <w:b/>
      <w:sz w:val="26"/>
      <w:szCs w:val="26"/>
    </w:rPr>
  </w:style>
  <w:style w:type="paragraph" w:styleId="Heading4">
    <w:name w:val="heading 4"/>
    <w:basedOn w:val="Normal"/>
    <w:pPr>
      <w:spacing w:before="160" w:after="60"/>
      <w:keepNext/>
    </w:pPr>
    <w:rPr>
      <w:rFonts w:ascii="Times New Roman" w:hAnsi="Times New Roman"/>
      <w:b/>
      <w:i/>
      <w:sz w:val="24"/>
      <w:szCs w:val="24"/>
    </w:r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 Id="rIdImg4" Type="http://schemas.openxmlformats.org/officeDocument/2006/relationships/image" Target="media/image4.png"/>
  <Relationship Id="rIdImg5" Type="http://schemas.openxmlformats.org/officeDocument/2006/relationships/image" Target="media/image5.png"/>
  <Relationship Id="rIdImg6" Type="http://schemas.openxmlformats.org/officeDocument/2006/relationships/image" Target="media/image6.png"/>
</Relationships>
</file>