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color w:val="003366"/>
          <w:sz w:val="32"/>
        </w:rPr>
        <w:t>Bio-Integrated Urban Tourism: Green Infrastructure</w:t>
      </w:r>
    </w:p>
    <w:p>
      <w:pPr>
        <w:spacing w:after="80"/>
        <w:jc w:val="center"/>
      </w:pPr>
      <w:r>
        <w:rPr>
          <w:rFonts w:ascii="Times New Roman" w:hAnsi="Times New Roman"/>
          <w:i/>
          <w:sz w:val="22"/>
        </w:rPr>
        <w:t>Book: Bio-Integrated Tourism Design: Living Systems, Computational Innovation, and Ecological Futures</w:t>
      </w:r>
    </w:p>
    <w:p>
      <w:pPr>
        <w:spacing w:after="400"/>
        <w:jc w:val="center"/>
      </w:pPr>
      <w:r>
        <w:rPr>
          <w:rFonts w:ascii="Times New Roman" w:hAnsi="Times New Roman"/>
          <w:i/>
          <w:sz w:val="22"/>
        </w:rPr>
        <w:t>Series: Urban Sustainability</w:t>
      </w:r>
    </w:p>
    <w:p>
      <w:pPr>
        <w:pStyle w:val="Heading1"/>
      </w:pPr>
      <w:r>
        <w:rPr>
          <w:color w:val="003366"/>
        </w:rPr>
        <w:t>Abstract</w:t>
      </w:r>
    </w:p>
    <w:p>
      <w:pPr>
        <w:spacing w:after="120" w:line="360" w:lineRule="auto"/>
      </w:pPr>
      <w:r>
        <w:rPr>
          <w:rFonts w:ascii="Times New Roman" w:hAnsi="Times New Roman"/>
          <w:b w:val="0"/>
          <w:i w:val="0"/>
          <w:sz w:val="22"/>
        </w:rPr>
        <w:t>Bio-integrated urban tourism represents a transformative paradigm that merges ecological living systems with urban tourism infrastructure to create sustainable, resilient, and experientially rich destinations. This chapter examines the foundations, design methodologies, computational approaches, and implementation strategies for green infrastructure within urban tourism contexts. Through a comprehensive analysis of green roofs, vertical gardens, urban wetlands, green corridors, and bioengineered landscapes, we explore how these living systems enhance ecosystem services, mitigate urban environmental challenges, and improve visitor experiences. The integration of smart technologies—including Geographic Information Systems (GIS), Internet of Things (IoT) sensor networks, artificial intelligence, and predictive analytics—enables data-driven planning and adaptive management of bio-integrated tourism spaces. Case studies from leading sustainable cities demonstrate the practical application of these principles, while analyses of environmental and socio-economic benefits underscore the value proposition for stakeholders. We address governance frameworks, policy challenges, and implementation barriers, concluding with a forward-looking perspective on nature-positive, climate-resilient, and digitally connected tourism models that can guide the development of inclusive, adaptive, and ecologically sensitive urban environments for future generations.</w:t>
      </w:r>
    </w:p>
    <w:p>
      <w:pPr>
        <w:spacing w:before="120"/>
      </w:pPr>
      <w:r>
        <w:rPr>
          <w:rFonts w:ascii="Times New Roman" w:hAnsi="Times New Roman"/>
          <w:b/>
          <w:sz w:val="22"/>
        </w:rPr>
        <w:t xml:space="preserve">Keywords: </w:t>
      </w:r>
      <w:r>
        <w:rPr>
          <w:rFonts w:ascii="Times New Roman" w:hAnsi="Times New Roman"/>
          <w:i/>
          <w:sz w:val="22"/>
        </w:rPr>
        <w:t>Bio-integrated tourism; Green infrastructure; Urban sustainability; Smart cities; Ecosystem services; Computational design; Climate resilience; Regenerative urbanism</w:t>
      </w:r>
    </w:p>
    <w:p>
      <w:pPr>
        <w:pStyle w:val="Heading1"/>
      </w:pPr>
      <w:r>
        <w:rPr>
          <w:color w:val="003366"/>
        </w:rPr>
        <w:t>1. Foundations of Bio-Integrated Urban Tourism</w:t>
      </w:r>
    </w:p>
    <w:p>
      <w:pPr>
        <w:pStyle w:val="Heading2"/>
      </w:pPr>
      <w:r>
        <w:rPr>
          <w:color w:val="003366"/>
        </w:rPr>
        <w:t>1.1 Concept and Principles of Bio-Integrated Urban Tourism</w:t>
      </w:r>
    </w:p>
    <w:p>
      <w:pPr>
        <w:spacing w:after="120" w:line="360" w:lineRule="auto"/>
      </w:pPr>
      <w:r>
        <w:rPr>
          <w:rFonts w:ascii="Times New Roman" w:hAnsi="Times New Roman"/>
          <w:b w:val="0"/>
          <w:i w:val="0"/>
          <w:sz w:val="22"/>
        </w:rPr>
        <w:t>Bio-integrated urban tourism is defined as a holistic approach to tourism development that embeds living biological systems, ecological processes, and natural infrastructure directly into the fabric of urban tourism destinations [1]. Unlike conventional tourism development that often displaces or degrades natural environments, bio-integrated approaches seek to harness ecological functions as foundational elements of the tourism experience, simultaneously providing environmental benefits and enhancing visitor engagement [2]. This paradigm emerges from the convergence of several intellectual traditions: urban ecology, biomimicry, landscape architecture, and sustainable tourism science [3].</w:t>
      </w:r>
    </w:p>
    <w:p>
      <w:pPr>
        <w:spacing w:after="120" w:line="360" w:lineRule="auto"/>
      </w:pPr>
      <w:r>
        <w:rPr>
          <w:rFonts w:ascii="Times New Roman" w:hAnsi="Times New Roman"/>
          <w:b w:val="0"/>
          <w:i w:val="0"/>
          <w:sz w:val="22"/>
        </w:rPr>
        <w:t>The evolution of bio-integrated tourism can be traced through three distinct phases. The first phase (1990s–2005) was characterized by isolated green elements within urban tourism—decorative plantings, botanical gardens, and park-based attractions that remained separate from built infrastructure [4]. The second phase (2005–2015) witnessed the integration of functional green infrastructure, including green roofs for energy reduction, bioswales for stormwater management, and urban forests for air quality improvement, though these remained primarily utilitarian rather than tourism-oriented [5]. The current third phase (2015–present) represents true bio-integration, where living systems are designed simultaneously to serve ecological, infrastructural, and experiential functions within tourism destinations [6].</w:t>
      </w:r>
    </w:p>
    <w:p>
      <w:pPr>
        <w:spacing w:after="120" w:line="360" w:lineRule="auto"/>
      </w:pPr>
      <w:r>
        <w:rPr>
          <w:rFonts w:ascii="Times New Roman" w:hAnsi="Times New Roman"/>
          <w:b w:val="0"/>
          <w:i w:val="0"/>
          <w:sz w:val="22"/>
        </w:rPr>
        <w:t>The core principles underlying bio-integrated urban tourism include: (i) multifunctionality, whereby each green infrastructure element serves ecological, social, and economic purposes simultaneously; (ii) connectivity, ensuring biological corridors link green spaces to support wildlife movement and ecosystem coherence; (iii) adaptability, designing systems that can respond to changing climatic conditions and visitor needs; and (iv) regenerativity, creating tourism spaces that actively restore and enhance ecological functions rather than merely minimizing damage [7]. These principles distinguish bio-integrated tourism from conventional sustainable tourism by positioning nature not as a resource to be protected from tourism, but as an active co-creator of the tourism experience [8].</w:t>
      </w:r>
    </w:p>
    <w:p>
      <w:pPr>
        <w:spacing w:after="120" w:line="360" w:lineRule="auto"/>
      </w:pPr>
      <w:r>
        <w:rPr>
          <w:rFonts w:ascii="Times New Roman" w:hAnsi="Times New Roman"/>
          <w:b w:val="0"/>
          <w:i w:val="0"/>
          <w:sz w:val="22"/>
        </w:rPr>
        <w:t>The governance and institutional dimensions of bio-integrated tourism further distinguish it from earlier approaches. Whereas conventional green tourism relied on environmental management as an add-on to existing tourism planning, bio-integrated approaches require fundamental restructuring of planning processes to position ecological design at the center of tourism development decisions. This necessitates new professional roles—urban ecologists embedded within tourism planning teams, computational designers who bridge engineering and ecology, and community engagement specialists who ensure that bio-integrated developments serve diverse stakeholder needs. The institutional innovation required is as significant as the technical innovation, demanding new forms of collaboration between environmental agencies, tourism boards, urban planning departments, technology companies, and community organizations.</w:t>
      </w:r>
    </w:p>
    <w:p>
      <w:pPr>
        <w:spacing w:after="120" w:line="360" w:lineRule="auto"/>
      </w:pPr>
      <w:r>
        <w:rPr>
          <w:rFonts w:ascii="Times New Roman" w:hAnsi="Times New Roman"/>
          <w:b w:val="0"/>
          <w:i w:val="0"/>
          <w:sz w:val="22"/>
        </w:rPr>
        <w:t>The relationship between tourism, biodiversity, and urban sustainability is fundamentally reciprocal. Well-designed green infrastructure attracts visitors through aesthetic appeal, recreational opportunities, and unique ecological experiences, while tourism revenue provides financial justification for continued investment in urban greening [9]. Research demonstrates that cities with higher urban green cover attract 12–28% more visitors than comparable cities with lower green cover, and that tourists are willing to pay premium prices (15–35% higher) for accommodation adjacent to high-quality green spaces [10]. Furthermore, the biodiversity supported by urban green infrastructure creates unique tourism products—birdwatching in urban wetlands, pollinator gardens, and urban forest bathing experiences—that differentiate destinations in an increasingly competitive global tourism market [11].</w:t>
      </w:r>
    </w:p>
    <w:p>
      <w:pPr>
        <w:spacing w:after="120" w:line="360" w:lineRule="auto"/>
      </w:pPr>
      <w:r>
        <w:rPr>
          <w:rFonts w:ascii="Times New Roman" w:hAnsi="Times New Roman"/>
          <w:b w:val="0"/>
          <w:i w:val="0"/>
          <w:sz w:val="22"/>
        </w:rPr>
        <w:t>The theoretical underpinnings of bio-integrated tourism draw upon systems thinking, where cities are understood as complex socio-ecological systems in which tourism, infrastructure, ecology, and human well-being are deeply interconnected. This perspective recognizes that interventions in one domain ripple through others—a new urban wetland simultaneously provides flood protection, water treatment, habitat for migratory birds, recreational space for residents, and a unique attraction for visitors. The concept of biophilic design further informs this approach, drawing on evidence that humans possess an innate affinity for natural environments and that exposure to nature improves cognitive function, reduces stress, and enhances overall well-being. When applied to tourism, biophilic principles ensure that green infrastructure engages visitors at sensory, emotional, and intellectual levels, creating experiences that are memorable, restorative, and educational.</w:t>
      </w:r>
    </w:p>
    <w:p>
      <w:pPr>
        <w:pStyle w:val="Heading2"/>
      </w:pPr>
      <w:r>
        <w:rPr>
          <w:color w:val="003366"/>
        </w:rPr>
        <w:t>1.2 Green Infrastructure for Sustainable Tourism Development</w:t>
      </w:r>
    </w:p>
    <w:p>
      <w:pPr>
        <w:spacing w:after="120" w:line="360" w:lineRule="auto"/>
      </w:pPr>
      <w:r>
        <w:rPr>
          <w:rFonts w:ascii="Times New Roman" w:hAnsi="Times New Roman"/>
          <w:b w:val="0"/>
          <w:i w:val="0"/>
          <w:sz w:val="22"/>
        </w:rPr>
        <w:t>Green infrastructure encompasses a strategically planned network of natural and semi-natural areas with other environmental features designed and managed to deliver a wide range of ecosystem services [12]. Within tourism contexts, these elements serve dual purposes: providing environmental functions essential for urban resilience while simultaneously creating attractive, comfortable, and distinctive spaces that enhance visitor experiences. The primary categories of green infrastructure relevant to urban tourism include extensive and intensive green roofs, living walls and vertical gardens, urban forests and tree canopy networks, constructed wetlands and water features, green corridors and linear parks, and bioengineered landscapes [13].</w:t>
      </w:r>
    </w:p>
    <w:p>
      <w:pPr>
        <w:spacing w:after="120" w:line="360" w:lineRule="auto"/>
      </w:pPr>
      <w:r>
        <w:rPr>
          <w:rFonts w:ascii="Times New Roman" w:hAnsi="Times New Roman"/>
          <w:b w:val="0"/>
          <w:i w:val="0"/>
          <w:sz w:val="22"/>
        </w:rPr>
        <w:t>Green roofs represent one of the most versatile green infrastructure elements for tourism applications. Extensive green roofs (substrate depth &lt;15 cm) provide environmental benefits including stormwater retention (40–70% annual rainfall), thermal insulation (reducing cooling energy by 25–50%), and habitat for invertebrates and ground-nesting birds [14]. Intensive green roofs (substrate depth &gt;15 cm) can support diverse vegetation including shrubs and small trees, creating rooftop gardens that serve as premium tourism amenities for hotels, restaurants, and cultural institutions [15]. As illustrated in Figure 1, the conceptual framework of bio-integrated green infrastructure connects multiple components including green roofs, vertical gardens, smart sensor networks, and ecosystem services into a coherent system that supports urban tourism objectives.</w:t>
      </w:r>
    </w:p>
    <w:p>
      <w:pPr>
        <w:jc w:val="center"/>
      </w:pPr>
      <w:r>
        <w:drawing>
          <wp:inline xmlns:a="http://schemas.openxmlformats.org/drawingml/2006/main" xmlns:pic="http://schemas.openxmlformats.org/drawingml/2006/picture">
            <wp:extent cx="5029200" cy="4077730"/>
            <wp:docPr id="1" name="Picture 1"/>
            <wp:cNvGraphicFramePr>
              <a:graphicFrameLocks noChangeAspect="1"/>
            </wp:cNvGraphicFramePr>
            <a:graphic>
              <a:graphicData uri="http://schemas.openxmlformats.org/drawingml/2006/picture">
                <pic:pic>
                  <pic:nvPicPr>
                    <pic:cNvPr id="0" name="Figure_1_Green_Infrastructure_Framework.png"/>
                    <pic:cNvPicPr/>
                  </pic:nvPicPr>
                  <pic:blipFill>
                    <a:blip r:embed="rId9"/>
                    <a:stretch>
                      <a:fillRect/>
                    </a:stretch>
                  </pic:blipFill>
                  <pic:spPr>
                    <a:xfrm>
                      <a:off x="0" y="0"/>
                      <a:ext cx="5029200" cy="4077730"/>
                    </a:xfrm>
                    <a:prstGeom prst="rect"/>
                  </pic:spPr>
                </pic:pic>
              </a:graphicData>
            </a:graphic>
          </wp:inline>
        </w:drawing>
      </w:r>
    </w:p>
    <w:p>
      <w:pPr>
        <w:spacing w:after="240"/>
        <w:jc w:val="center"/>
      </w:pPr>
      <w:r>
        <w:rPr>
          <w:rFonts w:ascii="Times New Roman" w:hAnsi="Times New Roman"/>
          <w:b/>
          <w:sz w:val="20"/>
        </w:rPr>
        <w:t>Figure 1. Conceptual Framework of Bio-Integrated Green Infrastructure for Urban Tourism</w:t>
      </w:r>
    </w:p>
    <w:p>
      <w:pPr>
        <w:spacing w:after="120" w:line="360" w:lineRule="auto"/>
      </w:pPr>
      <w:r>
        <w:rPr>
          <w:rFonts w:ascii="Times New Roman" w:hAnsi="Times New Roman"/>
          <w:b w:val="0"/>
          <w:i w:val="0"/>
          <w:sz w:val="22"/>
        </w:rPr>
        <w:t>Vertical gardens and living walls extend green infrastructure into the vertical dimension of cities, transforming blank façades into productive ecological surfaces [16]. These systems support tourism through dramatic visual impact, air quality improvement (removing up to 30% of particulate matter from adjacent airstreams), noise reduction (up to 10 dB attenuation), and thermal comfort enhancement for pedestrians. Notable examples include the Bosco Verticale in Milan, which has become a tourism attraction in its own right, drawing over 100,000 visitors annually to view its 20,000 plants distributed across residential towers [17]. Urban wetlands and constructed water features provide multiple tourism benefits including aesthetic value, recreational fishing, birdwatching opportunities, and educational experiences, while simultaneously performing critical functions in flood mitigation, water purification, and microclimate regulation [18].</w:t>
      </w:r>
    </w:p>
    <w:p>
      <w:pPr>
        <w:spacing w:after="120" w:line="360" w:lineRule="auto"/>
      </w:pPr>
      <w:r>
        <w:rPr>
          <w:rFonts w:ascii="Times New Roman" w:hAnsi="Times New Roman"/>
          <w:b w:val="0"/>
          <w:i w:val="0"/>
          <w:sz w:val="22"/>
        </w:rPr>
        <w:t>Green corridors—linear parks, river walks, and vegetated transportation corridors—serve as connective tissue linking urban green spaces into functional ecological networks [19]. For tourism, these corridors provide walking and cycling routes that enable visitors to traverse cities through attractive green environments rather than traffic-dominated streets. The ecosystem services provided by urban green infrastructure—including carbon sequestration, air and water purification, pollination support, and temperature regulation—contribute an estimated $3.8 trillion annually to the global economy [20]. Within tourism contexts, these services translate directly into enhanced destination attractiveness, reduced operational costs for tourism businesses, and improved visitor health and satisfaction outcomes.</w:t>
      </w:r>
    </w:p>
    <w:p>
      <w:pPr>
        <w:spacing w:after="120" w:line="360" w:lineRule="auto"/>
      </w:pPr>
      <w:r>
        <w:rPr>
          <w:rFonts w:ascii="Times New Roman" w:hAnsi="Times New Roman"/>
          <w:b w:val="0"/>
          <w:i w:val="0"/>
          <w:sz w:val="22"/>
        </w:rPr>
        <w:t>Bioengineered landscapes represent an advanced category of green infrastructure that combines engineering precision with ecological functionality. These systems include engineered soil profiles designed for optimal plant growth and water management, modular green infrastructure components that can be assembled and reconfigured as needs change, and hybrid systems that integrate natural processes with technological controls. In tourism contexts, bioengineered landscapes enable the creation of distinctive environments—such as artificial wetlands with controlled water features, living walls with integrated artistic elements, and interactive gardens with responsive plantings—that provide unique experiences unavailable in purely natural settings. The combination of ecological authenticity with engineering control allows tourism operators to guarantee consistent visitor experiences while maintaining genuine ecological function and biodiversity support.</w:t>
      </w:r>
    </w:p>
    <w:p>
      <w:pPr>
        <w:spacing w:before="240" w:after="120"/>
      </w:pPr>
      <w:r>
        <w:rPr>
          <w:rFonts w:ascii="Times New Roman" w:hAnsi="Times New Roman"/>
          <w:b/>
          <w:sz w:val="20"/>
        </w:rPr>
        <w:t>Table 1. Green Infrastructure Types, Ecosystem Services, and Tourism Applications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Green Infrastructure Type</w:t>
            </w:r>
          </w:p>
        </w:tc>
        <w:tc>
          <w:tcPr>
            <w:tcW w:type="dxa" w:w="2340"/>
          </w:tcPr>
          <w:p>
            <w:r>
              <w:rPr>
                <w:rFonts w:ascii="Times New Roman" w:hAnsi="Times New Roman"/>
                <w:b/>
                <w:sz w:val="18"/>
              </w:rPr>
              <w:t>Primary Ecosystem Services</w:t>
            </w:r>
          </w:p>
        </w:tc>
        <w:tc>
          <w:tcPr>
            <w:tcW w:type="dxa" w:w="2340"/>
          </w:tcPr>
          <w:p>
            <w:r>
              <w:rPr>
                <w:rFonts w:ascii="Times New Roman" w:hAnsi="Times New Roman"/>
                <w:b/>
                <w:sz w:val="18"/>
              </w:rPr>
              <w:t>Tourism Benefits</w:t>
            </w:r>
          </w:p>
        </w:tc>
        <w:tc>
          <w:tcPr>
            <w:tcW w:type="dxa" w:w="2340"/>
          </w:tcPr>
          <w:p>
            <w:r>
              <w:rPr>
                <w:rFonts w:ascii="Times New Roman" w:hAnsi="Times New Roman"/>
                <w:b/>
                <w:sz w:val="18"/>
              </w:rPr>
              <w:t>Biodiversity Support</w:t>
            </w:r>
          </w:p>
        </w:tc>
      </w:tr>
      <w:tr>
        <w:tc>
          <w:tcPr>
            <w:tcW w:type="dxa" w:w="2340"/>
          </w:tcPr>
          <w:p>
            <w:r>
              <w:rPr>
                <w:rFonts w:ascii="Times New Roman" w:hAnsi="Times New Roman"/>
                <w:sz w:val="18"/>
              </w:rPr>
              <w:t>Green Roofs (Extensive)</w:t>
            </w:r>
          </w:p>
        </w:tc>
        <w:tc>
          <w:tcPr>
            <w:tcW w:type="dxa" w:w="2340"/>
          </w:tcPr>
          <w:p>
            <w:r>
              <w:rPr>
                <w:rFonts w:ascii="Times New Roman" w:hAnsi="Times New Roman"/>
                <w:sz w:val="18"/>
              </w:rPr>
              <w:t>Stormwater retention, thermal insulation, carbon sequestration</w:t>
            </w:r>
          </w:p>
        </w:tc>
        <w:tc>
          <w:tcPr>
            <w:tcW w:type="dxa" w:w="2340"/>
          </w:tcPr>
          <w:p>
            <w:r>
              <w:rPr>
                <w:rFonts w:ascii="Times New Roman" w:hAnsi="Times New Roman"/>
                <w:sz w:val="18"/>
              </w:rPr>
              <w:t>Visual amenity, rooftop experiences, energy cost reduction</w:t>
            </w:r>
          </w:p>
        </w:tc>
        <w:tc>
          <w:tcPr>
            <w:tcW w:type="dxa" w:w="2340"/>
          </w:tcPr>
          <w:p>
            <w:r>
              <w:rPr>
                <w:rFonts w:ascii="Times New Roman" w:hAnsi="Times New Roman"/>
                <w:sz w:val="18"/>
              </w:rPr>
              <w:t>Invertebrates, mosses, ground-nesting birds</w:t>
            </w:r>
          </w:p>
        </w:tc>
      </w:tr>
      <w:tr>
        <w:tc>
          <w:tcPr>
            <w:tcW w:type="dxa" w:w="2340"/>
          </w:tcPr>
          <w:p>
            <w:r>
              <w:rPr>
                <w:rFonts w:ascii="Times New Roman" w:hAnsi="Times New Roman"/>
                <w:sz w:val="18"/>
              </w:rPr>
              <w:t>Green Roofs (Intensive)</w:t>
            </w:r>
          </w:p>
        </w:tc>
        <w:tc>
          <w:tcPr>
            <w:tcW w:type="dxa" w:w="2340"/>
          </w:tcPr>
          <w:p>
            <w:r>
              <w:rPr>
                <w:rFonts w:ascii="Times New Roman" w:hAnsi="Times New Roman"/>
                <w:sz w:val="18"/>
              </w:rPr>
              <w:t>Urban cooling, habitat creation, food production</w:t>
            </w:r>
          </w:p>
        </w:tc>
        <w:tc>
          <w:tcPr>
            <w:tcW w:type="dxa" w:w="2340"/>
          </w:tcPr>
          <w:p>
            <w:r>
              <w:rPr>
                <w:rFonts w:ascii="Times New Roman" w:hAnsi="Times New Roman"/>
                <w:sz w:val="18"/>
              </w:rPr>
              <w:t>Rooftop gardens, dining experiences, educational tours</w:t>
            </w:r>
          </w:p>
        </w:tc>
        <w:tc>
          <w:tcPr>
            <w:tcW w:type="dxa" w:w="2340"/>
          </w:tcPr>
          <w:p>
            <w:r>
              <w:rPr>
                <w:rFonts w:ascii="Times New Roman" w:hAnsi="Times New Roman"/>
                <w:sz w:val="18"/>
              </w:rPr>
              <w:t>Diverse plants, pollinators, small mammals</w:t>
            </w:r>
          </w:p>
        </w:tc>
      </w:tr>
      <w:tr>
        <w:tc>
          <w:tcPr>
            <w:tcW w:type="dxa" w:w="2340"/>
          </w:tcPr>
          <w:p>
            <w:r>
              <w:rPr>
                <w:rFonts w:ascii="Times New Roman" w:hAnsi="Times New Roman"/>
                <w:sz w:val="18"/>
              </w:rPr>
              <w:t>Vertical Gardens</w:t>
            </w:r>
          </w:p>
        </w:tc>
        <w:tc>
          <w:tcPr>
            <w:tcW w:type="dxa" w:w="2340"/>
          </w:tcPr>
          <w:p>
            <w:r>
              <w:rPr>
                <w:rFonts w:ascii="Times New Roman" w:hAnsi="Times New Roman"/>
                <w:sz w:val="18"/>
              </w:rPr>
              <w:t>Air purification, noise reduction, thermal regulation</w:t>
            </w:r>
          </w:p>
        </w:tc>
        <w:tc>
          <w:tcPr>
            <w:tcW w:type="dxa" w:w="2340"/>
          </w:tcPr>
          <w:p>
            <w:r>
              <w:rPr>
                <w:rFonts w:ascii="Times New Roman" w:hAnsi="Times New Roman"/>
                <w:sz w:val="18"/>
              </w:rPr>
              <w:t>Aesthetic attraction, wayfinding, brand identity</w:t>
            </w:r>
          </w:p>
        </w:tc>
        <w:tc>
          <w:tcPr>
            <w:tcW w:type="dxa" w:w="2340"/>
          </w:tcPr>
          <w:p>
            <w:r>
              <w:rPr>
                <w:rFonts w:ascii="Times New Roman" w:hAnsi="Times New Roman"/>
                <w:sz w:val="18"/>
              </w:rPr>
              <w:t>Epiphytes, insects, small birds</w:t>
            </w:r>
          </w:p>
        </w:tc>
      </w:tr>
      <w:tr>
        <w:tc>
          <w:tcPr>
            <w:tcW w:type="dxa" w:w="2340"/>
          </w:tcPr>
          <w:p>
            <w:r>
              <w:rPr>
                <w:rFonts w:ascii="Times New Roman" w:hAnsi="Times New Roman"/>
                <w:sz w:val="18"/>
              </w:rPr>
              <w:t>Urban Wetlands</w:t>
            </w:r>
          </w:p>
        </w:tc>
        <w:tc>
          <w:tcPr>
            <w:tcW w:type="dxa" w:w="2340"/>
          </w:tcPr>
          <w:p>
            <w:r>
              <w:rPr>
                <w:rFonts w:ascii="Times New Roman" w:hAnsi="Times New Roman"/>
                <w:sz w:val="18"/>
              </w:rPr>
              <w:t>Flood mitigation, water purification, carbon storage</w:t>
            </w:r>
          </w:p>
        </w:tc>
        <w:tc>
          <w:tcPr>
            <w:tcW w:type="dxa" w:w="2340"/>
          </w:tcPr>
          <w:p>
            <w:r>
              <w:rPr>
                <w:rFonts w:ascii="Times New Roman" w:hAnsi="Times New Roman"/>
                <w:sz w:val="18"/>
              </w:rPr>
              <w:t>Birdwatching, nature walks, educational programs</w:t>
            </w:r>
          </w:p>
        </w:tc>
        <w:tc>
          <w:tcPr>
            <w:tcW w:type="dxa" w:w="2340"/>
          </w:tcPr>
          <w:p>
            <w:r>
              <w:rPr>
                <w:rFonts w:ascii="Times New Roman" w:hAnsi="Times New Roman"/>
                <w:sz w:val="18"/>
              </w:rPr>
              <w:t>Aquatic species, waterfowl, amphibians</w:t>
            </w:r>
          </w:p>
        </w:tc>
      </w:tr>
      <w:tr>
        <w:tc>
          <w:tcPr>
            <w:tcW w:type="dxa" w:w="2340"/>
          </w:tcPr>
          <w:p>
            <w:r>
              <w:rPr>
                <w:rFonts w:ascii="Times New Roman" w:hAnsi="Times New Roman"/>
                <w:sz w:val="18"/>
              </w:rPr>
              <w:t>Urban Forests</w:t>
            </w:r>
          </w:p>
        </w:tc>
        <w:tc>
          <w:tcPr>
            <w:tcW w:type="dxa" w:w="2340"/>
          </w:tcPr>
          <w:p>
            <w:r>
              <w:rPr>
                <w:rFonts w:ascii="Times New Roman" w:hAnsi="Times New Roman"/>
                <w:sz w:val="18"/>
              </w:rPr>
              <w:t>Carbon sequestration, UHI mitigation, air quality</w:t>
            </w:r>
          </w:p>
        </w:tc>
        <w:tc>
          <w:tcPr>
            <w:tcW w:type="dxa" w:w="2340"/>
          </w:tcPr>
          <w:p>
            <w:r>
              <w:rPr>
                <w:rFonts w:ascii="Times New Roman" w:hAnsi="Times New Roman"/>
                <w:sz w:val="18"/>
              </w:rPr>
              <w:t>Forest bathing, recreation, cultural events</w:t>
            </w:r>
          </w:p>
        </w:tc>
        <w:tc>
          <w:tcPr>
            <w:tcW w:type="dxa" w:w="2340"/>
          </w:tcPr>
          <w:p>
            <w:r>
              <w:rPr>
                <w:rFonts w:ascii="Times New Roman" w:hAnsi="Times New Roman"/>
                <w:sz w:val="18"/>
              </w:rPr>
              <w:t>Trees, understory plants, mammals, birds</w:t>
            </w:r>
          </w:p>
        </w:tc>
      </w:tr>
      <w:tr>
        <w:tc>
          <w:tcPr>
            <w:tcW w:type="dxa" w:w="2340"/>
          </w:tcPr>
          <w:p>
            <w:r>
              <w:rPr>
                <w:rFonts w:ascii="Times New Roman" w:hAnsi="Times New Roman"/>
                <w:sz w:val="18"/>
              </w:rPr>
              <w:t>Green Corridors</w:t>
            </w:r>
          </w:p>
        </w:tc>
        <w:tc>
          <w:tcPr>
            <w:tcW w:type="dxa" w:w="2340"/>
          </w:tcPr>
          <w:p>
            <w:r>
              <w:rPr>
                <w:rFonts w:ascii="Times New Roman" w:hAnsi="Times New Roman"/>
                <w:sz w:val="18"/>
              </w:rPr>
              <w:t>Habitat connectivity, stormwater management, cooling</w:t>
            </w:r>
          </w:p>
        </w:tc>
        <w:tc>
          <w:tcPr>
            <w:tcW w:type="dxa" w:w="2340"/>
          </w:tcPr>
          <w:p>
            <w:r>
              <w:rPr>
                <w:rFonts w:ascii="Times New Roman" w:hAnsi="Times New Roman"/>
                <w:sz w:val="18"/>
              </w:rPr>
              <w:t>Walking/cycling routes, linear attractions</w:t>
            </w:r>
          </w:p>
        </w:tc>
        <w:tc>
          <w:tcPr>
            <w:tcW w:type="dxa" w:w="2340"/>
          </w:tcPr>
          <w:p>
            <w:r>
              <w:rPr>
                <w:rFonts w:ascii="Times New Roman" w:hAnsi="Times New Roman"/>
                <w:sz w:val="18"/>
              </w:rPr>
              <w:t>Wildlife movement, edge species, pollinators</w:t>
            </w:r>
          </w:p>
        </w:tc>
      </w:tr>
    </w:tbl>
    <w:p/>
    <w:p>
      <w:pPr>
        <w:pStyle w:val="Heading2"/>
      </w:pPr>
      <w:r>
        <w:rPr>
          <w:color w:val="003366"/>
        </w:rPr>
        <w:t>1.3 Urban Environmental Challenges and Tourism</w:t>
      </w:r>
    </w:p>
    <w:p>
      <w:pPr>
        <w:spacing w:after="120" w:line="360" w:lineRule="auto"/>
      </w:pPr>
      <w:r>
        <w:rPr>
          <w:rFonts w:ascii="Times New Roman" w:hAnsi="Times New Roman"/>
          <w:b w:val="0"/>
          <w:i w:val="0"/>
          <w:sz w:val="22"/>
        </w:rPr>
        <w:t>Urban environments face multiple environmental challenges that directly impact tourism quality and sustainability. The urban heat island (UHI) effect, whereby cities experience temperatures 2–8°C higher than surrounding rural areas, significantly reduces visitor comfort during summer months and increases energy consumption for cooling tourism facilities [21]. Green infrastructure provides the most cost-effective approach to UHI mitigation: urban tree canopy reduces ambient temperatures by 1–5°C through evapotranspiration and shading, while green roofs can reduce surface temperatures by up to 30°C compared to conventional roofing materials [22]. As shown in Figure 2, comparative performance metrics demonstrate that urban forests achieve the highest temperature reduction (5.2°C), followed by wetlands (4.1°C) and green roofs (3.5°C).</w:t>
      </w:r>
    </w:p>
    <w:p>
      <w:pPr>
        <w:jc w:val="center"/>
      </w:pPr>
      <w:r>
        <w:drawing>
          <wp:inline xmlns:a="http://schemas.openxmlformats.org/drawingml/2006/main" xmlns:pic="http://schemas.openxmlformats.org/drawingml/2006/picture">
            <wp:extent cx="5029200" cy="4315124"/>
            <wp:docPr id="2" name="Picture 2"/>
            <wp:cNvGraphicFramePr>
              <a:graphicFrameLocks noChangeAspect="1"/>
            </wp:cNvGraphicFramePr>
            <a:graphic>
              <a:graphicData uri="http://schemas.openxmlformats.org/drawingml/2006/picture">
                <pic:pic>
                  <pic:nvPicPr>
                    <pic:cNvPr id="0" name="Figure_2_Performance_Metrics.png"/>
                    <pic:cNvPicPr/>
                  </pic:nvPicPr>
                  <pic:blipFill>
                    <a:blip r:embed="rId10"/>
                    <a:stretch>
                      <a:fillRect/>
                    </a:stretch>
                  </pic:blipFill>
                  <pic:spPr>
                    <a:xfrm>
                      <a:off x="0" y="0"/>
                      <a:ext cx="5029200" cy="4315124"/>
                    </a:xfrm>
                    <a:prstGeom prst="rect"/>
                  </pic:spPr>
                </pic:pic>
              </a:graphicData>
            </a:graphic>
          </wp:inline>
        </w:drawing>
      </w:r>
    </w:p>
    <w:p>
      <w:pPr>
        <w:spacing w:after="240"/>
        <w:jc w:val="center"/>
      </w:pPr>
      <w:r>
        <w:rPr>
          <w:rFonts w:ascii="Times New Roman" w:hAnsi="Times New Roman"/>
          <w:b/>
          <w:sz w:val="20"/>
        </w:rPr>
        <w:t>Figure 2. Comparative Performance Metrics of Green Infrastructure Types for Urban Tourism Applications</w:t>
      </w:r>
    </w:p>
    <w:p>
      <w:pPr>
        <w:spacing w:after="120" w:line="360" w:lineRule="auto"/>
      </w:pPr>
      <w:r>
        <w:rPr>
          <w:rFonts w:ascii="Times New Roman" w:hAnsi="Times New Roman"/>
          <w:b w:val="0"/>
          <w:i w:val="0"/>
          <w:sz w:val="22"/>
        </w:rPr>
        <w:t>Air quality represents another critical challenge for urban tourism destinations. Particulate matter (PM2.5 and PM10), nitrogen oxides (NOx), and ground-level ozone affect visitor health and satisfaction, with studies showing that poor air quality reduces tourism visits by 8–15% in affected cities [23]. Urban vegetation removes significant quantities of air pollutants: a single mature tree can absorb 22 kg of CO2 annually while filtering particulates from approximately 700 cubic meters of air daily [24]. Strategically placed green infrastructure near tourism zones creates protective buffers that substantially improve the microenvironment experienced by visitors.</w:t>
      </w:r>
    </w:p>
    <w:p>
      <w:pPr>
        <w:spacing w:after="120" w:line="360" w:lineRule="auto"/>
      </w:pPr>
      <w:r>
        <w:rPr>
          <w:rFonts w:ascii="Times New Roman" w:hAnsi="Times New Roman"/>
          <w:b w:val="0"/>
          <w:i w:val="0"/>
          <w:sz w:val="22"/>
        </w:rPr>
        <w:t>The relationship between urban environmental quality and tourism competitiveness has become increasingly well-documented in recent years. Cities that invest proactively in environmental quality through green infrastructure attract higher-spending tourists, achieve longer average stays, and generate more positive word-of-mouth marketing through social media and review platforms. Conversely, environmental degradation creates negative feedback loops where declining air quality, increasing heat stress, and loss of natural amenity reduce tourism attractiveness, leading to economic decline that further reduces capacity for environmental investment. Bio-integrated green infrastructure provides a mechanism to break these negative cycles by simultaneously improving environmental quality, enhancing tourism experiences, and generating economic returns that fund continued ecological investment.</w:t>
      </w:r>
    </w:p>
    <w:p>
      <w:pPr>
        <w:spacing w:after="120" w:line="360" w:lineRule="auto"/>
      </w:pPr>
      <w:r>
        <w:rPr>
          <w:rFonts w:ascii="Times New Roman" w:hAnsi="Times New Roman"/>
          <w:b w:val="0"/>
          <w:i w:val="0"/>
          <w:sz w:val="22"/>
        </w:rPr>
        <w:t>Water quality and flood risk management represent increasingly important concerns for tourism infrastructure in an era of climate change. Green infrastructure—particularly bioretention systems, permeable pavements, and constructed wetlands—can manage 80–90% of annual rainfall volumes through infiltration, evapotranspiration, and biological treatment [25]. This not only protects tourism assets from flood damage but also ensures that waterfront tourism zones maintain clean, attractive water features. The challenge of balancing tourism growth with ecological protection requires careful spatial planning to ensure that increased visitor numbers do not degrade the very green infrastructure that attracts them [26]. Carrying capacity assessments, visitor flow management, and adaptive design strategies are essential to maintain this balance.</w:t>
      </w:r>
    </w:p>
    <w:p>
      <w:pPr>
        <w:spacing w:after="120" w:line="360" w:lineRule="auto"/>
      </w:pPr>
      <w:r>
        <w:rPr>
          <w:rFonts w:ascii="Times New Roman" w:hAnsi="Times New Roman"/>
          <w:b w:val="0"/>
          <w:i w:val="0"/>
          <w:sz w:val="22"/>
        </w:rPr>
        <w:t>Noise pollution represents an additional urban environmental challenge that affects tourism quality and is increasingly addressed through green infrastructure interventions. Urban vegetation, particularly dense hedgerows, earth mounds with vegetation, and strategically positioned tree belts, can reduce traffic noise by 5–15 dB, transforming the acoustic environment of tourism zones from stressful to restorative. Research indicates that the combination of natural sounds (birdsong, water, wind through leaves) with visual greenery creates psychologically restorative environments that significantly enhance tourist satisfaction and willingness to recommend destinations. Green infrastructure thus addresses multiple sensory dimensions of the tourism experience simultaneously, creating immersive environments that engage sight, sound, smell, and touch in ways that conventional grey infrastructure cannot replicate.</w:t>
      </w:r>
    </w:p>
    <w:p>
      <w:pPr>
        <w:pStyle w:val="Heading1"/>
      </w:pPr>
      <w:r>
        <w:rPr>
          <w:color w:val="003366"/>
        </w:rPr>
        <w:t>2. Design and Computational Approaches for Green Tourism Infrastructure</w:t>
      </w:r>
    </w:p>
    <w:p>
      <w:pPr>
        <w:pStyle w:val="Heading2"/>
      </w:pPr>
      <w:r>
        <w:rPr>
          <w:color w:val="003366"/>
        </w:rPr>
        <w:t>2.1 Ecological and Computational Design Methods</w:t>
      </w:r>
    </w:p>
    <w:p>
      <w:pPr>
        <w:spacing w:after="120" w:line="360" w:lineRule="auto"/>
      </w:pPr>
      <w:r>
        <w:rPr>
          <w:rFonts w:ascii="Times New Roman" w:hAnsi="Times New Roman"/>
          <w:b w:val="0"/>
          <w:i w:val="0"/>
          <w:sz w:val="22"/>
        </w:rPr>
        <w:t>The design of bio-integrated urban tourism landscapes requires sophisticated methodologies that integrate ecological science with computational tools to optimize multiple performance objectives simultaneously [27]. Data-driven approaches to urban green infrastructure planning leverage diverse datasets—including land use maps, climate data, demographic information, tourism flow patterns, and biodiversity surveys—to identify optimal locations, configurations, and management strategies for green infrastructure investments [28]. Machine learning algorithms process these multidimensional datasets to reveal patterns and relationships that would be impossible to identify through conventional planning methods.</w:t>
      </w:r>
    </w:p>
    <w:p>
      <w:pPr>
        <w:spacing w:after="120" w:line="360" w:lineRule="auto"/>
      </w:pPr>
      <w:r>
        <w:rPr>
          <w:rFonts w:ascii="Times New Roman" w:hAnsi="Times New Roman"/>
          <w:b w:val="0"/>
          <w:i w:val="0"/>
          <w:sz w:val="22"/>
        </w:rPr>
        <w:t>Ecological modelling provides the scientific foundation for understanding how green infrastructure will function within complex urban ecosystems. Species distribution models predict which plant and animal species will colonize new green infrastructure based on local climate, soil conditions, and connectivity to existing habitat patches [29]. Hydrological models simulate stormwater flows and water quality treatment performance under various rainfall scenarios. Microclimate models quantify the thermal benefits of proposed green infrastructure configurations, enabling designers to optimize cooling effects for tourism zones [30]. Environmental simulation tools, including computational fluid dynamics (CFD) for wind and air quality analysis and building energy simulation for thermal performance, allow designers to predict and optimize the performance of green infrastructure before construction.</w:t>
      </w:r>
    </w:p>
    <w:p>
      <w:pPr>
        <w:spacing w:after="120" w:line="360" w:lineRule="auto"/>
      </w:pPr>
      <w:r>
        <w:rPr>
          <w:rFonts w:ascii="Times New Roman" w:hAnsi="Times New Roman"/>
          <w:b w:val="0"/>
          <w:i w:val="0"/>
          <w:sz w:val="22"/>
        </w:rPr>
        <w:t>The integration of multiple modelling approaches—known as coupled or integrated environmental assessment—provides particularly powerful insights for bio-integrated tourism design. By linking microclimate models with pedestrian comfort indices, designers can identify specific locations where green infrastructure interventions will provide maximum thermal comfort benefits for tourists during peak visitation periods. Coupling biodiversity models with visitor movement simulations enables the design of wildlife viewing opportunities that maximize encounter rates while minimizing disturbance to sensitive species. Integrated water-energy-vegetation models reveal synergistic design opportunities—for example, identifying locations where green roof installations simultaneously reduce building cooling loads, manage stormwater, and provide accessible rooftop amenities for hotel guests. These integrated approaches move beyond single-objective optimization to reveal the full multi-benefit potential of bio-integrated designs.</w:t>
      </w:r>
    </w:p>
    <w:p>
      <w:pPr>
        <w:spacing w:after="120" w:line="360" w:lineRule="auto"/>
      </w:pPr>
      <w:r>
        <w:rPr>
          <w:rFonts w:ascii="Times New Roman" w:hAnsi="Times New Roman"/>
          <w:b w:val="0"/>
          <w:i w:val="0"/>
          <w:sz w:val="22"/>
        </w:rPr>
        <w:t>Generative and performance-based design strategies represent the cutting edge of bio-integrated tourism design. These approaches use algorithmic processes to explore vast design spaces and identify solutions that optimize multiple criteria simultaneously—ecological performance, visitor experience, construction cost, and maintenance requirements [31]. Parametric design tools enable designers to define relationships between variables (plant species, spacing, substrate depth, irrigation requirements) and explore how changes in one parameter affect system performance across all dimensions. Multi-objective optimization algorithms then identify Pareto-optimal solutions that represent the best possible trade-offs among competing objectives [32].</w:t>
      </w:r>
    </w:p>
    <w:p>
      <w:pPr>
        <w:spacing w:after="120" w:line="360" w:lineRule="auto"/>
      </w:pPr>
      <w:r>
        <w:rPr>
          <w:rFonts w:ascii="Times New Roman" w:hAnsi="Times New Roman"/>
          <w:b w:val="0"/>
          <w:i w:val="0"/>
          <w:sz w:val="22"/>
        </w:rPr>
        <w:t>Digital twin technology is emerging as a powerful tool for bio-integrated tourism design, enabling the creation of virtual replicas of proposed green infrastructure that can be tested and refined before physical implementation. These digital twins integrate data from IoT sensors, satellite imagery, climate models, and visitor flow analytics to simulate how green infrastructure will perform across different seasons, weather conditions, and usage patterns. Designers can rapidly evaluate hundreds of alternative configurations, testing plant species combinations, layout geometries, and technology integrations to identify optimal solutions. The digital twin continues to serve post-construction as a management tool, receiving real-time data from installed sensors and providing predictive insights for maintenance scheduling, irrigation optimization, and adaptive management decisions that ensure long-term system performance and tourism value.</w:t>
      </w:r>
    </w:p>
    <w:p>
      <w:pPr>
        <w:spacing w:before="240" w:after="120"/>
      </w:pPr>
      <w:r>
        <w:rPr>
          <w:rFonts w:ascii="Times New Roman" w:hAnsi="Times New Roman"/>
          <w:b/>
          <w:sz w:val="20"/>
        </w:rPr>
        <w:t>Table 2. Computational Design Methods for Bio-Integrated Green Tourism Infrastructure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Design Method</w:t>
            </w:r>
          </w:p>
        </w:tc>
        <w:tc>
          <w:tcPr>
            <w:tcW w:type="dxa" w:w="2340"/>
          </w:tcPr>
          <w:p>
            <w:r>
              <w:rPr>
                <w:rFonts w:ascii="Times New Roman" w:hAnsi="Times New Roman"/>
                <w:b/>
                <w:sz w:val="18"/>
              </w:rPr>
              <w:t>Key Tools/Software</w:t>
            </w:r>
          </w:p>
        </w:tc>
        <w:tc>
          <w:tcPr>
            <w:tcW w:type="dxa" w:w="2340"/>
          </w:tcPr>
          <w:p>
            <w:r>
              <w:rPr>
                <w:rFonts w:ascii="Times New Roman" w:hAnsi="Times New Roman"/>
                <w:b/>
                <w:sz w:val="18"/>
              </w:rPr>
              <w:t>Application in Tourism</w:t>
            </w:r>
          </w:p>
        </w:tc>
        <w:tc>
          <w:tcPr>
            <w:tcW w:type="dxa" w:w="2340"/>
          </w:tcPr>
          <w:p>
            <w:r>
              <w:rPr>
                <w:rFonts w:ascii="Times New Roman" w:hAnsi="Times New Roman"/>
                <w:b/>
                <w:sz w:val="18"/>
              </w:rPr>
              <w:t>Output Type</w:t>
            </w:r>
          </w:p>
        </w:tc>
      </w:tr>
      <w:tr>
        <w:tc>
          <w:tcPr>
            <w:tcW w:type="dxa" w:w="2340"/>
          </w:tcPr>
          <w:p>
            <w:r>
              <w:rPr>
                <w:rFonts w:ascii="Times New Roman" w:hAnsi="Times New Roman"/>
                <w:sz w:val="18"/>
              </w:rPr>
              <w:t>Ecological Modelling</w:t>
            </w:r>
          </w:p>
        </w:tc>
        <w:tc>
          <w:tcPr>
            <w:tcW w:type="dxa" w:w="2340"/>
          </w:tcPr>
          <w:p>
            <w:r>
              <w:rPr>
                <w:rFonts w:ascii="Times New Roman" w:hAnsi="Times New Roman"/>
                <w:sz w:val="18"/>
              </w:rPr>
              <w:t>MaxEnt, FRAGSTATS, InVEST</w:t>
            </w:r>
          </w:p>
        </w:tc>
        <w:tc>
          <w:tcPr>
            <w:tcW w:type="dxa" w:w="2340"/>
          </w:tcPr>
          <w:p>
            <w:r>
              <w:rPr>
                <w:rFonts w:ascii="Times New Roman" w:hAnsi="Times New Roman"/>
                <w:sz w:val="18"/>
              </w:rPr>
              <w:t>Biodiversity prediction, habitat design</w:t>
            </w:r>
          </w:p>
        </w:tc>
        <w:tc>
          <w:tcPr>
            <w:tcW w:type="dxa" w:w="2340"/>
          </w:tcPr>
          <w:p>
            <w:r>
              <w:rPr>
                <w:rFonts w:ascii="Times New Roman" w:hAnsi="Times New Roman"/>
                <w:sz w:val="18"/>
              </w:rPr>
              <w:t>Species suitability maps, connectivity indices</w:t>
            </w:r>
          </w:p>
        </w:tc>
      </w:tr>
      <w:tr>
        <w:tc>
          <w:tcPr>
            <w:tcW w:type="dxa" w:w="2340"/>
          </w:tcPr>
          <w:p>
            <w:r>
              <w:rPr>
                <w:rFonts w:ascii="Times New Roman" w:hAnsi="Times New Roman"/>
                <w:sz w:val="18"/>
              </w:rPr>
              <w:t>Hydrological Simulation</w:t>
            </w:r>
          </w:p>
        </w:tc>
        <w:tc>
          <w:tcPr>
            <w:tcW w:type="dxa" w:w="2340"/>
          </w:tcPr>
          <w:p>
            <w:r>
              <w:rPr>
                <w:rFonts w:ascii="Times New Roman" w:hAnsi="Times New Roman"/>
                <w:sz w:val="18"/>
              </w:rPr>
              <w:t>SWMM, MIKE URBAN, HEC-RAS</w:t>
            </w:r>
          </w:p>
        </w:tc>
        <w:tc>
          <w:tcPr>
            <w:tcW w:type="dxa" w:w="2340"/>
          </w:tcPr>
          <w:p>
            <w:r>
              <w:rPr>
                <w:rFonts w:ascii="Times New Roman" w:hAnsi="Times New Roman"/>
                <w:sz w:val="18"/>
              </w:rPr>
              <w:t>Stormwater management, flood prevention</w:t>
            </w:r>
          </w:p>
        </w:tc>
        <w:tc>
          <w:tcPr>
            <w:tcW w:type="dxa" w:w="2340"/>
          </w:tcPr>
          <w:p>
            <w:r>
              <w:rPr>
                <w:rFonts w:ascii="Times New Roman" w:hAnsi="Times New Roman"/>
                <w:sz w:val="18"/>
              </w:rPr>
              <w:t>Runoff predictions, treatment efficiency</w:t>
            </w:r>
          </w:p>
        </w:tc>
      </w:tr>
      <w:tr>
        <w:tc>
          <w:tcPr>
            <w:tcW w:type="dxa" w:w="2340"/>
          </w:tcPr>
          <w:p>
            <w:r>
              <w:rPr>
                <w:rFonts w:ascii="Times New Roman" w:hAnsi="Times New Roman"/>
                <w:sz w:val="18"/>
              </w:rPr>
              <w:t>Microclimate Analysis</w:t>
            </w:r>
          </w:p>
        </w:tc>
        <w:tc>
          <w:tcPr>
            <w:tcW w:type="dxa" w:w="2340"/>
          </w:tcPr>
          <w:p>
            <w:r>
              <w:rPr>
                <w:rFonts w:ascii="Times New Roman" w:hAnsi="Times New Roman"/>
                <w:sz w:val="18"/>
              </w:rPr>
              <w:t>ENVI-met, SOLWEIG, RayMan</w:t>
            </w:r>
          </w:p>
        </w:tc>
        <w:tc>
          <w:tcPr>
            <w:tcW w:type="dxa" w:w="2340"/>
          </w:tcPr>
          <w:p>
            <w:r>
              <w:rPr>
                <w:rFonts w:ascii="Times New Roman" w:hAnsi="Times New Roman"/>
                <w:sz w:val="18"/>
              </w:rPr>
              <w:t>Thermal comfort optimization for visitors</w:t>
            </w:r>
          </w:p>
        </w:tc>
        <w:tc>
          <w:tcPr>
            <w:tcW w:type="dxa" w:w="2340"/>
          </w:tcPr>
          <w:p>
            <w:r>
              <w:rPr>
                <w:rFonts w:ascii="Times New Roman" w:hAnsi="Times New Roman"/>
                <w:sz w:val="18"/>
              </w:rPr>
              <w:t>Temperature maps, comfort indices</w:t>
            </w:r>
          </w:p>
        </w:tc>
      </w:tr>
      <w:tr>
        <w:tc>
          <w:tcPr>
            <w:tcW w:type="dxa" w:w="2340"/>
          </w:tcPr>
          <w:p>
            <w:r>
              <w:rPr>
                <w:rFonts w:ascii="Times New Roman" w:hAnsi="Times New Roman"/>
                <w:sz w:val="18"/>
              </w:rPr>
              <w:t>Generative Design</w:t>
            </w:r>
          </w:p>
        </w:tc>
        <w:tc>
          <w:tcPr>
            <w:tcW w:type="dxa" w:w="2340"/>
          </w:tcPr>
          <w:p>
            <w:r>
              <w:rPr>
                <w:rFonts w:ascii="Times New Roman" w:hAnsi="Times New Roman"/>
                <w:sz w:val="18"/>
              </w:rPr>
              <w:t>Grasshopper, Dynamo, Processing</w:t>
            </w:r>
          </w:p>
        </w:tc>
        <w:tc>
          <w:tcPr>
            <w:tcW w:type="dxa" w:w="2340"/>
          </w:tcPr>
          <w:p>
            <w:r>
              <w:rPr>
                <w:rFonts w:ascii="Times New Roman" w:hAnsi="Times New Roman"/>
                <w:sz w:val="18"/>
              </w:rPr>
              <w:t>Form-finding, space optimization</w:t>
            </w:r>
          </w:p>
        </w:tc>
        <w:tc>
          <w:tcPr>
            <w:tcW w:type="dxa" w:w="2340"/>
          </w:tcPr>
          <w:p>
            <w:r>
              <w:rPr>
                <w:rFonts w:ascii="Times New Roman" w:hAnsi="Times New Roman"/>
                <w:sz w:val="18"/>
              </w:rPr>
              <w:t>Design alternatives, performance scores</w:t>
            </w:r>
          </w:p>
        </w:tc>
      </w:tr>
      <w:tr>
        <w:tc>
          <w:tcPr>
            <w:tcW w:type="dxa" w:w="2340"/>
          </w:tcPr>
          <w:p>
            <w:r>
              <w:rPr>
                <w:rFonts w:ascii="Times New Roman" w:hAnsi="Times New Roman"/>
                <w:sz w:val="18"/>
              </w:rPr>
              <w:t>GIS-based Planning</w:t>
            </w:r>
          </w:p>
        </w:tc>
        <w:tc>
          <w:tcPr>
            <w:tcW w:type="dxa" w:w="2340"/>
          </w:tcPr>
          <w:p>
            <w:r>
              <w:rPr>
                <w:rFonts w:ascii="Times New Roman" w:hAnsi="Times New Roman"/>
                <w:sz w:val="18"/>
              </w:rPr>
              <w:t>ArcGIS, QGIS, Google Earth Engine</w:t>
            </w:r>
          </w:p>
        </w:tc>
        <w:tc>
          <w:tcPr>
            <w:tcW w:type="dxa" w:w="2340"/>
          </w:tcPr>
          <w:p>
            <w:r>
              <w:rPr>
                <w:rFonts w:ascii="Times New Roman" w:hAnsi="Times New Roman"/>
                <w:sz w:val="18"/>
              </w:rPr>
              <w:t>Site selection, spatial analysis</w:t>
            </w:r>
          </w:p>
        </w:tc>
        <w:tc>
          <w:tcPr>
            <w:tcW w:type="dxa" w:w="2340"/>
          </w:tcPr>
          <w:p>
            <w:r>
              <w:rPr>
                <w:rFonts w:ascii="Times New Roman" w:hAnsi="Times New Roman"/>
                <w:sz w:val="18"/>
              </w:rPr>
              <w:t>Suitability maps, overlay analyses</w:t>
            </w:r>
          </w:p>
        </w:tc>
      </w:tr>
      <w:tr>
        <w:tc>
          <w:tcPr>
            <w:tcW w:type="dxa" w:w="2340"/>
          </w:tcPr>
          <w:p>
            <w:r>
              <w:rPr>
                <w:rFonts w:ascii="Times New Roman" w:hAnsi="Times New Roman"/>
                <w:sz w:val="18"/>
              </w:rPr>
              <w:t>CFD Simulation</w:t>
            </w:r>
          </w:p>
        </w:tc>
        <w:tc>
          <w:tcPr>
            <w:tcW w:type="dxa" w:w="2340"/>
          </w:tcPr>
          <w:p>
            <w:r>
              <w:rPr>
                <w:rFonts w:ascii="Times New Roman" w:hAnsi="Times New Roman"/>
                <w:sz w:val="18"/>
              </w:rPr>
              <w:t>ANSYS Fluent, OpenFOAM, Phoenics</w:t>
            </w:r>
          </w:p>
        </w:tc>
        <w:tc>
          <w:tcPr>
            <w:tcW w:type="dxa" w:w="2340"/>
          </w:tcPr>
          <w:p>
            <w:r>
              <w:rPr>
                <w:rFonts w:ascii="Times New Roman" w:hAnsi="Times New Roman"/>
                <w:sz w:val="18"/>
              </w:rPr>
              <w:t>Wind comfort, air quality assessment</w:t>
            </w:r>
          </w:p>
        </w:tc>
        <w:tc>
          <w:tcPr>
            <w:tcW w:type="dxa" w:w="2340"/>
          </w:tcPr>
          <w:p>
            <w:r>
              <w:rPr>
                <w:rFonts w:ascii="Times New Roman" w:hAnsi="Times New Roman"/>
                <w:sz w:val="18"/>
              </w:rPr>
              <w:t>Flow fields, pollutant concentrations</w:t>
            </w:r>
          </w:p>
        </w:tc>
      </w:tr>
      <w:tr>
        <w:tc>
          <w:tcPr>
            <w:tcW w:type="dxa" w:w="2340"/>
          </w:tcPr>
          <w:p>
            <w:r>
              <w:rPr>
                <w:rFonts w:ascii="Times New Roman" w:hAnsi="Times New Roman"/>
                <w:sz w:val="18"/>
              </w:rPr>
              <w:t>BIM Integration</w:t>
            </w:r>
          </w:p>
        </w:tc>
        <w:tc>
          <w:tcPr>
            <w:tcW w:type="dxa" w:w="2340"/>
          </w:tcPr>
          <w:p>
            <w:r>
              <w:rPr>
                <w:rFonts w:ascii="Times New Roman" w:hAnsi="Times New Roman"/>
                <w:sz w:val="18"/>
              </w:rPr>
              <w:t>Revit, ArchiCAD, Vectorworks</w:t>
            </w:r>
          </w:p>
        </w:tc>
        <w:tc>
          <w:tcPr>
            <w:tcW w:type="dxa" w:w="2340"/>
          </w:tcPr>
          <w:p>
            <w:r>
              <w:rPr>
                <w:rFonts w:ascii="Times New Roman" w:hAnsi="Times New Roman"/>
                <w:sz w:val="18"/>
              </w:rPr>
              <w:t>Green building design, lifecycle analysis</w:t>
            </w:r>
          </w:p>
        </w:tc>
        <w:tc>
          <w:tcPr>
            <w:tcW w:type="dxa" w:w="2340"/>
          </w:tcPr>
          <w:p>
            <w:r>
              <w:rPr>
                <w:rFonts w:ascii="Times New Roman" w:hAnsi="Times New Roman"/>
                <w:sz w:val="18"/>
              </w:rPr>
              <w:t>3D models, quantity takeoffs</w:t>
            </w:r>
          </w:p>
        </w:tc>
      </w:tr>
    </w:tbl>
    <w:p/>
    <w:p>
      <w:pPr>
        <w:pStyle w:val="Heading2"/>
      </w:pPr>
      <w:r>
        <w:rPr>
          <w:color w:val="003366"/>
        </w:rPr>
        <w:t>2.2 Smart Technologies for Bio-Integrated Urban Tourism</w:t>
      </w:r>
    </w:p>
    <w:p>
      <w:pPr>
        <w:spacing w:after="120" w:line="360" w:lineRule="auto"/>
      </w:pPr>
      <w:r>
        <w:rPr>
          <w:rFonts w:ascii="Times New Roman" w:hAnsi="Times New Roman"/>
          <w:b w:val="0"/>
          <w:i w:val="0"/>
          <w:sz w:val="22"/>
        </w:rPr>
        <w:t>The integration of smart technologies with green infrastructure creates intelligent, responsive urban ecosystems that can adapt to changing conditions and optimize their performance in real-time [33]. Geographic Information Systems (GIS) and remote sensing technologies provide the spatial intelligence foundation for bio-integrated tourism planning. High-resolution satellite imagery and LiDAR data enable precise mapping of existing urban vegetation, identification of potential greening sites, and monitoring of green infrastructure health and growth over time [34]. GIS-based multi-criteria analysis integrates ecological, social, and economic factors to prioritize green infrastructure investments within tourism zones, ensuring that limited resources achieve maximum impact across multiple objectives.</w:t>
      </w:r>
    </w:p>
    <w:p>
      <w:pPr>
        <w:spacing w:after="120" w:line="360" w:lineRule="auto"/>
      </w:pPr>
      <w:r>
        <w:rPr>
          <w:rFonts w:ascii="Times New Roman" w:hAnsi="Times New Roman"/>
          <w:b w:val="0"/>
          <w:i w:val="0"/>
          <w:sz w:val="22"/>
        </w:rPr>
        <w:t>Remote sensing technologies have evolved rapidly in recent years, providing increasingly detailed and frequent observations of urban green infrastructure performance. Multispectral and hyperspectral satellite imagery enables assessment of vegetation health, species composition, and phenological status across entire cities at weekly or even daily intervals. Thermal infrared sensors quantify the cooling effects of green infrastructure, providing empirical validation of design assumptions and identifying locations where additional greening would provide maximum thermal comfort benefits for tourists. Unmanned aerial vehicles (drones) equipped with specialized sensors offer hyper-local assessment capabilities, enabling detailed monitoring of individual green infrastructure installations—measuring plant growth rates, identifying maintenance needs, and documenting visitor usage patterns at scales too fine for satellite observation.</w:t>
      </w:r>
    </w:p>
    <w:p>
      <w:pPr>
        <w:spacing w:after="120" w:line="360" w:lineRule="auto"/>
      </w:pPr>
      <w:r>
        <w:rPr>
          <w:rFonts w:ascii="Times New Roman" w:hAnsi="Times New Roman"/>
          <w:b w:val="0"/>
          <w:i w:val="0"/>
          <w:sz w:val="22"/>
        </w:rPr>
        <w:t>The Internet of Things (IoT) and environmental sensor networks represent transformative technologies for managing bio-integrated tourism spaces. Networks of low-cost sensors monitoring soil moisture, air quality, temperature, humidity, and visitor presence enable real-time understanding of how green infrastructure is performing and how visitors are interacting with these spaces [35]. This data feeds into automated irrigation systems, adaptive lighting, and visitor information displays that respond dynamically to conditions. For example, smart irrigation systems that adjust watering based on real-time soil moisture and weather forecasts reduce water consumption by 30–50% compared to scheduled irrigation, while ensuring optimal plant health and appearance for tourism purposes.</w:t>
      </w:r>
    </w:p>
    <w:p>
      <w:pPr>
        <w:spacing w:after="120" w:line="360" w:lineRule="auto"/>
      </w:pPr>
      <w:r>
        <w:rPr>
          <w:rFonts w:ascii="Times New Roman" w:hAnsi="Times New Roman"/>
          <w:b w:val="0"/>
          <w:i w:val="0"/>
          <w:sz w:val="22"/>
        </w:rPr>
        <w:t>The deployment of IoT sensor networks within bio-integrated tourism spaces also enables unprecedented understanding of visitor behavior patterns and preferences. Anonymized movement tracking reveals which areas of green infrastructure receive the most visitation, which routes visitors prefer, how long they spend in different zones, and how usage patterns vary by time of day, day of week, and season. This behavioral data enables evidence-based design refinement —identifying underutilized areas that need enhancement, congested zones that require expansion or alternative routing, and temporal patterns that inform programming and event scheduling. When combined with environmental data, these systems reveal correlations between environmental conditions and visitor behavior—for example, identifying the temperature thresholds above which visitors seek shaded areas, or the vegetation types that attract the longest visitor dwell times. This integrated understanding enables iterative optimization of bio-integrated tourism spaces based on empirical evidence rather than designer assumptions.</w:t>
      </w:r>
    </w:p>
    <w:p>
      <w:pPr>
        <w:spacing w:after="120" w:line="360" w:lineRule="auto"/>
      </w:pPr>
      <w:r>
        <w:rPr>
          <w:rFonts w:ascii="Times New Roman" w:hAnsi="Times New Roman"/>
          <w:b w:val="0"/>
          <w:i w:val="0"/>
          <w:sz w:val="22"/>
        </w:rPr>
        <w:t>Artificial intelligence and predictive analytics take smart green infrastructure management to the next level by enabling proactive rather than reactive management. Machine learning models trained on historical environmental and visitor data can predict maintenance needs (such as plant disease outbreaks or irrigation failures) before they become visible problems [36]. Predictive models can also forecast visitor flows based on weather, events, and seasonal patterns, enabling tourism managers to optimize green space access, staff deployment, and facility management. Natural language processing analyzes visitor reviews and social media posts to identify satisfaction drivers and areas for improvement in bio-integrated tourism spaces. The architecture for smart technology integration in bio-integrated urban tourism management is depicted in Figure 3, showing the hierarchical layers from data collection through processing, decision support, and application [37].</w:t>
      </w:r>
    </w:p>
    <w:p>
      <w:pPr>
        <w:jc w:val="center"/>
      </w:pPr>
      <w:r>
        <w:drawing>
          <wp:inline xmlns:a="http://schemas.openxmlformats.org/drawingml/2006/main" xmlns:pic="http://schemas.openxmlformats.org/drawingml/2006/picture">
            <wp:extent cx="5029200" cy="3326599"/>
            <wp:docPr id="3" name="Picture 3"/>
            <wp:cNvGraphicFramePr>
              <a:graphicFrameLocks noChangeAspect="1"/>
            </wp:cNvGraphicFramePr>
            <a:graphic>
              <a:graphicData uri="http://schemas.openxmlformats.org/drawingml/2006/picture">
                <pic:pic>
                  <pic:nvPicPr>
                    <pic:cNvPr id="0" name="Figure_3_Smart_Technology_Architecture.png"/>
                    <pic:cNvPicPr/>
                  </pic:nvPicPr>
                  <pic:blipFill>
                    <a:blip r:embed="rId11"/>
                    <a:stretch>
                      <a:fillRect/>
                    </a:stretch>
                  </pic:blipFill>
                  <pic:spPr>
                    <a:xfrm>
                      <a:off x="0" y="0"/>
                      <a:ext cx="5029200" cy="3326599"/>
                    </a:xfrm>
                    <a:prstGeom prst="rect"/>
                  </pic:spPr>
                </pic:pic>
              </a:graphicData>
            </a:graphic>
          </wp:inline>
        </w:drawing>
      </w:r>
    </w:p>
    <w:p>
      <w:pPr>
        <w:spacing w:after="240"/>
        <w:jc w:val="center"/>
      </w:pPr>
      <w:r>
        <w:rPr>
          <w:rFonts w:ascii="Times New Roman" w:hAnsi="Times New Roman"/>
          <w:b/>
          <w:sz w:val="20"/>
        </w:rPr>
        <w:t>Figure 3. Smart Technology Integration Architecture for Bio-Integrated Urban Tourism Management</w:t>
      </w:r>
    </w:p>
    <w:p>
      <w:pPr>
        <w:pStyle w:val="Heading2"/>
      </w:pPr>
      <w:r>
        <w:rPr>
          <w:color w:val="003366"/>
        </w:rPr>
        <w:t>2.3 Regenerative and Adaptive Urban Tourism Landscapes</w:t>
      </w:r>
    </w:p>
    <w:p>
      <w:pPr>
        <w:spacing w:after="120" w:line="360" w:lineRule="auto"/>
      </w:pPr>
      <w:r>
        <w:rPr>
          <w:rFonts w:ascii="Times New Roman" w:hAnsi="Times New Roman"/>
          <w:b w:val="0"/>
          <w:i w:val="0"/>
          <w:sz w:val="22"/>
        </w:rPr>
        <w:t>Regenerative design goes beyond sustainability—which aims merely to reduce negative impacts—to create urban tourism landscapes that actively restore ecological functions and increase environmental quality over time [38]. This approach recognizes that urban areas, including tourism zones, can become net positive contributors to ecosystem health when designed with regenerative principles. Key strategies include the dynamic integration of living systems with urban infrastructure, where buildings and public spaces become substrates for ecological processes. Living machines that treat wastewater through biological processes, mycoremediation systems that break down pollutants using fungi, and constructed ecosystems that generate food and materials represent examples of regenerative integration.</w:t>
      </w:r>
    </w:p>
    <w:p>
      <w:pPr>
        <w:spacing w:after="120" w:line="360" w:lineRule="auto"/>
      </w:pPr>
      <w:r>
        <w:rPr>
          <w:rFonts w:ascii="Times New Roman" w:hAnsi="Times New Roman"/>
          <w:b w:val="0"/>
          <w:i w:val="0"/>
          <w:sz w:val="22"/>
        </w:rPr>
        <w:t>The temporal dimension of regenerative design is particularly important for tourism contexts. Unlike conventional infrastructure that depreciates over time, regenerative bio-integrated systems appreciate—becoming more ecologically complex, more biodiverse, and more experientially rich as they mature. A newly planted urban forest provides modest tourism value in its early years, but over decades develops into a complex, multi-layered ecosystem that supports diverse wildlife, provides substantial cooling and air purification services, and offers immersive nature experiences that rival natural forests. This appreciation dynamic fundamentally alters the investment case for green infrastructure, as the asset grows in value rather than depreciating—unlike conventional tourism infrastructure that requires continuous capital reinvestment to maintain quality. Tourism operators who invest in regenerative green infrastructure thus create self-improving assets that become more attractive and more valuable with each passing year, providing compounding returns that exceed those of conventional infrastructure investments over long time horizons.</w:t>
      </w:r>
    </w:p>
    <w:p>
      <w:pPr>
        <w:spacing w:after="120" w:line="360" w:lineRule="auto"/>
      </w:pPr>
      <w:r>
        <w:rPr>
          <w:rFonts w:ascii="Times New Roman" w:hAnsi="Times New Roman"/>
          <w:b w:val="0"/>
          <w:i w:val="0"/>
          <w:sz w:val="22"/>
        </w:rPr>
        <w:t>Climate-responsive and resource-efficient tourism spaces employ adaptive strategies that adjust their configuration and management in response to seasonal and long-term climate changes. Deciduous vegetation provides shade during summer while allowing solar gain in winter; adjustable green screens can be deployed or retracted based on conditions; and water-sensitive landscapes shift between dry-adapted and lush conditions based on rainfall patterns [39]. These adaptive approaches ensure that bio-integrated tourism spaces remain functional and attractive under the increasingly variable conditions associated with climate change. The performance metrics shown in Figure 2 demonstrate significantly higher visitor satisfaction scores for green infrastructure compared to conventional approaches across all measured dimensions including aesthetics, air quality, thermal comfort, and biodiversity experience.</w:t>
      </w:r>
    </w:p>
    <w:p>
      <w:pPr>
        <w:spacing w:after="120" w:line="360" w:lineRule="auto"/>
      </w:pPr>
      <w:r>
        <w:rPr>
          <w:rFonts w:ascii="Times New Roman" w:hAnsi="Times New Roman"/>
          <w:b w:val="0"/>
          <w:i w:val="0"/>
          <w:sz w:val="22"/>
        </w:rPr>
        <w:t>Resource efficiency in bio-integrated tourism landscapes extends to water management, energy generation, and material cycling. Rainwater harvesting systems integrated with green roofs and permeable surfaces can supply 50–80% of landscape irrigation needs, reducing municipal water consumption and associated costs. Solar panels integrated with green roof systems demonstrate synergistic performance benefits—the cooling effect of vegetation increases photovoltaic efficiency by 3–8%, while the panels provide partial shade that supports shade-tolerant plant species. Composting systems that process organic waste from tourism operations into growing media for green infrastructure close nutrient loops and reduce waste management costs. These circular approaches transform bio-integrated tourism landscapes from resource consumers into resource generators, fundamentally altering the economic calculus of green infrastructure investment.</w:t>
      </w:r>
    </w:p>
    <w:p>
      <w:pPr>
        <w:spacing w:after="120" w:line="360" w:lineRule="auto"/>
      </w:pPr>
      <w:r>
        <w:rPr>
          <w:rFonts w:ascii="Times New Roman" w:hAnsi="Times New Roman"/>
          <w:b w:val="0"/>
          <w:i w:val="0"/>
          <w:sz w:val="22"/>
        </w:rPr>
        <w:t>Adaptive and regenerative design principles for tourism landscapes include: continuous ecological succession, where planting schemes evolve over time toward greater complexity and biodiversity; circular material flows, where organic waste from tourism operations becomes compost for green infrastructure; and social-ecological feedback loops, where visitor engagement with nature enhances both ecological awareness and willingness to support urban greening investments [40]. These principles create tourism landscapes that improve with age, becoming more ecologically valuable, more biodiverse, and more experientially rich over time—in stark contrast to conventional tourism infrastructure that degrades without continuous capital reinvestment.</w:t>
      </w:r>
    </w:p>
    <w:p>
      <w:pPr>
        <w:spacing w:after="120" w:line="360" w:lineRule="auto"/>
      </w:pPr>
      <w:r>
        <w:rPr>
          <w:rFonts w:ascii="Times New Roman" w:hAnsi="Times New Roman"/>
          <w:b w:val="0"/>
          <w:i w:val="0"/>
          <w:sz w:val="22"/>
        </w:rPr>
        <w:t>The implementation of circular material flows within bio-integrated tourism represents a particularly promising frontier. Food waste from hotel restaurants can be composted on-site to produce growing media for green roofs and living walls. Pruning waste from urban trees can be chipped into mulch for garden paths and biofilter substrates. Greywater from accommodation facilities can be treated through constructed wetlands that simultaneously purify water, support biodiversity, and create attractive landscape features. These circular approaches reduce operational costs while demonstrating sustainability principles to visitors in tangible, visible ways. Some leading eco-hotels have developed these circular systems into tourism experiences themselves—offering behind-the-scenes tours that showcase how organic waste becomes garden fertility, how treated water supports aquatic ecosystems, and how building-integrated agriculture produces ingredients for on-site restaurants. This transparency transforms sustainable operations from hidden backend processes into educational tourism content that differentiates the destination and builds visitor appreciation for ecological principles.</w:t>
      </w:r>
    </w:p>
    <w:p>
      <w:pPr>
        <w:pStyle w:val="Heading1"/>
      </w:pPr>
      <w:r>
        <w:rPr>
          <w:color w:val="003366"/>
        </w:rPr>
        <w:t>3. Applications and Case Studies of Green Urban Tourism</w:t>
      </w:r>
    </w:p>
    <w:p>
      <w:pPr>
        <w:pStyle w:val="Heading2"/>
      </w:pPr>
      <w:r>
        <w:rPr>
          <w:color w:val="003366"/>
        </w:rPr>
        <w:t>3.1 Green Infrastructure in Smart and Sustainable Cities</w:t>
      </w:r>
    </w:p>
    <w:p>
      <w:pPr>
        <w:spacing w:after="120" w:line="360" w:lineRule="auto"/>
      </w:pPr>
      <w:r>
        <w:rPr>
          <w:rFonts w:ascii="Times New Roman" w:hAnsi="Times New Roman"/>
          <w:b w:val="0"/>
          <w:i w:val="0"/>
          <w:sz w:val="22"/>
        </w:rPr>
        <w:t>Several cities have emerged as global leaders in integrating green infrastructure with tourism development, demonstrating successful models that combine ecological performance with economic viability and visitor satisfaction. Singapore's comprehensive green infrastructure strategy—encompassing its Gardens by the Bay, extensive park connector network, and mandatory green building requirements—has positioned the city as a global exemplar of bio-integrated tourism [41]. The city's approach demonstrates how systematic investment in green infrastructure can transform a compact, highly urbanized city-state into a destination marketed as a 'City in a Garden,' attracting over 19 million international visitors annually.</w:t>
      </w:r>
    </w:p>
    <w:p>
      <w:pPr>
        <w:spacing w:after="120" w:line="360" w:lineRule="auto"/>
      </w:pPr>
      <w:r>
        <w:rPr>
          <w:rFonts w:ascii="Times New Roman" w:hAnsi="Times New Roman"/>
          <w:b w:val="0"/>
          <w:i w:val="0"/>
          <w:sz w:val="22"/>
        </w:rPr>
        <w:t>Singapore's success is particularly instructive because it demonstrates the long-term economic returns of sustained green infrastructure investment. Over four decades of progressive greening policy—from basic street tree planting in the 1960s through the development of rooftop gardens and vertical greening in the 2000s to the creation of iconic bio-integrated attractions like Gardens by the Bay—the city has built a globally recognized brand identity centered on nature-urban integration. The economic analysis reveals that Gardens by the Bay alone generates over $1.5 billion in annual economic impact through direct visitor spending, property value enhancement in surrounding areas, and international marketing exposure. This demonstrates that bio-integrated tourism infrastructure, when designed and managed effectively, can deliver returns that far exceed those of conventional tourism attractions while simultaneously providing environmental and social benefits.</w:t>
      </w:r>
    </w:p>
    <w:p>
      <w:pPr>
        <w:spacing w:after="120" w:line="360" w:lineRule="auto"/>
      </w:pPr>
      <w:r>
        <w:rPr>
          <w:rFonts w:ascii="Times New Roman" w:hAnsi="Times New Roman"/>
          <w:b w:val="0"/>
          <w:i w:val="0"/>
          <w:sz w:val="22"/>
        </w:rPr>
        <w:t>Copenhagen's integration of green infrastructure with its cycling and waterfront tourism infrastructure illustrates how climate adaptation can be combined with tourism enhancement. The city's cloudburst management plan transforms potential flood risks into recreational assets—parks that serve as tourism amenities during dry conditions while providing flood storage during extreme rainfall events. Melbourne's urban forest strategy aims to increase canopy cover from 22% to 40% by 2040, with explicit recognition of the tourism benefits including thermal comfort for pedestrian tourists and enhanced aesthetic appeal of key tourism precincts [42]. Barcelona's superblock program demonstrates how traffic reduction combined with intensive greening can transform urban neighborhoods into attractive tourism zones while simultaneously improving air quality and reducing heat stress for residents and visitors alike.</w:t>
      </w:r>
    </w:p>
    <w:p>
      <w:pPr>
        <w:spacing w:before="240" w:after="120"/>
      </w:pPr>
      <w:r>
        <w:rPr>
          <w:rFonts w:ascii="Times New Roman" w:hAnsi="Times New Roman"/>
          <w:b/>
          <w:sz w:val="20"/>
        </w:rPr>
        <w:t>Table 3. Leading Cities in Bio-Integrated Green Tourism Infrastructure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City</w:t>
            </w:r>
          </w:p>
        </w:tc>
        <w:tc>
          <w:tcPr>
            <w:tcW w:type="dxa" w:w="2340"/>
          </w:tcPr>
          <w:p>
            <w:r>
              <w:rPr>
                <w:rFonts w:ascii="Times New Roman" w:hAnsi="Times New Roman"/>
                <w:b/>
                <w:sz w:val="18"/>
              </w:rPr>
              <w:t>Key Green Infrastructure Strategy</w:t>
            </w:r>
          </w:p>
        </w:tc>
        <w:tc>
          <w:tcPr>
            <w:tcW w:type="dxa" w:w="2340"/>
          </w:tcPr>
          <w:p>
            <w:r>
              <w:rPr>
                <w:rFonts w:ascii="Times New Roman" w:hAnsi="Times New Roman"/>
                <w:b/>
                <w:sz w:val="18"/>
              </w:rPr>
              <w:t>Tourism Impact</w:t>
            </w:r>
          </w:p>
        </w:tc>
        <w:tc>
          <w:tcPr>
            <w:tcW w:type="dxa" w:w="2340"/>
          </w:tcPr>
          <w:p>
            <w:r>
              <w:rPr>
                <w:rFonts w:ascii="Times New Roman" w:hAnsi="Times New Roman"/>
                <w:b/>
                <w:sz w:val="18"/>
              </w:rPr>
              <w:t>Annual Green Tourism Visitors (millions)</w:t>
            </w:r>
          </w:p>
        </w:tc>
      </w:tr>
      <w:tr>
        <w:tc>
          <w:tcPr>
            <w:tcW w:type="dxa" w:w="2340"/>
          </w:tcPr>
          <w:p>
            <w:r>
              <w:rPr>
                <w:rFonts w:ascii="Times New Roman" w:hAnsi="Times New Roman"/>
                <w:sz w:val="18"/>
              </w:rPr>
              <w:t>Singapore</w:t>
            </w:r>
          </w:p>
        </w:tc>
        <w:tc>
          <w:tcPr>
            <w:tcW w:type="dxa" w:w="2340"/>
          </w:tcPr>
          <w:p>
            <w:r>
              <w:rPr>
                <w:rFonts w:ascii="Times New Roman" w:hAnsi="Times New Roman"/>
                <w:sz w:val="18"/>
              </w:rPr>
              <w:t>Gardens by the Bay, park connectors, vertical greening</w:t>
            </w:r>
          </w:p>
        </w:tc>
        <w:tc>
          <w:tcPr>
            <w:tcW w:type="dxa" w:w="2340"/>
          </w:tcPr>
          <w:p>
            <w:r>
              <w:rPr>
                <w:rFonts w:ascii="Times New Roman" w:hAnsi="Times New Roman"/>
                <w:sz w:val="18"/>
              </w:rPr>
              <w:t>Global brand as "City in a Garden"</w:t>
            </w:r>
          </w:p>
        </w:tc>
        <w:tc>
          <w:tcPr>
            <w:tcW w:type="dxa" w:w="2340"/>
          </w:tcPr>
          <w:p>
            <w:r>
              <w:rPr>
                <w:rFonts w:ascii="Times New Roman" w:hAnsi="Times New Roman"/>
                <w:sz w:val="18"/>
              </w:rPr>
              <w:t>19.1</w:t>
            </w:r>
          </w:p>
        </w:tc>
      </w:tr>
      <w:tr>
        <w:tc>
          <w:tcPr>
            <w:tcW w:type="dxa" w:w="2340"/>
          </w:tcPr>
          <w:p>
            <w:r>
              <w:rPr>
                <w:rFonts w:ascii="Times New Roman" w:hAnsi="Times New Roman"/>
                <w:sz w:val="18"/>
              </w:rPr>
              <w:t>Copenhagen</w:t>
            </w:r>
          </w:p>
        </w:tc>
        <w:tc>
          <w:tcPr>
            <w:tcW w:type="dxa" w:w="2340"/>
          </w:tcPr>
          <w:p>
            <w:r>
              <w:rPr>
                <w:rFonts w:ascii="Times New Roman" w:hAnsi="Times New Roman"/>
                <w:sz w:val="18"/>
              </w:rPr>
              <w:t>Cloudburst parks, green cycling corridors, harbor baths</w:t>
            </w:r>
          </w:p>
        </w:tc>
        <w:tc>
          <w:tcPr>
            <w:tcW w:type="dxa" w:w="2340"/>
          </w:tcPr>
          <w:p>
            <w:r>
              <w:rPr>
                <w:rFonts w:ascii="Times New Roman" w:hAnsi="Times New Roman"/>
                <w:sz w:val="18"/>
              </w:rPr>
              <w:t>Sustainable tourism destination branding</w:t>
            </w:r>
          </w:p>
        </w:tc>
        <w:tc>
          <w:tcPr>
            <w:tcW w:type="dxa" w:w="2340"/>
          </w:tcPr>
          <w:p>
            <w:r>
              <w:rPr>
                <w:rFonts w:ascii="Times New Roman" w:hAnsi="Times New Roman"/>
                <w:sz w:val="18"/>
              </w:rPr>
              <w:t>12.7</w:t>
            </w:r>
          </w:p>
        </w:tc>
      </w:tr>
      <w:tr>
        <w:tc>
          <w:tcPr>
            <w:tcW w:type="dxa" w:w="2340"/>
          </w:tcPr>
          <w:p>
            <w:r>
              <w:rPr>
                <w:rFonts w:ascii="Times New Roman" w:hAnsi="Times New Roman"/>
                <w:sz w:val="18"/>
              </w:rPr>
              <w:t>Melbourne</w:t>
            </w:r>
          </w:p>
        </w:tc>
        <w:tc>
          <w:tcPr>
            <w:tcW w:type="dxa" w:w="2340"/>
          </w:tcPr>
          <w:p>
            <w:r>
              <w:rPr>
                <w:rFonts w:ascii="Times New Roman" w:hAnsi="Times New Roman"/>
                <w:sz w:val="18"/>
              </w:rPr>
              <w:t>Urban forest strategy, green laneways, wetland parks</w:t>
            </w:r>
          </w:p>
        </w:tc>
        <w:tc>
          <w:tcPr>
            <w:tcW w:type="dxa" w:w="2340"/>
          </w:tcPr>
          <w:p>
            <w:r>
              <w:rPr>
                <w:rFonts w:ascii="Times New Roman" w:hAnsi="Times New Roman"/>
                <w:sz w:val="18"/>
              </w:rPr>
              <w:t>Enhanced walkability, nature-based experiences</w:t>
            </w:r>
          </w:p>
        </w:tc>
        <w:tc>
          <w:tcPr>
            <w:tcW w:type="dxa" w:w="2340"/>
          </w:tcPr>
          <w:p>
            <w:r>
              <w:rPr>
                <w:rFonts w:ascii="Times New Roman" w:hAnsi="Times New Roman"/>
                <w:sz w:val="18"/>
              </w:rPr>
              <w:t>10.3</w:t>
            </w:r>
          </w:p>
        </w:tc>
      </w:tr>
      <w:tr>
        <w:tc>
          <w:tcPr>
            <w:tcW w:type="dxa" w:w="2340"/>
          </w:tcPr>
          <w:p>
            <w:r>
              <w:rPr>
                <w:rFonts w:ascii="Times New Roman" w:hAnsi="Times New Roman"/>
                <w:sz w:val="18"/>
              </w:rPr>
              <w:t>Barcelona</w:t>
            </w:r>
          </w:p>
        </w:tc>
        <w:tc>
          <w:tcPr>
            <w:tcW w:type="dxa" w:w="2340"/>
          </w:tcPr>
          <w:p>
            <w:r>
              <w:rPr>
                <w:rFonts w:ascii="Times New Roman" w:hAnsi="Times New Roman"/>
                <w:sz w:val="18"/>
              </w:rPr>
              <w:t>Superblocks, green axes, urban canopy expansion</w:t>
            </w:r>
          </w:p>
        </w:tc>
        <w:tc>
          <w:tcPr>
            <w:tcW w:type="dxa" w:w="2340"/>
          </w:tcPr>
          <w:p>
            <w:r>
              <w:rPr>
                <w:rFonts w:ascii="Times New Roman" w:hAnsi="Times New Roman"/>
                <w:sz w:val="18"/>
              </w:rPr>
              <w:t>Pedestrian tourism zones, reduced UHI</w:t>
            </w:r>
          </w:p>
        </w:tc>
        <w:tc>
          <w:tcPr>
            <w:tcW w:type="dxa" w:w="2340"/>
          </w:tcPr>
          <w:p>
            <w:r>
              <w:rPr>
                <w:rFonts w:ascii="Times New Roman" w:hAnsi="Times New Roman"/>
                <w:sz w:val="18"/>
              </w:rPr>
              <w:t>15.8</w:t>
            </w:r>
          </w:p>
        </w:tc>
      </w:tr>
      <w:tr>
        <w:tc>
          <w:tcPr>
            <w:tcW w:type="dxa" w:w="2340"/>
          </w:tcPr>
          <w:p>
            <w:r>
              <w:rPr>
                <w:rFonts w:ascii="Times New Roman" w:hAnsi="Times New Roman"/>
                <w:sz w:val="18"/>
              </w:rPr>
              <w:t>Seoul</w:t>
            </w:r>
          </w:p>
        </w:tc>
        <w:tc>
          <w:tcPr>
            <w:tcW w:type="dxa" w:w="2340"/>
          </w:tcPr>
          <w:p>
            <w:r>
              <w:rPr>
                <w:rFonts w:ascii="Times New Roman" w:hAnsi="Times New Roman"/>
                <w:sz w:val="18"/>
              </w:rPr>
              <w:t>Cheonggyecheon stream restoration, urban parks</w:t>
            </w:r>
          </w:p>
        </w:tc>
        <w:tc>
          <w:tcPr>
            <w:tcW w:type="dxa" w:w="2340"/>
          </w:tcPr>
          <w:p>
            <w:r>
              <w:rPr>
                <w:rFonts w:ascii="Times New Roman" w:hAnsi="Times New Roman"/>
                <w:sz w:val="18"/>
              </w:rPr>
              <w:t>Cultural-ecological tourism attraction</w:t>
            </w:r>
          </w:p>
        </w:tc>
        <w:tc>
          <w:tcPr>
            <w:tcW w:type="dxa" w:w="2340"/>
          </w:tcPr>
          <w:p>
            <w:r>
              <w:rPr>
                <w:rFonts w:ascii="Times New Roman" w:hAnsi="Times New Roman"/>
                <w:sz w:val="18"/>
              </w:rPr>
              <w:t>13.5</w:t>
            </w:r>
          </w:p>
        </w:tc>
      </w:tr>
      <w:tr>
        <w:tc>
          <w:tcPr>
            <w:tcW w:type="dxa" w:w="2340"/>
          </w:tcPr>
          <w:p>
            <w:r>
              <w:rPr>
                <w:rFonts w:ascii="Times New Roman" w:hAnsi="Times New Roman"/>
                <w:sz w:val="18"/>
              </w:rPr>
              <w:t>Portland</w:t>
            </w:r>
          </w:p>
        </w:tc>
        <w:tc>
          <w:tcPr>
            <w:tcW w:type="dxa" w:w="2340"/>
          </w:tcPr>
          <w:p>
            <w:r>
              <w:rPr>
                <w:rFonts w:ascii="Times New Roman" w:hAnsi="Times New Roman"/>
                <w:sz w:val="18"/>
              </w:rPr>
              <w:t>Green streets, ecoroofs, urban growth boundary</w:t>
            </w:r>
          </w:p>
        </w:tc>
        <w:tc>
          <w:tcPr>
            <w:tcW w:type="dxa" w:w="2340"/>
          </w:tcPr>
          <w:p>
            <w:r>
              <w:rPr>
                <w:rFonts w:ascii="Times New Roman" w:hAnsi="Times New Roman"/>
                <w:sz w:val="18"/>
              </w:rPr>
              <w:t>Eco-tourism brand, cycling tourism</w:t>
            </w:r>
          </w:p>
        </w:tc>
        <w:tc>
          <w:tcPr>
            <w:tcW w:type="dxa" w:w="2340"/>
          </w:tcPr>
          <w:p>
            <w:r>
              <w:rPr>
                <w:rFonts w:ascii="Times New Roman" w:hAnsi="Times New Roman"/>
                <w:sz w:val="18"/>
              </w:rPr>
              <w:t>8.9</w:t>
            </w:r>
          </w:p>
        </w:tc>
      </w:tr>
    </w:tbl>
    <w:p/>
    <w:p>
      <w:pPr>
        <w:spacing w:after="120" w:line="360" w:lineRule="auto"/>
      </w:pPr>
      <w:r>
        <w:rPr>
          <w:rFonts w:ascii="Times New Roman" w:hAnsi="Times New Roman"/>
          <w:b w:val="0"/>
          <w:i w:val="0"/>
          <w:sz w:val="22"/>
        </w:rPr>
        <w:t>Smart-city technologies increasingly support ecological tourism by providing visitors with real-time information about green spaces, air quality, and biodiversity sightings through mobile applications and digital displays. Seoul's restoration of the Cheonggyecheon stream—transforming a buried waterway beneath a highway into a 5.8-km urban ecosystem corridor—demonstrates how bold green infrastructure investments can create iconic tourism attractions while delivering flood management, biodiversity, and microclimate benefits [43]. The integration of these technological and ecological approaches, as depicted in the framework shown in Figure 1, represents the emerging paradigm for future-ready urban tourism destinations that can adapt to climate change while enhancing visitor experiences.</w:t>
      </w:r>
    </w:p>
    <w:p>
      <w:pPr>
        <w:spacing w:after="120" w:line="360" w:lineRule="auto"/>
      </w:pPr>
      <w:r>
        <w:rPr>
          <w:rFonts w:ascii="Times New Roman" w:hAnsi="Times New Roman"/>
          <w:b w:val="0"/>
          <w:i w:val="0"/>
          <w:sz w:val="22"/>
        </w:rPr>
        <w:t>Portland, Oregon provides an instructive North American example, where the city's extensive green street program has transformed hundreds of standard roadways into stormwater-managing green corridors that simultaneously serve as attractive pedestrian routes connecting tourism destinations. The city's ecoroof program, offering financial incentives for green roof installation, has created a rooftop landscape that has itself become a tourism attraction through guided tours showcasing sustainable urban design. These diverse case studies collectively demonstrate that bio-integrated green tourism infrastructure is achievable across different climatic zones, governance systems, economic contexts, and cultural traditions, though the specific technologies and approaches must be adapted to local conditions and priorities.</w:t>
      </w:r>
    </w:p>
    <w:p>
      <w:pPr>
        <w:pStyle w:val="Heading2"/>
      </w:pPr>
      <w:r>
        <w:rPr>
          <w:color w:val="003366"/>
        </w:rPr>
        <w:t>3.2 Eco-Tourism Applications and Visitor Experience</w:t>
      </w:r>
    </w:p>
    <w:p>
      <w:pPr>
        <w:spacing w:after="120" w:line="360" w:lineRule="auto"/>
      </w:pPr>
      <w:r>
        <w:rPr>
          <w:rFonts w:ascii="Times New Roman" w:hAnsi="Times New Roman"/>
          <w:b w:val="0"/>
          <w:i w:val="0"/>
          <w:sz w:val="22"/>
        </w:rPr>
        <w:t>The application of bio-integrated design principles extends across multiple scales of tourism infrastructure, from individual eco-lodges and green hotels to public spaces and nature-based attractions. Eco-lodges that incorporate living roofs, natural ventilation systems, and on-site wetland wastewater treatment demonstrate how accommodation can be fully integrated with ecological systems while maintaining luxury comfort standards [8]. Green public spaces designed for tourism incorporate multi-sensory experiences: fragrant gardens, textured bark trails, water features with varying sounds, and seasonal color displays that create memorable and distinctive experiences unavailable in conventional urban environments.</w:t>
      </w:r>
    </w:p>
    <w:p>
      <w:pPr>
        <w:spacing w:after="120" w:line="360" w:lineRule="auto"/>
      </w:pPr>
      <w:r>
        <w:rPr>
          <w:rFonts w:ascii="Times New Roman" w:hAnsi="Times New Roman"/>
          <w:b w:val="0"/>
          <w:i w:val="0"/>
          <w:sz w:val="22"/>
        </w:rPr>
        <w:t>Nature-based attractions within urban green infrastructure provide unique selling points for tourism destinations. Urban birdwatching trails through wetlands and forest patches, butterfly gardens featuring host plants for local species, community food gardens offering farm-to-table experiences, and therapeutic landscapes designed for stress reduction all represent tourism products enabled by bio-integrated design. Research demonstrates that exposure to urban green spaces reduces visitor stress hormones (cortisol) by 12–28% within 20 minutes, enhances mood and cognitive function, and increases overall trip satisfaction ratings by 15–25% compared to visits focused solely on built attractions [2].</w:t>
      </w:r>
    </w:p>
    <w:p>
      <w:pPr>
        <w:spacing w:after="120" w:line="360" w:lineRule="auto"/>
      </w:pPr>
      <w:r>
        <w:rPr>
          <w:rFonts w:ascii="Times New Roman" w:hAnsi="Times New Roman"/>
          <w:b w:val="0"/>
          <w:i w:val="0"/>
          <w:sz w:val="22"/>
        </w:rPr>
        <w:t>The concept of therapeutic landscapes has gained significant traction in tourism research and practice, with growing evidence that nature-immersive experiences provide measurable health benefits that can be marketed as tourism products. Forest bathing (shinrin-yoku), originally developed in Japan, has been adapted for urban contexts through the creation of dedicated sensory paths within urban forests, designed to maximize exposure to phytoncides (volatile organic compounds released by trees) and provide multisensory engagement with natural environments. Urban wellness tourism—incorporating green spaces, clean air zones, and biophilic accommodation—represents one of the fastest-growing segments of the global tourism market, with estimated annual growth rates exceeding 15% in recent years. This trend creates strong commercial incentives for cities to invest in bio-integrated tourism infrastructure that supports health and wellness experiences.</w:t>
      </w:r>
    </w:p>
    <w:p>
      <w:pPr>
        <w:spacing w:after="120" w:line="360" w:lineRule="auto"/>
      </w:pPr>
      <w:r>
        <w:rPr>
          <w:rFonts w:ascii="Times New Roman" w:hAnsi="Times New Roman"/>
          <w:b w:val="0"/>
          <w:i w:val="0"/>
          <w:sz w:val="22"/>
        </w:rPr>
        <w:t>The improvement of aesthetic, recreational, and cultural tourism value through green infrastructure is particularly significant for destination competitiveness. Visual quality assessments consistently show that urban landscapes with &gt;30% green cover are rated significantly more attractive than those dominated by hard surfaces [10]. Green infrastructure also provides opportunities for cultural tourism experiences: heritage orchards preserving traditional fruit varieties, ethnobotanical gardens showcasing indigenous plant knowledge, and community gardens where visitors can participate in local food culture. These cultural dimensions add depth and authenticity to tourism experiences while supporting cultural preservation and community engagement.</w:t>
      </w:r>
    </w:p>
    <w:p>
      <w:pPr>
        <w:pStyle w:val="Heading2"/>
      </w:pPr>
      <w:r>
        <w:rPr>
          <w:color w:val="003366"/>
        </w:rPr>
        <w:t>3.3 Environmental and Socio-Economic Benefits</w:t>
      </w:r>
    </w:p>
    <w:p>
      <w:pPr>
        <w:spacing w:after="120" w:line="360" w:lineRule="auto"/>
      </w:pPr>
      <w:r>
        <w:rPr>
          <w:rFonts w:ascii="Times New Roman" w:hAnsi="Times New Roman"/>
          <w:b w:val="0"/>
          <w:i w:val="0"/>
          <w:sz w:val="22"/>
        </w:rPr>
        <w:t>The environmental benefits of bio-integrated urban tourism infrastructure extend far beyond the immediate tourism context, contributing to city-wide ecological goals including biodiversity conservation, climate mitigation, and ecosystem restoration. Urban green infrastructure in tourism zones supports significant biodiversity: studies document that well-designed urban green spaces can support 50–80% of regional native plant species and provide critical habitat for pollinators, birds, and small mammals that have been displaced by conventional urban development [29]. This biodiversity, in turn, enhances ecosystem resilience—the capacity of urban ecosystems to absorb disturbances while maintaining their essential functions and services.</w:t>
      </w:r>
    </w:p>
    <w:p>
      <w:pPr>
        <w:spacing w:after="120" w:line="360" w:lineRule="auto"/>
      </w:pPr>
      <w:r>
        <w:rPr>
          <w:rFonts w:ascii="Times New Roman" w:hAnsi="Times New Roman"/>
          <w:b w:val="0"/>
          <w:i w:val="0"/>
          <w:sz w:val="22"/>
        </w:rPr>
        <w:t>Climate resilience represents a critical benefit as cities face increasing heat waves, extreme rainfall, and sea-level rise. Bio-integrated tourism infrastructure provides natural climate adaptation: tree canopy and green spaces reduce peak temperatures during heat waves, permeable surfaces and wetlands manage extreme rainfall, and coastal bio-infrastructure (mangroves, salt marshes, oyster reefs) provides protection against storm surges [22]. The economic co-benefits are substantial: every dollar invested in urban green infrastructure returns an estimated $4–12 in ecosystem service benefits, including reduced healthcare costs, lower energy bills, increased property values, and enhanced tourism revenue. The technology integration architecture shown in Figure 3 enables quantification and optimization of these multi-dimensional benefits through continuous monitoring and predictive analytics.</w:t>
      </w:r>
    </w:p>
    <w:p>
      <w:pPr>
        <w:spacing w:after="120" w:line="360" w:lineRule="auto"/>
      </w:pPr>
      <w:r>
        <w:rPr>
          <w:rFonts w:ascii="Times New Roman" w:hAnsi="Times New Roman"/>
          <w:b w:val="0"/>
          <w:i w:val="0"/>
          <w:sz w:val="22"/>
        </w:rPr>
        <w:t>Socio-economic benefits include direct and indirect employment generation, inclusive tourism development, and community well-being enhancement. Green infrastructure development and maintenance create skilled employment in horticulture, ecology, technology, and tourism management. Inclusive tourism is supported through free-access green public spaces that provide recreational and health benefits to residents and visitors regardless of economic status [9]. Studies indicate that neighborhoods with high-quality green infrastructure experience 5–15% higher property values, reduced crime rates, improved mental health outcomes, and stronger community cohesion—all of which contribute to the attractiveness and safety of tourism precincts.</w:t>
      </w:r>
    </w:p>
    <w:p>
      <w:pPr>
        <w:spacing w:after="120" w:line="360" w:lineRule="auto"/>
      </w:pPr>
      <w:r>
        <w:rPr>
          <w:rFonts w:ascii="Times New Roman" w:hAnsi="Times New Roman"/>
          <w:b w:val="0"/>
          <w:i w:val="0"/>
          <w:sz w:val="22"/>
        </w:rPr>
        <w:t>The multiplier effects of bio-integrated tourism investment extend throughout local economies. Green infrastructure construction engages local suppliers of plants, growing media, structural components, and technology systems. Ongoing maintenance creates permanent employment in landscape management, ecological monitoring, and technology support. Tourism businesses benefit from enhanced property values, reduced energy costs (through natural cooling and insulation), and differentiated market positioning that commands premium pricing. Furthermore, improved environmental quality reduces public health expenditures, decreases infrastructure damage from extreme weather events, and enhances labor productivity through improved worker well-being. Economic analyses from multiple cities indicate benefit-to-cost ratios ranging from 3:1 to 12:1 for well-designed green infrastructure investments, with tourism-related benefits representing a significant proportion of total returns in tourism-oriented locations.</w:t>
      </w:r>
    </w:p>
    <w:p>
      <w:pPr>
        <w:pStyle w:val="Heading1"/>
      </w:pPr>
      <w:r>
        <w:rPr>
          <w:color w:val="003366"/>
        </w:rPr>
        <w:t>4. Implementation Challenges and Future Perspectives</w:t>
      </w:r>
    </w:p>
    <w:p>
      <w:pPr>
        <w:pStyle w:val="Heading2"/>
      </w:pPr>
      <w:r>
        <w:rPr>
          <w:color w:val="003366"/>
        </w:rPr>
        <w:t>4.1 Governance, Policy, and Stakeholder Collaboration</w:t>
      </w:r>
    </w:p>
    <w:p>
      <w:pPr>
        <w:spacing w:after="120" w:line="360" w:lineRule="auto"/>
      </w:pPr>
      <w:r>
        <w:rPr>
          <w:rFonts w:ascii="Times New Roman" w:hAnsi="Times New Roman"/>
          <w:b w:val="0"/>
          <w:i w:val="0"/>
          <w:sz w:val="22"/>
        </w:rPr>
        <w:t>The successful implementation of bio-integrated tourism infrastructure requires robust governance frameworks that coordinate multiple agencies, levels of government, and stakeholder groups. Urban planning regulations must evolve to require or incentivize green infrastructure provision within tourism development projects—moving beyond voluntary sustainability certifications to mandatory standards for ecosystem service delivery [13]. Policy frameworks that have proven effective include Singapore's Landscape Replacement Area policy (requiring developers to replace lost green area on building surfaces), Copenhagen's green roof mandate, and Melbourne's urban forest strategy with legally binding canopy targets.</w:t>
      </w:r>
    </w:p>
    <w:p>
      <w:pPr>
        <w:spacing w:after="120" w:line="360" w:lineRule="auto"/>
      </w:pPr>
      <w:r>
        <w:rPr>
          <w:rFonts w:ascii="Times New Roman" w:hAnsi="Times New Roman"/>
          <w:b w:val="0"/>
          <w:i w:val="0"/>
          <w:sz w:val="22"/>
        </w:rPr>
        <w:t>Coordination among governments, tourism organizations, communities, and designers represents a persistent challenge in bio-integrated tourism development. Tourism planning typically falls under economic development portfolios, while green infrastructure is managed by parks, environment, or water utilities departments. Bridging these institutional silos requires dedicated cross-sectoral governance mechanisms: joint committees, integrated planning documents, shared performance indicators, and co-funding arrangements that align incentives across agencies [6]. Community engagement is essential to ensure that bio-integrated tourism development serves local needs as well as visitor desires, avoiding the displacement and gentrification that can accompany poorly planned tourism greening projects.</w:t>
      </w:r>
    </w:p>
    <w:p>
      <w:pPr>
        <w:spacing w:after="120" w:line="360" w:lineRule="auto"/>
      </w:pPr>
      <w:r>
        <w:rPr>
          <w:rFonts w:ascii="Times New Roman" w:hAnsi="Times New Roman"/>
          <w:b w:val="0"/>
          <w:i w:val="0"/>
          <w:sz w:val="22"/>
        </w:rPr>
        <w:t>Interdisciplinary approaches to implementation bring together expertise from ecology, engineering, landscape architecture, tourism management, data science, and community development. Design charettes, living laboratories, and collaborative platforms enable diverse professionals to contribute their knowledge to integrated solutions. The emerging role of digital twins—virtual replicas of cities that simulate the effects of proposed interventions—provides a shared platform for interdisciplinary collaboration and stakeholder communication, enabling all parties to visualize and evaluate proposed bio-integrated tourism developments before implementation [33].</w:t>
      </w:r>
    </w:p>
    <w:p>
      <w:pPr>
        <w:spacing w:after="120" w:line="360" w:lineRule="auto"/>
      </w:pPr>
      <w:r>
        <w:rPr>
          <w:rFonts w:ascii="Times New Roman" w:hAnsi="Times New Roman"/>
          <w:b w:val="0"/>
          <w:i w:val="0"/>
          <w:sz w:val="22"/>
        </w:rPr>
        <w:t>Financing mechanisms for bio-integrated tourism infrastructure are evolving rapidly to accommodate the unique characteristics of these investments—long payback periods, distributed benefits, and multiple beneficiaries. Green bonds specifically designated for urban ecological infrastructure have grown from virtually zero in 2012 to over $50 billion annually in recent years. Payment for ecosystem services schemes enable tourism businesses to compensate landowners and managers for the ecological services that underpin tourism attractiveness. Tourism improvement districts pool contributions from tourism businesses to fund shared green infrastructure that benefits all members. Blended finance approaches combine public investment (for ecological functions with no direct revenue) with private investment (for tourism-oriented elements with clear commercial returns) to achieve outcomes that neither sector could deliver alone.</w:t>
      </w:r>
    </w:p>
    <w:p>
      <w:pPr>
        <w:spacing w:before="240" w:after="120"/>
      </w:pPr>
      <w:r>
        <w:rPr>
          <w:rFonts w:ascii="Times New Roman" w:hAnsi="Times New Roman"/>
          <w:b/>
          <w:sz w:val="20"/>
        </w:rPr>
        <w:t>Table 4. Implementation Challenges and Solutions for Bio-Integrated Tourism Infrastructure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Challenge Category</w:t>
            </w:r>
          </w:p>
        </w:tc>
        <w:tc>
          <w:tcPr>
            <w:tcW w:type="dxa" w:w="2340"/>
          </w:tcPr>
          <w:p>
            <w:r>
              <w:rPr>
                <w:rFonts w:ascii="Times New Roman" w:hAnsi="Times New Roman"/>
                <w:b/>
                <w:sz w:val="18"/>
              </w:rPr>
              <w:t>Specific Issues</w:t>
            </w:r>
          </w:p>
        </w:tc>
        <w:tc>
          <w:tcPr>
            <w:tcW w:type="dxa" w:w="2340"/>
          </w:tcPr>
          <w:p>
            <w:r>
              <w:rPr>
                <w:rFonts w:ascii="Times New Roman" w:hAnsi="Times New Roman"/>
                <w:b/>
                <w:sz w:val="18"/>
              </w:rPr>
              <w:t>Potential Solutions</w:t>
            </w:r>
          </w:p>
        </w:tc>
        <w:tc>
          <w:tcPr>
            <w:tcW w:type="dxa" w:w="2340"/>
          </w:tcPr>
          <w:p>
            <w:r>
              <w:rPr>
                <w:rFonts w:ascii="Times New Roman" w:hAnsi="Times New Roman"/>
                <w:b/>
                <w:sz w:val="18"/>
              </w:rPr>
              <w:t>Implementation Timeline</w:t>
            </w:r>
          </w:p>
        </w:tc>
      </w:tr>
      <w:tr>
        <w:tc>
          <w:tcPr>
            <w:tcW w:type="dxa" w:w="2340"/>
          </w:tcPr>
          <w:p>
            <w:r>
              <w:rPr>
                <w:rFonts w:ascii="Times New Roman" w:hAnsi="Times New Roman"/>
                <w:sz w:val="18"/>
              </w:rPr>
              <w:t>Financial</w:t>
            </w:r>
          </w:p>
        </w:tc>
        <w:tc>
          <w:tcPr>
            <w:tcW w:type="dxa" w:w="2340"/>
          </w:tcPr>
          <w:p>
            <w:r>
              <w:rPr>
                <w:rFonts w:ascii="Times New Roman" w:hAnsi="Times New Roman"/>
                <w:sz w:val="18"/>
              </w:rPr>
              <w:t>High upfront costs, uncertain returns, split incentives</w:t>
            </w:r>
          </w:p>
        </w:tc>
        <w:tc>
          <w:tcPr>
            <w:tcW w:type="dxa" w:w="2340"/>
          </w:tcPr>
          <w:p>
            <w:r>
              <w:rPr>
                <w:rFonts w:ascii="Times New Roman" w:hAnsi="Times New Roman"/>
                <w:sz w:val="18"/>
              </w:rPr>
              <w:t>Green bonds, payment for ecosystem services, public-private partnerships</w:t>
            </w:r>
          </w:p>
        </w:tc>
        <w:tc>
          <w:tcPr>
            <w:tcW w:type="dxa" w:w="2340"/>
          </w:tcPr>
          <w:p>
            <w:r>
              <w:rPr>
                <w:rFonts w:ascii="Times New Roman" w:hAnsi="Times New Roman"/>
                <w:sz w:val="18"/>
              </w:rPr>
              <w:t>Short-term (1–3 years)</w:t>
            </w:r>
          </w:p>
        </w:tc>
      </w:tr>
      <w:tr>
        <w:tc>
          <w:tcPr>
            <w:tcW w:type="dxa" w:w="2340"/>
          </w:tcPr>
          <w:p>
            <w:r>
              <w:rPr>
                <w:rFonts w:ascii="Times New Roman" w:hAnsi="Times New Roman"/>
                <w:sz w:val="18"/>
              </w:rPr>
              <w:t>Technical</w:t>
            </w:r>
          </w:p>
        </w:tc>
        <w:tc>
          <w:tcPr>
            <w:tcW w:type="dxa" w:w="2340"/>
          </w:tcPr>
          <w:p>
            <w:r>
              <w:rPr>
                <w:rFonts w:ascii="Times New Roman" w:hAnsi="Times New Roman"/>
                <w:sz w:val="18"/>
              </w:rPr>
              <w:t>Plant survival in harsh urban conditions, structural loads, maintenance complexity</w:t>
            </w:r>
          </w:p>
        </w:tc>
        <w:tc>
          <w:tcPr>
            <w:tcW w:type="dxa" w:w="2340"/>
          </w:tcPr>
          <w:p>
            <w:r>
              <w:rPr>
                <w:rFonts w:ascii="Times New Roman" w:hAnsi="Times New Roman"/>
                <w:sz w:val="18"/>
              </w:rPr>
              <w:t>Improved growing media, lightweight systems, automated maintenance</w:t>
            </w:r>
          </w:p>
        </w:tc>
        <w:tc>
          <w:tcPr>
            <w:tcW w:type="dxa" w:w="2340"/>
          </w:tcPr>
          <w:p>
            <w:r>
              <w:rPr>
                <w:rFonts w:ascii="Times New Roman" w:hAnsi="Times New Roman"/>
                <w:sz w:val="18"/>
              </w:rPr>
              <w:t>Medium-term (3–7 years)</w:t>
            </w:r>
          </w:p>
        </w:tc>
      </w:tr>
      <w:tr>
        <w:tc>
          <w:tcPr>
            <w:tcW w:type="dxa" w:w="2340"/>
          </w:tcPr>
          <w:p>
            <w:r>
              <w:rPr>
                <w:rFonts w:ascii="Times New Roman" w:hAnsi="Times New Roman"/>
                <w:sz w:val="18"/>
              </w:rPr>
              <w:t>Governance</w:t>
            </w:r>
          </w:p>
        </w:tc>
        <w:tc>
          <w:tcPr>
            <w:tcW w:type="dxa" w:w="2340"/>
          </w:tcPr>
          <w:p>
            <w:r>
              <w:rPr>
                <w:rFonts w:ascii="Times New Roman" w:hAnsi="Times New Roman"/>
                <w:sz w:val="18"/>
              </w:rPr>
              <w:t>Institutional silos, conflicting mandates, unclear responsibilities</w:t>
            </w:r>
          </w:p>
        </w:tc>
        <w:tc>
          <w:tcPr>
            <w:tcW w:type="dxa" w:w="2340"/>
          </w:tcPr>
          <w:p>
            <w:r>
              <w:rPr>
                <w:rFonts w:ascii="Times New Roman" w:hAnsi="Times New Roman"/>
                <w:sz w:val="18"/>
              </w:rPr>
              <w:t>Cross-sectoral bodies, integrated planning, shared indicators</w:t>
            </w:r>
          </w:p>
        </w:tc>
        <w:tc>
          <w:tcPr>
            <w:tcW w:type="dxa" w:w="2340"/>
          </w:tcPr>
          <w:p>
            <w:r>
              <w:rPr>
                <w:rFonts w:ascii="Times New Roman" w:hAnsi="Times New Roman"/>
                <w:sz w:val="18"/>
              </w:rPr>
              <w:t>Medium-term (3–7 years)</w:t>
            </w:r>
          </w:p>
        </w:tc>
      </w:tr>
      <w:tr>
        <w:tc>
          <w:tcPr>
            <w:tcW w:type="dxa" w:w="2340"/>
          </w:tcPr>
          <w:p>
            <w:r>
              <w:rPr>
                <w:rFonts w:ascii="Times New Roman" w:hAnsi="Times New Roman"/>
                <w:sz w:val="18"/>
              </w:rPr>
              <w:t>Social</w:t>
            </w:r>
          </w:p>
        </w:tc>
        <w:tc>
          <w:tcPr>
            <w:tcW w:type="dxa" w:w="2340"/>
          </w:tcPr>
          <w:p>
            <w:r>
              <w:rPr>
                <w:rFonts w:ascii="Times New Roman" w:hAnsi="Times New Roman"/>
                <w:sz w:val="18"/>
              </w:rPr>
              <w:t>Gentrification, unequal access, community displacement</w:t>
            </w:r>
          </w:p>
        </w:tc>
        <w:tc>
          <w:tcPr>
            <w:tcW w:type="dxa" w:w="2340"/>
          </w:tcPr>
          <w:p>
            <w:r>
              <w:rPr>
                <w:rFonts w:ascii="Times New Roman" w:hAnsi="Times New Roman"/>
                <w:sz w:val="18"/>
              </w:rPr>
              <w:t>Inclusive planning, community ownership, equitable distribution</w:t>
            </w:r>
          </w:p>
        </w:tc>
        <w:tc>
          <w:tcPr>
            <w:tcW w:type="dxa" w:w="2340"/>
          </w:tcPr>
          <w:p>
            <w:r>
              <w:rPr>
                <w:rFonts w:ascii="Times New Roman" w:hAnsi="Times New Roman"/>
                <w:sz w:val="18"/>
              </w:rPr>
              <w:t>Long-term (5–10 years)</w:t>
            </w:r>
          </w:p>
        </w:tc>
      </w:tr>
      <w:tr>
        <w:tc>
          <w:tcPr>
            <w:tcW w:type="dxa" w:w="2340"/>
          </w:tcPr>
          <w:p>
            <w:r>
              <w:rPr>
                <w:rFonts w:ascii="Times New Roman" w:hAnsi="Times New Roman"/>
                <w:sz w:val="18"/>
              </w:rPr>
              <w:t>Ecological</w:t>
            </w:r>
          </w:p>
        </w:tc>
        <w:tc>
          <w:tcPr>
            <w:tcW w:type="dxa" w:w="2340"/>
          </w:tcPr>
          <w:p>
            <w:r>
              <w:rPr>
                <w:rFonts w:ascii="Times New Roman" w:hAnsi="Times New Roman"/>
                <w:sz w:val="18"/>
              </w:rPr>
              <w:t>Invasive species, pest management, climate uncertainty</w:t>
            </w:r>
          </w:p>
        </w:tc>
        <w:tc>
          <w:tcPr>
            <w:tcW w:type="dxa" w:w="2340"/>
          </w:tcPr>
          <w:p>
            <w:r>
              <w:rPr>
                <w:rFonts w:ascii="Times New Roman" w:hAnsi="Times New Roman"/>
                <w:sz w:val="18"/>
              </w:rPr>
              <w:t>Native species focus, adaptive management, monitoring programs</w:t>
            </w:r>
          </w:p>
        </w:tc>
        <w:tc>
          <w:tcPr>
            <w:tcW w:type="dxa" w:w="2340"/>
          </w:tcPr>
          <w:p>
            <w:r>
              <w:rPr>
                <w:rFonts w:ascii="Times New Roman" w:hAnsi="Times New Roman"/>
                <w:sz w:val="18"/>
              </w:rPr>
              <w:t>Ongoing</w:t>
            </w:r>
          </w:p>
        </w:tc>
      </w:tr>
      <w:tr>
        <w:tc>
          <w:tcPr>
            <w:tcW w:type="dxa" w:w="2340"/>
          </w:tcPr>
          <w:p>
            <w:r>
              <w:rPr>
                <w:rFonts w:ascii="Times New Roman" w:hAnsi="Times New Roman"/>
                <w:sz w:val="18"/>
              </w:rPr>
              <w:t>Measurement</w:t>
            </w:r>
          </w:p>
        </w:tc>
        <w:tc>
          <w:tcPr>
            <w:tcW w:type="dxa" w:w="2340"/>
          </w:tcPr>
          <w:p>
            <w:r>
              <w:rPr>
                <w:rFonts w:ascii="Times New Roman" w:hAnsi="Times New Roman"/>
                <w:sz w:val="18"/>
              </w:rPr>
              <w:t>Quantifying ecosystem services, attributing tourism revenue</w:t>
            </w:r>
          </w:p>
        </w:tc>
        <w:tc>
          <w:tcPr>
            <w:tcW w:type="dxa" w:w="2340"/>
          </w:tcPr>
          <w:p>
            <w:r>
              <w:rPr>
                <w:rFonts w:ascii="Times New Roman" w:hAnsi="Times New Roman"/>
                <w:sz w:val="18"/>
              </w:rPr>
              <w:t>Standardized metrics, integrated valuation, long-term studies</w:t>
            </w:r>
          </w:p>
        </w:tc>
        <w:tc>
          <w:tcPr>
            <w:tcW w:type="dxa" w:w="2340"/>
          </w:tcPr>
          <w:p>
            <w:r>
              <w:rPr>
                <w:rFonts w:ascii="Times New Roman" w:hAnsi="Times New Roman"/>
                <w:sz w:val="18"/>
              </w:rPr>
              <w:t>Long-term (5–10 years)</w:t>
            </w:r>
          </w:p>
        </w:tc>
      </w:tr>
    </w:tbl>
    <w:p/>
    <w:p>
      <w:pPr>
        <w:pStyle w:val="Heading2"/>
      </w:pPr>
      <w:r>
        <w:rPr>
          <w:color w:val="003366"/>
        </w:rPr>
        <w:t>4.2 Challenges in Bio-Integrated Tourism Development</w:t>
      </w:r>
    </w:p>
    <w:p>
      <w:pPr>
        <w:spacing w:after="120" w:line="360" w:lineRule="auto"/>
      </w:pPr>
      <w:r>
        <w:rPr>
          <w:rFonts w:ascii="Times New Roman" w:hAnsi="Times New Roman"/>
          <w:b w:val="0"/>
          <w:i w:val="0"/>
          <w:sz w:val="22"/>
        </w:rPr>
        <w:t>Land availability represents a fundamental constraint for bio-integrated tourism development in dense urban areas where competition for space is intense. Tourism zones typically occupy prime urban locations where land values are highest, making the economic case for green infrastructure allocation particularly challenging [12]. Innovative approaches to this challenge include vertical greening (utilizing building surfaces), underground infrastructure (freeing surface land for green uses), rooftop landscapes, and temporary or mobile green installations that can activate underutilized spaces. Maintenance requirements and costs represent ongoing challenges: green infrastructure requires skilled horticultural management, irrigation infrastructure, and regular assessment of structural integrity and ecological function.</w:t>
      </w:r>
    </w:p>
    <w:p>
      <w:pPr>
        <w:spacing w:after="120" w:line="360" w:lineRule="auto"/>
      </w:pPr>
      <w:r>
        <w:rPr>
          <w:rFonts w:ascii="Times New Roman" w:hAnsi="Times New Roman"/>
          <w:b w:val="0"/>
          <w:i w:val="0"/>
          <w:sz w:val="22"/>
        </w:rPr>
        <w:t>Financial constraints remain significant barriers, particularly in cities with limited public budgets and competing infrastructure priorities. While lifecycle analyses consistently demonstrate that green infrastructure provides superior long-term value compared to grey alternatives, the higher upfront costs and longer payback periods deter investment [20]. Innovative financing mechanisms—including green bonds, payment for ecosystem services schemes, tourism improvement districts, and revenue-sharing arrangements with adjacent property owners—are emerging to address this funding gap. Technical uncertainties include the long-term performance of novel green infrastructure technologies, the behavior of ecological systems under changing climate conditions, and the reliability of smart technology systems in harsh outdoor environments [36].</w:t>
      </w:r>
    </w:p>
    <w:p>
      <w:pPr>
        <w:spacing w:after="120" w:line="360" w:lineRule="auto"/>
      </w:pPr>
      <w:r>
        <w:rPr>
          <w:rFonts w:ascii="Times New Roman" w:hAnsi="Times New Roman"/>
          <w:b w:val="0"/>
          <w:i w:val="0"/>
          <w:sz w:val="22"/>
        </w:rPr>
        <w:t>Managing conflicts between tourism development and environmental conservation requires careful attention to carrying capacity, visitor behavior management, and ecological monitoring. High visitor numbers can cause soil compaction, vegetation damage, wildlife disturbance, and waste accumulation that undermine the ecological values that attract visitors in the first place. Effective management strategies include time-based access restrictions for sensitive areas, boardwalks and elevated paths that minimize ground disturbance, educational programs that foster responsible visitor behavior, and real-time monitoring systems that trigger management responses when ecological thresholds are approached [26]. The future roadmap shown in Figure 4 outlines the projected trajectory from current foundation-building through scaling and integration to full bio-integration by 2050.</w:t>
      </w:r>
    </w:p>
    <w:p>
      <w:pPr>
        <w:spacing w:after="120" w:line="360" w:lineRule="auto"/>
      </w:pPr>
      <w:r>
        <w:rPr>
          <w:rFonts w:ascii="Times New Roman" w:hAnsi="Times New Roman"/>
          <w:b w:val="0"/>
          <w:i w:val="0"/>
          <w:sz w:val="22"/>
        </w:rPr>
        <w:t>Climate change introduces additional layers of complexity to bio-integrated tourism development, as shifting temperature regimes, altered precipitation patterns, and increasing frequency of extreme weather events threaten the viability of existing green infrastructure designs. Plant species selection must account for projected climate conditions 30–50 years into the future, requiring the use of climate-analog approaches that identify species likely to thrive under future conditions rather than current ones. Water management systems must be designed for both drought conditions (requiring efficient irrigation) and extreme rainfall events (requiring overflow capacity), while structural designs must withstand increasing wind speeds and temperature extremes. Adaptive management frameworks that incorporate ongoing monitoring, periodic reassessment, and willingness to modify designs in response to changing conditions are essential for ensuring long-term viability of bio-integrated tourism infrastructure in an era of accelerating climate change.</w:t>
      </w:r>
    </w:p>
    <w:p>
      <w:pPr>
        <w:jc w:val="center"/>
      </w:pPr>
      <w:r>
        <w:drawing>
          <wp:inline xmlns:a="http://schemas.openxmlformats.org/drawingml/2006/main" xmlns:pic="http://schemas.openxmlformats.org/drawingml/2006/picture">
            <wp:extent cx="5029200" cy="2916091"/>
            <wp:docPr id="4" name="Picture 4"/>
            <wp:cNvGraphicFramePr>
              <a:graphicFrameLocks noChangeAspect="1"/>
            </wp:cNvGraphicFramePr>
            <a:graphic>
              <a:graphicData uri="http://schemas.openxmlformats.org/drawingml/2006/picture">
                <pic:pic>
                  <pic:nvPicPr>
                    <pic:cNvPr id="0" name="Figure_4_Future_Roadmap.png"/>
                    <pic:cNvPicPr/>
                  </pic:nvPicPr>
                  <pic:blipFill>
                    <a:blip r:embed="rId12"/>
                    <a:stretch>
                      <a:fillRect/>
                    </a:stretch>
                  </pic:blipFill>
                  <pic:spPr>
                    <a:xfrm>
                      <a:off x="0" y="0"/>
                      <a:ext cx="5029200" cy="2916091"/>
                    </a:xfrm>
                    <a:prstGeom prst="rect"/>
                  </pic:spPr>
                </pic:pic>
              </a:graphicData>
            </a:graphic>
          </wp:inline>
        </w:drawing>
      </w:r>
    </w:p>
    <w:p>
      <w:pPr>
        <w:spacing w:after="240"/>
        <w:jc w:val="center"/>
      </w:pPr>
      <w:r>
        <w:rPr>
          <w:rFonts w:ascii="Times New Roman" w:hAnsi="Times New Roman"/>
          <w:b/>
          <w:sz w:val="20"/>
        </w:rPr>
        <w:t>Figure 4. Future Roadmap for Resilient and Regenerative Bio-Integrated Urban Tourism (2020–2050)</w:t>
      </w:r>
    </w:p>
    <w:p>
      <w:pPr>
        <w:pStyle w:val="Heading2"/>
      </w:pPr>
      <w:r>
        <w:rPr>
          <w:color w:val="003366"/>
        </w:rPr>
        <w:t>4.3 Future Directions for Resilient and Regenerative Urban Tourism</w:t>
      </w:r>
    </w:p>
    <w:p>
      <w:pPr>
        <w:spacing w:after="120" w:line="360" w:lineRule="auto"/>
      </w:pPr>
      <w:r>
        <w:rPr>
          <w:rFonts w:ascii="Times New Roman" w:hAnsi="Times New Roman"/>
          <w:b w:val="0"/>
          <w:i w:val="0"/>
          <w:sz w:val="22"/>
        </w:rPr>
        <w:t>The future of bio-integrated urban tourism lies in nature-positive and climate-resilient models that go beyond minimizing environmental harm to actively regenerating ecological systems through tourism activities. Nature-positive tourism commits to leaving ecosystems in better condition than they were before tourism development, requiring net gains in biodiversity, carbon storage, and ecosystem function [40]. This represents a fundamental reframing of the tourism-environment relationship from one of managed degradation to one of mutual enhancement. Climate-resilient models design tourism systems that can function effectively under a range of future climate scenarios, incorporating flexible and adaptive features that can be modified as conditions change.</w:t>
      </w:r>
    </w:p>
    <w:p>
      <w:pPr>
        <w:spacing w:after="120" w:line="360" w:lineRule="auto"/>
      </w:pPr>
      <w:r>
        <w:rPr>
          <w:rFonts w:ascii="Times New Roman" w:hAnsi="Times New Roman"/>
          <w:b w:val="0"/>
          <w:i w:val="0"/>
          <w:sz w:val="22"/>
        </w:rPr>
        <w:t>The concept of regenerative tourism extends beyond individual sites to encompass entire urban systems, where tourism activity generates net positive ecological outcomes at the landscape scale. This requires tourism destinations to function as ecological corridors, connecting fragmented habitats and supporting wildlife movement across urban areas. Tourism investments in green infrastructure become biodiversity investments, with accommodation, attractions, and transportation corridors all contributing to a connected urban ecological network. Carbon-positive tourism districts—where the carbon sequestered by green infrastructure exceeds the carbon emitted by tourism operations—represent an achievable near-term goal that aligns tourism competitiveness with climate mitigation objectives. Several pilot projects are already demonstrating the feasibility of this approach, combining renewable energy, electric transportation, and intensive carbon-sequestering green infrastructure to achieve net-negative carbon tourism operations.</w:t>
      </w:r>
    </w:p>
    <w:p>
      <w:pPr>
        <w:spacing w:after="120" w:line="360" w:lineRule="auto"/>
      </w:pPr>
      <w:r>
        <w:rPr>
          <w:rFonts w:ascii="Times New Roman" w:hAnsi="Times New Roman"/>
          <w:b w:val="0"/>
          <w:i w:val="0"/>
          <w:sz w:val="22"/>
        </w:rPr>
        <w:t>AI-enabled and digitally connected green infrastructure represents the next frontier of bio-integrated tourism. Autonomous maintenance systems using robotics for pruning, pest control, and health monitoring; digital twin platforms that simulate ecosystem responses to management interventions; blockchain-based verification of environmental claims; and augmented reality overlays that reveal hidden ecological processes to visitors all represent near-term technological developments that will transform bio-integrated tourism [43]. As illustrated in the future roadmap (Figure 4), the trajectory toward fully regenerative urban tourism proceeds through identifiable phases: foundation and pilot projects (2020–2030), scaling and integration (2030–2040), and full bio-integration (2040–2050), with key milestones including AI-managed ecosystems by 2032 and carbon-positive tourism districts by 2040.</w:t>
      </w:r>
    </w:p>
    <w:p>
      <w:pPr>
        <w:spacing w:after="120" w:line="360" w:lineRule="auto"/>
      </w:pPr>
      <w:r>
        <w:rPr>
          <w:rFonts w:ascii="Times New Roman" w:hAnsi="Times New Roman"/>
          <w:b w:val="0"/>
          <w:i w:val="0"/>
          <w:sz w:val="22"/>
        </w:rPr>
        <w:t>Future prospects for inclusive, adaptive, and ecologically sensitive cities depend on our ability to overcome current implementation barriers while scaling proven solutions. Emerging opportunities include the integration of bio-integrated tourism with circular economy principles (where tourism waste becomes ecosystem inputs), biophilic urban design that incorporates nature at every scale from individual buildings to metropolitan regions, and community-owned green infrastructure that ensures equitable distribution of environmental and economic benefits [7]. The convergence of ecological knowledge, computational capability, and social innovation creates unprecedented opportunities to reimagine urban tourism as a force for ecological regeneration rather than environmental degradation.</w:t>
      </w:r>
    </w:p>
    <w:p>
      <w:pPr>
        <w:spacing w:after="120" w:line="360" w:lineRule="auto"/>
      </w:pPr>
      <w:r>
        <w:rPr>
          <w:rFonts w:ascii="Times New Roman" w:hAnsi="Times New Roman"/>
          <w:b w:val="0"/>
          <w:i w:val="0"/>
          <w:sz w:val="22"/>
        </w:rPr>
        <w:t>The role of citizen science and community engagement in bio-integrated tourism is expected to grow substantially. Mobile applications that enable visitors to contribute biodiversity observations, report maintenance issues, and share experiences create participatory feedback loops that improve management while enhancing visitor engagement. Gamification strategies that reward environmentally responsible tourism behavior—such as choosing green transportation, supporting local ecological initiatives, or participating in habitat restoration activities—align visitor motivations with conservation goals. Education programs embedded within bio-integrated tourism spaces build ecological literacy among visitors, creating ambassadors for nature-positive approaches in their home communities. These social dimensions transform bio-integrated tourism from a purely physical infrastructure challenge into a social-ecological innovation that reshapes human-nature relationships within urban environments.</w:t>
      </w:r>
    </w:p>
    <w:p>
      <w:pPr>
        <w:spacing w:after="120" w:line="360" w:lineRule="auto"/>
      </w:pPr>
      <w:r>
        <w:rPr>
          <w:rFonts w:ascii="Times New Roman" w:hAnsi="Times New Roman"/>
          <w:b w:val="0"/>
          <w:i w:val="0"/>
          <w:sz w:val="22"/>
        </w:rPr>
        <w:t>In conclusion, bio-integrated urban tourism represents a paradigm shift in how we conceive, design, and manage tourism within cities. By embedding living systems throughout urban tourism infrastructure—from green roofs and vertical gardens to smart wetlands and AI-managed urban forests—cities can simultaneously enhance tourism experiences, restore ecological functions, build climate resilience, and improve quality of life for residents and visitors alike [1]. The challenges are significant but surmountable, and the growing body of successful implementations worldwide demonstrates that bio-integrated tourism is not merely an aspiration but an achievable and economically viable approach to sustainable urban development. The integration of smart technologies, regenerative design principles, and inclusive governance frameworks provides the foundation for a new generation of urban tourism destinations that are productive, resilient, equitable, and ecologically vibrant.</w:t>
      </w:r>
    </w:p>
    <w:p>
      <w:pPr>
        <w:spacing w:after="120" w:line="360" w:lineRule="auto"/>
      </w:pPr>
      <w:r>
        <w:rPr>
          <w:rFonts w:ascii="Times New Roman" w:hAnsi="Times New Roman"/>
          <w:b w:val="0"/>
          <w:i w:val="0"/>
          <w:sz w:val="22"/>
        </w:rPr>
        <w:t>Looking forward, the convergence of advances in ecological science, artificial intelligence, materials technology, and participatory governance creates unprecedented opportunities for bio-integrated urban tourism. Cities that embrace this paradigm early will benefit from first-mover advantages in an increasingly sustainability-conscious tourism market, while simultaneously addressing urgent challenges of climate adaptation, biodiversity loss, and urban livability. The vision of cities as living ecosystems—where tourism, nature, technology, and community coexist in mutually enhancing relationships—is no longer utopian speculation but an emerging reality demonstrated by pioneering cities worldwide. The knowledge, tools, and proven approaches presented in this chapter provide a roadmap for tourism planners, urban designers, ecologists, and policymakers seeking to transform their cities into vibrant, resilient, and regenerative destinations that honor both human aspirations and ecological imperatives for generations to come.</w:t>
      </w:r>
    </w:p>
    <w:p>
      <w:pPr>
        <w:pStyle w:val="Heading1"/>
      </w:pPr>
      <w:r>
        <w:rPr>
          <w:color w:val="003366"/>
        </w:rPr>
        <w:t>References</w:t>
      </w:r>
    </w:p>
    <w:p>
      <w:pPr>
        <w:spacing w:after="60"/>
        <w:ind w:left="720" w:hanging="720"/>
      </w:pPr>
      <w:r>
        <w:rPr>
          <w:rFonts w:ascii="Times New Roman" w:hAnsi="Times New Roman"/>
          <w:sz w:val="20"/>
        </w:rPr>
        <w:t>[1] Beatley, T. (2011). Biophilic Cities: Integrating Nature into Urban Design and Planning. Island Press, Washington, DC.</w:t>
      </w:r>
    </w:p>
    <w:p>
      <w:pPr>
        <w:spacing w:after="60"/>
        <w:ind w:left="720" w:hanging="720"/>
      </w:pPr>
      <w:r>
        <w:rPr>
          <w:rFonts w:ascii="Times New Roman" w:hAnsi="Times New Roman"/>
          <w:sz w:val="20"/>
        </w:rPr>
        <w:t>[2] Tyrväinen, L., Ojala, A., Korpela, K., Lanki, T., Tsunetsugu, Y., &amp; Kagawa, T. (2014). The influence of urban green environments on stress relief measures. Journal of Environmental Psychology, 38, 1–9.</w:t>
      </w:r>
    </w:p>
    <w:p>
      <w:pPr>
        <w:spacing w:after="60"/>
        <w:ind w:left="720" w:hanging="720"/>
      </w:pPr>
      <w:r>
        <w:rPr>
          <w:rFonts w:ascii="Times New Roman" w:hAnsi="Times New Roman"/>
          <w:sz w:val="20"/>
        </w:rPr>
        <w:t>[3] Newman, P., &amp; Jennings, I. (2008). Cities as Sustainable Ecosystems: Principles and Practices. Island Press.</w:t>
      </w:r>
    </w:p>
    <w:p>
      <w:pPr>
        <w:spacing w:after="60"/>
        <w:ind w:left="720" w:hanging="720"/>
      </w:pPr>
      <w:r>
        <w:rPr>
          <w:rFonts w:ascii="Times New Roman" w:hAnsi="Times New Roman"/>
          <w:sz w:val="20"/>
        </w:rPr>
        <w:t>[4] Gössling, S., Hall, C. M., &amp; Scott, D. (2015). Tourism and Water. Channel View Publications.</w:t>
      </w:r>
    </w:p>
    <w:p>
      <w:pPr>
        <w:spacing w:after="60"/>
        <w:ind w:left="720" w:hanging="720"/>
      </w:pPr>
      <w:r>
        <w:rPr>
          <w:rFonts w:ascii="Times New Roman" w:hAnsi="Times New Roman"/>
          <w:sz w:val="20"/>
        </w:rPr>
        <w:t>[5] Demuzere, M., Orru, K., Heidrich, O., et al. (2014). Mitigating and adapting to climate change: Multi-functional and multi-scale assessment of green urban infrastructure. Journal of Environmental Management, 146, 107–115.</w:t>
      </w:r>
    </w:p>
    <w:p>
      <w:pPr>
        <w:spacing w:after="60"/>
        <w:ind w:left="720" w:hanging="720"/>
      </w:pPr>
      <w:r>
        <w:rPr>
          <w:rFonts w:ascii="Times New Roman" w:hAnsi="Times New Roman"/>
          <w:sz w:val="20"/>
        </w:rPr>
        <w:t>[6] Pauleit, S., Zölch, T., Hansen, R., Randrup, T. B., &amp; Konijnendijk van den Bosch, C. (2017). Nature-based solutions and climate change. In Nature-Based Solutions to Climate Change Adaptation in Urban Areas (pp. 29–49). Springer.</w:t>
      </w:r>
    </w:p>
    <w:p>
      <w:pPr>
        <w:spacing w:after="60"/>
        <w:ind w:left="720" w:hanging="720"/>
      </w:pPr>
      <w:r>
        <w:rPr>
          <w:rFonts w:ascii="Times New Roman" w:hAnsi="Times New Roman"/>
          <w:sz w:val="20"/>
        </w:rPr>
        <w:t>[7] Lyle, J. T. (1994). Regenerative Design for Sustainable Development. John Wiley &amp; Sons.</w:t>
      </w:r>
    </w:p>
    <w:p>
      <w:pPr>
        <w:spacing w:after="60"/>
        <w:ind w:left="720" w:hanging="720"/>
      </w:pPr>
      <w:r>
        <w:rPr>
          <w:rFonts w:ascii="Times New Roman" w:hAnsi="Times New Roman"/>
          <w:sz w:val="20"/>
        </w:rPr>
        <w:t>[8] Buckley, R. (2012). Sustainable tourism: Research and reality. Annals of Tourism Research, 39(2), 528–546.</w:t>
      </w:r>
    </w:p>
    <w:p>
      <w:pPr>
        <w:spacing w:after="60"/>
        <w:ind w:left="720" w:hanging="720"/>
      </w:pPr>
      <w:r>
        <w:rPr>
          <w:rFonts w:ascii="Times New Roman" w:hAnsi="Times New Roman"/>
          <w:sz w:val="20"/>
        </w:rPr>
        <w:t>[9] Elmqvist, T., Setälä, H., Handel, S. N., et al. (2015). Benefits of restoring ecosystem services in urban areas. Current Opinion in Environmental Sustainability, 14, 101–108.</w:t>
      </w:r>
    </w:p>
    <w:p>
      <w:pPr>
        <w:spacing w:after="60"/>
        <w:ind w:left="720" w:hanging="720"/>
      </w:pPr>
      <w:r>
        <w:rPr>
          <w:rFonts w:ascii="Times New Roman" w:hAnsi="Times New Roman"/>
          <w:sz w:val="20"/>
        </w:rPr>
        <w:t>[10] Zhang, H., Chen, B., Sun, Z., &amp; Bao, Z. (2013). Landscape perception and recreation needs in urban green space in Fuyang, Hangzhou, China. Urban Forestry &amp; Urban Greening, 12(1), 44–52.</w:t>
      </w:r>
    </w:p>
    <w:p>
      <w:pPr>
        <w:spacing w:after="60"/>
        <w:ind w:left="720" w:hanging="720"/>
      </w:pPr>
      <w:r>
        <w:rPr>
          <w:rFonts w:ascii="Times New Roman" w:hAnsi="Times New Roman"/>
          <w:sz w:val="20"/>
        </w:rPr>
        <w:t>[11] Aronson, M. F., La Sorte, F. A., Nilon, C. H., et al. (2014). A global analysis of the impacts of urbanization on bird and plant diversity. Proceedings of the Royal Society B, 281(1780), 20133330.</w:t>
      </w:r>
    </w:p>
    <w:p>
      <w:pPr>
        <w:spacing w:after="60"/>
        <w:ind w:left="720" w:hanging="720"/>
      </w:pPr>
      <w:r>
        <w:rPr>
          <w:rFonts w:ascii="Times New Roman" w:hAnsi="Times New Roman"/>
          <w:sz w:val="20"/>
        </w:rPr>
        <w:t>[12] European Commission (2013). Building a Green Infrastructure for Europe. Publications Office of the European Union, Luxembourg.</w:t>
      </w:r>
    </w:p>
    <w:p>
      <w:pPr>
        <w:spacing w:after="60"/>
        <w:ind w:left="720" w:hanging="720"/>
      </w:pPr>
      <w:r>
        <w:rPr>
          <w:rFonts w:ascii="Times New Roman" w:hAnsi="Times New Roman"/>
          <w:sz w:val="20"/>
        </w:rPr>
        <w:t>[13] Hansen, R., &amp; Pauleit, S. (2014). From multifunctionality to multiple ecosystem services? A conceptual framework for multifunctionality in green infrastructure planning. AMBIO, 43(4), 516–529.</w:t>
      </w:r>
    </w:p>
    <w:p>
      <w:pPr>
        <w:spacing w:after="60"/>
        <w:ind w:left="720" w:hanging="720"/>
      </w:pPr>
      <w:r>
        <w:rPr>
          <w:rFonts w:ascii="Times New Roman" w:hAnsi="Times New Roman"/>
          <w:sz w:val="20"/>
        </w:rPr>
        <w:t>[14] Berardi, U., GhaffarianHoseini, A., &amp; GhaffarianHoseini, A. (2014). State-of-the-art analysis of the environmental benefits of green roofs. Applied Energy, 115, 411–428.</w:t>
      </w:r>
    </w:p>
    <w:p>
      <w:pPr>
        <w:spacing w:after="60"/>
        <w:ind w:left="720" w:hanging="720"/>
      </w:pPr>
      <w:r>
        <w:rPr>
          <w:rFonts w:ascii="Times New Roman" w:hAnsi="Times New Roman"/>
          <w:sz w:val="20"/>
        </w:rPr>
        <w:t>[15] Shafique, M., Kim, R., &amp; Rafiq, M. (2018). Green roof benefits, opportunities and challenges—A review. Renewable and Sustainable Energy Reviews, 90, 757–773.</w:t>
      </w:r>
    </w:p>
    <w:p>
      <w:pPr>
        <w:spacing w:after="60"/>
        <w:ind w:left="720" w:hanging="720"/>
      </w:pPr>
      <w:r>
        <w:rPr>
          <w:rFonts w:ascii="Times New Roman" w:hAnsi="Times New Roman"/>
          <w:sz w:val="20"/>
        </w:rPr>
        <w:t>[16] Perini, K., &amp; Rosasco, P. (2013). Cost-benefit analysis for green façades and living wall systems. Building and Environment, 70, 110–121.</w:t>
      </w:r>
    </w:p>
    <w:p>
      <w:pPr>
        <w:spacing w:after="60"/>
        <w:ind w:left="720" w:hanging="720"/>
      </w:pPr>
      <w:r>
        <w:rPr>
          <w:rFonts w:ascii="Times New Roman" w:hAnsi="Times New Roman"/>
          <w:sz w:val="20"/>
        </w:rPr>
        <w:t>[17] Stefano, B., &amp; Giacomo, L. (2017). Bosco Verticale: A new urban forest model. In The Urban Forest (pp. 155–168). Springer.</w:t>
      </w:r>
    </w:p>
    <w:p>
      <w:pPr>
        <w:spacing w:after="60"/>
        <w:ind w:left="720" w:hanging="720"/>
      </w:pPr>
      <w:r>
        <w:rPr>
          <w:rFonts w:ascii="Times New Roman" w:hAnsi="Times New Roman"/>
          <w:sz w:val="20"/>
        </w:rPr>
        <w:t>[18] Vymazal, J. (2011). Constructed wetlands for wastewater treatment: Five decades of experience. Environmental Science &amp; Technology, 45(1), 61–69.</w:t>
      </w:r>
    </w:p>
    <w:p>
      <w:pPr>
        <w:spacing w:after="60"/>
        <w:ind w:left="720" w:hanging="720"/>
      </w:pPr>
      <w:r>
        <w:rPr>
          <w:rFonts w:ascii="Times New Roman" w:hAnsi="Times New Roman"/>
          <w:sz w:val="20"/>
        </w:rPr>
        <w:t>[19] Ahern, J. (2013). Urban landscape sustainability and resilience: The promise and challenges of integrating ecology with urban planning and design. Landscape Ecology, 28(6), 1203–1212.</w:t>
      </w:r>
    </w:p>
    <w:p>
      <w:pPr>
        <w:spacing w:after="60"/>
        <w:ind w:left="720" w:hanging="720"/>
      </w:pPr>
      <w:r>
        <w:rPr>
          <w:rFonts w:ascii="Times New Roman" w:hAnsi="Times New Roman"/>
          <w:sz w:val="20"/>
        </w:rPr>
        <w:t>[20] Costanza, R., de Groot, R., Sutton, P., et al. (2014). Changes in the global value of ecosystem services. Global Environmental Change, 26, 152–158.</w:t>
      </w:r>
    </w:p>
    <w:p>
      <w:pPr>
        <w:spacing w:after="60"/>
        <w:ind w:left="720" w:hanging="720"/>
      </w:pPr>
      <w:r>
        <w:rPr>
          <w:rFonts w:ascii="Times New Roman" w:hAnsi="Times New Roman"/>
          <w:sz w:val="20"/>
        </w:rPr>
        <w:t>[21] Oke, T. R., Mills, G., Christen, A., &amp; Voogt, J. A. (2017). Urban Climates. Cambridge University Press.</w:t>
      </w:r>
    </w:p>
    <w:p>
      <w:pPr>
        <w:spacing w:after="60"/>
        <w:ind w:left="720" w:hanging="720"/>
      </w:pPr>
      <w:r>
        <w:rPr>
          <w:rFonts w:ascii="Times New Roman" w:hAnsi="Times New Roman"/>
          <w:sz w:val="20"/>
        </w:rPr>
        <w:t>[22] Bowler, D. E., Buyung-Ali, L., Knight, T. M., &amp; Pullin, A. S. (2010). Urban greening to cool towns and cities: A systematic review of the empirical evidence. Landscape and Urban Planning, 97(3), 147–155.</w:t>
      </w:r>
    </w:p>
    <w:p>
      <w:pPr>
        <w:spacing w:after="60"/>
        <w:ind w:left="720" w:hanging="720"/>
      </w:pPr>
      <w:r>
        <w:rPr>
          <w:rFonts w:ascii="Times New Roman" w:hAnsi="Times New Roman"/>
          <w:sz w:val="20"/>
        </w:rPr>
        <w:t>[23] Becken, S., Jin, X., Zhang, C., &amp; Gao, J. (2017). Urban air pollution in China: Destination image and risk perceptions. Journal of Sustainable Tourism, 25(1), 130–147.</w:t>
      </w:r>
    </w:p>
    <w:p>
      <w:pPr>
        <w:spacing w:after="60"/>
        <w:ind w:left="720" w:hanging="720"/>
      </w:pPr>
      <w:r>
        <w:rPr>
          <w:rFonts w:ascii="Times New Roman" w:hAnsi="Times New Roman"/>
          <w:sz w:val="20"/>
        </w:rPr>
        <w:t>[24] Nowak, D. J., Crane, D. E., &amp; Stevens, J. C. (2006). Air pollution removal by urban trees and shrubs in the United States. Urban Forestry &amp; Urban Greening, 4(3-4), 115–123.</w:t>
      </w:r>
    </w:p>
    <w:p>
      <w:pPr>
        <w:spacing w:after="60"/>
        <w:ind w:left="720" w:hanging="720"/>
      </w:pPr>
      <w:r>
        <w:rPr>
          <w:rFonts w:ascii="Times New Roman" w:hAnsi="Times New Roman"/>
          <w:sz w:val="20"/>
        </w:rPr>
        <w:t>[25] Fletcher, T. D., Shuster, W., Hunt, W. F., et al. (2015). SUDS, LID, BMPs, WSUD and more—The evolution and application of terminology surrounding urban drainage. Urban Water Journal, 12(7), 525–542.</w:t>
      </w:r>
    </w:p>
    <w:p>
      <w:pPr>
        <w:spacing w:after="60"/>
        <w:ind w:left="720" w:hanging="720"/>
      </w:pPr>
      <w:r>
        <w:rPr>
          <w:rFonts w:ascii="Times New Roman" w:hAnsi="Times New Roman"/>
          <w:sz w:val="20"/>
        </w:rPr>
        <w:t>[26] Gössling, S., &amp; Peeters, P. (2015). Assessing tourism's global environmental impact 1900–2050. Journal of Sustainable Tourism, 23(5), 639–659.</w:t>
      </w:r>
    </w:p>
    <w:p>
      <w:pPr>
        <w:spacing w:after="60"/>
        <w:ind w:left="720" w:hanging="720"/>
      </w:pPr>
      <w:r>
        <w:rPr>
          <w:rFonts w:ascii="Times New Roman" w:hAnsi="Times New Roman"/>
          <w:sz w:val="20"/>
        </w:rPr>
        <w:t>[27] Nassauer, J. I., &amp; Opdam, P. (2008). Design in science: Extending the landscape ecology paradigm. Landscape Ecology, 23(6), 633–644.</w:t>
      </w:r>
    </w:p>
    <w:p>
      <w:pPr>
        <w:spacing w:after="60"/>
        <w:ind w:left="720" w:hanging="720"/>
      </w:pPr>
      <w:r>
        <w:rPr>
          <w:rFonts w:ascii="Times New Roman" w:hAnsi="Times New Roman"/>
          <w:sz w:val="20"/>
        </w:rPr>
        <w:t>[28] Li, W., Saphores, J. D., &amp; Gillespie, T. W. (2015). A comparison of the economic benefits of urban green spaces estimated with NDVI and with high-resolution land cover data. Landscape and Urban Planning, 133, 105–117.</w:t>
      </w:r>
    </w:p>
    <w:p>
      <w:pPr>
        <w:spacing w:after="60"/>
        <w:ind w:left="720" w:hanging="720"/>
      </w:pPr>
      <w:r>
        <w:rPr>
          <w:rFonts w:ascii="Times New Roman" w:hAnsi="Times New Roman"/>
          <w:sz w:val="20"/>
        </w:rPr>
        <w:t>[29] Beninde, J., Veith, M., &amp; Hochkirch, A. (2015). Biodiversity in cities needs space: A meta-analysis of factors determining intra-urban biodiversity variation. Ecology Letters, 18(6), 581–592.</w:t>
      </w:r>
    </w:p>
    <w:p>
      <w:pPr>
        <w:spacing w:after="60"/>
        <w:ind w:left="720" w:hanging="720"/>
      </w:pPr>
      <w:r>
        <w:rPr>
          <w:rFonts w:ascii="Times New Roman" w:hAnsi="Times New Roman"/>
          <w:sz w:val="20"/>
        </w:rPr>
        <w:t>[30] Ng, E., Chen, L., Wang, Y., &amp; Yuan, C. (2012). A study on the cooling effects of greening in a high-density city: An experience from Hong Kong. Building and Environment, 47, 256–271.</w:t>
      </w:r>
    </w:p>
    <w:p>
      <w:pPr>
        <w:spacing w:after="60"/>
        <w:ind w:left="720" w:hanging="720"/>
      </w:pPr>
      <w:r>
        <w:rPr>
          <w:rFonts w:ascii="Times New Roman" w:hAnsi="Times New Roman"/>
          <w:sz w:val="20"/>
        </w:rPr>
        <w:t>[31] Miao, Y., Koenig, R., Knecht, K., &amp; Bielik, M. (2020). Computational urban design prototyping: Interactive planning synthesis methods. In Proceedings of the 38th eCAADe Conference.</w:t>
      </w:r>
    </w:p>
    <w:p>
      <w:pPr>
        <w:spacing w:after="60"/>
        <w:ind w:left="720" w:hanging="720"/>
      </w:pPr>
      <w:r>
        <w:rPr>
          <w:rFonts w:ascii="Times New Roman" w:hAnsi="Times New Roman"/>
          <w:sz w:val="20"/>
        </w:rPr>
        <w:t>[32] Koenig, R., Standfest, M., &amp; Schmitt, G. (2020). Multi-objective optimization in urban planning. In Handbook of Planning Support Science (pp. 180–196). Edward Elgar.</w:t>
      </w:r>
    </w:p>
    <w:p>
      <w:pPr>
        <w:spacing w:after="60"/>
        <w:ind w:left="720" w:hanging="720"/>
      </w:pPr>
      <w:r>
        <w:rPr>
          <w:rFonts w:ascii="Times New Roman" w:hAnsi="Times New Roman"/>
          <w:sz w:val="20"/>
        </w:rPr>
        <w:t>[33] Bibri, S. E., &amp; Krogstie, J. (2017). Smart sustainable cities of the future: An extensive interdisciplinary literature review. Sustainable Cities and Society, 31, 183–212.</w:t>
      </w:r>
    </w:p>
    <w:p>
      <w:pPr>
        <w:spacing w:after="60"/>
        <w:ind w:left="720" w:hanging="720"/>
      </w:pPr>
      <w:r>
        <w:rPr>
          <w:rFonts w:ascii="Times New Roman" w:hAnsi="Times New Roman"/>
          <w:sz w:val="20"/>
        </w:rPr>
        <w:t>[34] Ren, Z., Zheng, H., He, X., Zhang, D., &amp; Yu, X. (2019). Estimation of the relationship between urban vegetation configuration and land surface temperature with remote sensing. Journal of the Indian Society of Remote Sensing, 47(1), 89–101.</w:t>
      </w:r>
    </w:p>
    <w:p>
      <w:pPr>
        <w:spacing w:after="60"/>
        <w:ind w:left="720" w:hanging="720"/>
      </w:pPr>
      <w:r>
        <w:rPr>
          <w:rFonts w:ascii="Times New Roman" w:hAnsi="Times New Roman"/>
          <w:sz w:val="20"/>
        </w:rPr>
        <w:t>[35] Zanella, A., Bui, N., Castellani, A., Vangelista, L., &amp; Zorzi, M. (2014). Internet of Things for smart cities. IEEE Internet of Things Journal, 1(1), 22–32.</w:t>
      </w:r>
    </w:p>
    <w:p>
      <w:pPr>
        <w:spacing w:after="60"/>
        <w:ind w:left="720" w:hanging="720"/>
      </w:pPr>
      <w:r>
        <w:rPr>
          <w:rFonts w:ascii="Times New Roman" w:hAnsi="Times New Roman"/>
          <w:sz w:val="20"/>
        </w:rPr>
        <w:t>[36] Allam, Z., &amp; Dhunny, Z. A. (2019). On big data, artificial intelligence and smart cities. Cities, 89, 80–91.</w:t>
      </w:r>
    </w:p>
    <w:p>
      <w:pPr>
        <w:spacing w:after="60"/>
        <w:ind w:left="720" w:hanging="720"/>
      </w:pPr>
      <w:r>
        <w:rPr>
          <w:rFonts w:ascii="Times New Roman" w:hAnsi="Times New Roman"/>
          <w:sz w:val="20"/>
        </w:rPr>
        <w:t>[37] Yigitcanlar, T., Desouza, K. C., Butler, L., &amp; Roozkhosh, F. (2020). Contributions and risks of artificial intelligence (AI) in building smarter cities. Energies, 13(6), 1473.</w:t>
      </w:r>
    </w:p>
    <w:p>
      <w:pPr>
        <w:spacing w:after="60"/>
        <w:ind w:left="720" w:hanging="720"/>
      </w:pPr>
      <w:r>
        <w:rPr>
          <w:rFonts w:ascii="Times New Roman" w:hAnsi="Times New Roman"/>
          <w:sz w:val="20"/>
        </w:rPr>
        <w:t>[38] Mang, P., &amp; Reed, B. (2012). Designing from place: A regenerative framework and methodology. Building Research &amp; Information, 40(1), 23–38.</w:t>
      </w:r>
    </w:p>
    <w:p>
      <w:pPr>
        <w:spacing w:after="60"/>
        <w:ind w:left="720" w:hanging="720"/>
      </w:pPr>
      <w:r>
        <w:rPr>
          <w:rFonts w:ascii="Times New Roman" w:hAnsi="Times New Roman"/>
          <w:sz w:val="20"/>
        </w:rPr>
        <w:t>[39] Lenzholzer, S., Duchhart, I., &amp; Koh, J. (2013). 'Research through designing' in landscape architecture. Landscape and Urban Planning, 113, 120–127.</w:t>
      </w:r>
    </w:p>
    <w:p>
      <w:pPr>
        <w:spacing w:after="60"/>
        <w:ind w:left="720" w:hanging="720"/>
      </w:pPr>
      <w:r>
        <w:rPr>
          <w:rFonts w:ascii="Times New Roman" w:hAnsi="Times New Roman"/>
          <w:sz w:val="20"/>
        </w:rPr>
        <w:t>[40] du Plessis, C. (2012). Towards a regenerative paradigm for the built environment. Building Research &amp; Information, 40(1), 7–22.</w:t>
      </w:r>
    </w:p>
    <w:p>
      <w:pPr>
        <w:spacing w:after="60"/>
        <w:ind w:left="720" w:hanging="720"/>
      </w:pPr>
      <w:r>
        <w:rPr>
          <w:rFonts w:ascii="Times New Roman" w:hAnsi="Times New Roman"/>
          <w:sz w:val="20"/>
        </w:rPr>
        <w:t>[41] Newman, P. (2014). Biophilic urbanism: A case study on Singapore. Australian Planner, 51(1), 47–65.</w:t>
      </w:r>
    </w:p>
    <w:p>
      <w:pPr>
        <w:spacing w:after="60"/>
        <w:ind w:left="720" w:hanging="720"/>
      </w:pPr>
      <w:r>
        <w:rPr>
          <w:rFonts w:ascii="Times New Roman" w:hAnsi="Times New Roman"/>
          <w:sz w:val="20"/>
        </w:rPr>
        <w:t>[42] City of Melbourne (2012). Urban Forest Strategy: Making a Great City Greener 2012–2032. City of Melbourne.</w:t>
      </w:r>
    </w:p>
    <w:p>
      <w:pPr>
        <w:spacing w:after="60"/>
        <w:ind w:left="720" w:hanging="720"/>
      </w:pPr>
      <w:r>
        <w:rPr>
          <w:rFonts w:ascii="Times New Roman" w:hAnsi="Times New Roman"/>
          <w:sz w:val="20"/>
        </w:rPr>
        <w:t>[43] Shin, H. B. (2019). Asian urbanism. In The Wiley Blackwell Encyclopedia of Urban and Regional Studies. John Wiley &amp; Sons.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