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CHAPTER 4</w:t>
      </w:r>
    </w:p>
    <w:p>
      <w:pPr>
        <w:pStyle w:val="Heading2"/>
      </w:pPr>
      <w:r>
        <w:t xml:space="preserve">EXPERIMENTATION</w:t>
      </w:r>
    </w:p>
    <w:p>
      <w:r>
        <w:t xml:space="preserve">This chapter presents the detailed experimental methodology adopted for the systematic design, preparation, and characterization of submerged arc welding (SAW) fluxes, followed by multi-pass bead-on-plate experimentation and final weld joint fabrication using API X70 pipeline steel. The experimental work encompasses mineral selection, flux formulation using Design of Experiments (DoE) methodology, physicochemical and thermophysical characterization, and comprehensive mechanical and microstructural evaluation of weld joints. The chapter is organized sequentially to reflect the logical progression of the research from flux design through to final weld characterization.</w:t>
      </w:r>
    </w:p>
    <w:p>
      <w:pPr>
        <w:pStyle w:val="Heading2"/>
      </w:pPr>
      <w:r>
        <w:t xml:space="preserve">4.1 Selection of Suitable Minerals Used as Fluxes for Submerged Arc Welding</w:t>
      </w:r>
    </w:p>
    <w:p>
      <w:r>
        <w:t xml:space="preserve">The selection of mineral constituents for submerged arc welding flux formulation is a critical step that determines the overall welding performance, slag behaviour, and final weld metal properties. In the present investigation, a systematic approach was adopted to select minerals based on their individual thermochemical roles, mutual compatibility in multi-component oxide systems, and relevance to marine and offshore welding applications. The primary mineral constituents selected for flux formulation include silica (SiO₂), titanium dioxide (TiO₂), calcium fluoride (CaF₂), barium oxide (BaO), manganese oxide (MnO), and calcium oxide (CaO). Each constituent was selected based on its specific metallurgical function and contribution to the slag-metal equilibrium reactions during the submerged arc welding process.</w:t>
      </w:r>
    </w:p>
    <w:p>
      <w:r>
        <w:rPr>
          <w:b/>
        </w:rPr>
        <w:t xml:space="preserve">Silica (SiO₂)</w:t>
      </w:r>
      <w:r>
        <w:t xml:space="preserve"> serves as the primary network-forming oxide in the flux system. It provides the structural backbone of the silicate slag by forming interconnected SiO₄ tetrahedra, which control slag viscosity, melting temperature, and glass-forming tendency. In the context of submerged arc welding, SiO₂ acts as an acidic constituent that influences the oxygen potential at the slag-metal interface and controls silicon transfer to the weld metal through the equilibrium reaction: SiO₂ (slag) ⇌ [Si] (metal) + 2[O] (metal). The concentration of SiO₂ was varied between 5.0 and 10.0 g per 100 g batch to maintain adequate slag fluidity while avoiding excessive oxygen pickup in the weld metal.</w:t>
      </w:r>
    </w:p>
    <w:p>
      <w:r>
        <w:rPr>
          <w:b/>
        </w:rPr>
        <w:t xml:space="preserve">Titanium dioxide (TiO₂)</w:t>
      </w:r>
      <w:r>
        <w:t xml:space="preserve"> was incorporated as an arc-stabilizing constituent and inclusion modifier. TiO₂ enhances electrical conductivity of the molten slag, thereby improving arc stability during the welding operation. Additionally, TiO₂ participates in the formation of complex titanate inclusions in the weld metal, which serve as preferential nucleation sites for acicular ferrite—a microstructural constituent highly desirable for achieving superior low-temperature impact toughness in pipeline steels. The TiO₂ content was varied between 10.0 and 20.0 g per 100 g batch to optimize both arc characteristics and inclusion chemistry.</w:t>
      </w:r>
    </w:p>
    <w:p>
      <w:r>
        <w:rPr>
          <w:b/>
        </w:rPr>
        <w:t xml:space="preserve">Calcium fluoride (CaF₂)</w:t>
      </w:r>
      <w:r>
        <w:t xml:space="preserve"> is a well-established fluxing agent in welding metallurgy. Its primary role is to reduce the melting point and viscosity of the slag, thereby improving slag fluidity and detachability from the solidified weld bead. CaF₂ also contributes to the basicity of the flux system and acts as a strong desulphurizing agent through the provision of fluoride ions that lower the activity of sulphur in the slag-metal system. Furthermore, CaF₂ reduces the diffusible hydrogen content in the weld metal by lowering the partial pressure of water vapour in the arc atmosphere. The CaF₂ content was varied over a wide range of 20.0 to 35.0 g per 100 g batch, reflecting its dominant role in controlling slag properties for offshore welding conditions where slag detachability and hydrogen control are of paramount importance.</w:t>
      </w:r>
    </w:p>
    <w:p>
      <w:r>
        <w:rPr>
          <w:b/>
        </w:rPr>
        <w:t xml:space="preserve">Barium oxide (BaO)</w:t>
      </w:r>
      <w:r>
        <w:t xml:space="preserve"> was included as a basic oxide constituent to enhance the arc stability and contribute to slag formation. BaO possesses a high theoretical density (5.72 g/cm³) and acts as a strong basic oxide that increases the basicity index of the flux formulation. It contributes free oxygen ions (O²⁻) to the molten slag, which participate in desulphurization reactions and modify the oxygen potential at the slag-metal interface. The dissociation of BaO in the molten slag enhances the activity of other basic species and promotes alloy element recovery to the weld metal. BaO content was varied between 5.0 and 10.0 g per 100 g batch.</w:t>
      </w:r>
    </w:p>
    <w:p>
      <w:r>
        <w:rPr>
          <w:b/>
        </w:rPr>
        <w:t xml:space="preserve">Manganese oxide (MnO)</w:t>
      </w:r>
      <w:r>
        <w:t xml:space="preserve"> serves a dual function as both a deoxidizer and an alloying element source. During the slag-metal reactions, MnO dissociates according to the equilibrium: MnO (slag) ⇌ [Mn] (metal) + [O] (metal). The manganese transferred to the weld metal improves solid-solution strengthening and promotes the formation of desirable microstructural constituents. Additionally, MnO acts as a network modifier in the silicate slag structure, contributing to depolymerization of the Si-O-Si network and thereby reducing slag viscosity. The MnO content was varied between 10.0 and 25.0 g per 100 g batch to provide adequate manganese recovery while controlling oxygen transfer.</w:t>
      </w:r>
    </w:p>
    <w:p>
      <w:r>
        <w:rPr>
          <w:b/>
        </w:rPr>
        <w:t xml:space="preserve">Calcium oxide (CaO)</w:t>
      </w:r>
      <w:r>
        <w:t xml:space="preserve"> was maintained at a constant level of 8.0 g per 100 g batch across all twenty-five flux formulations. This fixed addition serves to stabilize the slag chemistry by providing a consistent baseline basic condition. CaO is a strong basic oxide that dissociates to provide free O²⁻ ions, enhancing desulphurization capacity and controlling slag viscosity. By maintaining CaO constant, its individual effect was isolated from the variable mineral constituents, enabling a clearer interpretation of the effects of the other five components through the Design of Experiments methodology.</w:t>
      </w:r>
    </w:p>
    <w:p>
      <w:r>
        <w:t xml:space="preserve">Additionally, </w:t>
      </w:r>
      <w:r>
        <w:rPr>
          <w:b/>
        </w:rPr>
        <w:t xml:space="preserve">red ochre</w:t>
      </w:r>
      <w:r>
        <w:t xml:space="preserve">, a sustainable iron-rich by-product of iron-ore extraction from Rajasthan, India, was employed as an innovative additive in the flux formulations. Red ochre was dried in an oven at 110°C for 24 hours and milled to a particle size less than 45 μm before incorporation. Inclusion levels ranged between 5.0 and 15.0 g per 100 g batch, substituting an equivalent fraction of silica to maintain constant total batch mass. The high iron content of red ochre increases the electrical conductivity of the flux, enhances arc stability, and adjusts the weld-metal chemistry to improve corrosion resistance—properties particularly relevant for marine and offshore applications.</w:t>
      </w:r>
    </w:p>
    <w:p>
      <w:r>
        <w:t xml:space="preserve">The purity of all mineral powders used in the present investigation was 99%, and the composition of each batch was verified through X-ray fluorescence (XRF) analysis to guarantee reproducibility and quality control. Table 4.1 summarizes the mineral constituent composition ranges employed for flux formulation in the present study.</w:t>
      </w:r>
    </w:p>
    <w:p>
      <w:r>
        <w:rPr>
          <w:b/>
        </w:rPr>
        <w:t xml:space="preserve">Table 4.1: Mineral constituent composition ranges for flux formulation</w:t>
      </w:r>
    </w:p>
    <w:p>
      <w:r>
        <w:t xml:space="preserve">S. No | Mineral Constituent | Denoting Symbol | Range (g/100g batch)</w:t>
      </w:r>
    </w:p>
    <w:p>
      <w:r>
        <w:t xml:space="preserve">1 | SiO₂ | A | 5.0 – 10.0</w:t>
      </w:r>
    </w:p>
    <w:p>
      <w:r>
        <w:t xml:space="preserve">2 | TiO₂ | B | 10.0 – 20.0</w:t>
      </w:r>
    </w:p>
    <w:p>
      <w:r>
        <w:t xml:space="preserve">3 | CaF₂ | C | 20.0 – 35.0</w:t>
      </w:r>
    </w:p>
    <w:p>
      <w:r>
        <w:t xml:space="preserve">4 | BaO | D | 5.0 – 10.0</w:t>
      </w:r>
    </w:p>
    <w:p>
      <w:r>
        <w:t xml:space="preserve">5 | MnO | E | 10.0 – 25.0</w:t>
      </w:r>
    </w:p>
    <w:p>
      <w:r>
        <w:t xml:space="preserve">6 | CaO | F | 8.0 (constant)</w:t>
      </w:r>
    </w:p>
    <w:p>
      <w:r>
        <w:t xml:space="preserve">The selection rationale for these minerals was further guided by established ternary and quaternary phase equilibrium diagrams, which provided thermodynamic justification for the compositional ranges and identified regions of favourable phase stability, low liquidus temperatures, and controlled slag fluidity. These phase diagrams served as the scientific foundation for the systematic flux design approach described in the subsequent section.</w:t>
      </w:r>
    </w:p>
    <w:p>
      <w:pPr>
        <w:pStyle w:val="Heading3"/>
      </w:pPr>
      <w:r>
        <w:t xml:space="preserve">4.1.1 Design of Experimentation for Flux Formulation</w:t>
      </w:r>
    </w:p>
    <w:p>
      <w:r>
        <w:t xml:space="preserve">The traditional trial-and-error method of flux development was replaced in the present investigation by a systematic Design of Experiments (DoE) approach. The inherent constraint in mixture experiments—where mineral constituents are interdependent and an increase in one component necessarily requires a decrease in one or more other components—necessitated the use of mixture design methodology rather than conventional factorial or response surface designs.</w:t>
      </w:r>
    </w:p>
    <w:p>
      <w:r>
        <w:t xml:space="preserve">Design-Expert software (version 13, Stat-Ease Inc., Minneapolis, MN, USA) was employed to generate an experimental flux design matrix for the SiO₂, TiO₂, CaF₂, BaO, MnO, and fixed CaO ingredient system. The D-optimal design criterion was selected because the lower and upper bound constraints imposed on the variables (Table 4.1) are not compatible with standard simplex-lattice or simplex-centroid designs. The D-optimal algorithm maximizes the determinant of the information matrix (X'X), thereby minimizing the variance of the estimated model coefficients and providing the most efficient experimental design within the constrained mixture space. To minimize systematic bias, replicate compositions were randomly positioned within the design space.</w:t>
      </w:r>
    </w:p>
    <w:p>
      <w:r>
        <w:t xml:space="preserve">The mixture formulation was designed according to the following mathematical constraints:</w:t>
      </w:r>
    </w:p>
    <w:p>
      <w:r>
        <w:rPr>
          <w:b/>
        </w:rPr>
        <w:t xml:space="preserve">Equation 4.1:</w:t>
      </w:r>
      <w:r>
        <w:t xml:space="preserve"> 0 ≤ αᵢ ≤ xᵢ ≤ βᵢ ≤ 100</w:t>
      </w:r>
    </w:p>
    <w:p>
      <w:r>
        <w:rPr>
          <w:b/>
        </w:rPr>
        <w:t xml:space="preserve">Equation 4.2:</w:t>
      </w:r>
      <w:r>
        <w:t xml:space="preserve"> Σᵢ₌₁⁶ xᵢ = 100</w:t>
      </w:r>
    </w:p>
    <w:p>
      <w:r>
        <w:t xml:space="preserve">In these expressions, xᵢ represents the mass in grams of each mineral constituent in every batch of 100 g, while αᵢ and βᵢ serve as the lower and upper specifications of each element as detailed in Table 4.1. Equation 4.1 ensures that the amount of each single element remains within the prescribed range. The scale accommodates the mass variations introduced by adding red ochre and binder materials. The constraint Equation 4.2 ensures that the total batch mass sums to 100 g, maintaining the integrity of the mixture design.</w:t>
      </w:r>
    </w:p>
    <w:p>
      <w:r>
        <w:t xml:space="preserve">The compositional design space was analysed using several fundamental ternary phase equilibrium systems to establish thermodynamic justification for the selected ranges:</w:t>
      </w:r>
    </w:p>
    <w:p>
      <w:r>
        <w:rPr>
          <w:b/>
        </w:rPr>
        <w:t xml:space="preserve">(a) SiO₂–CaO–CaF₂ system:</w:t>
      </w:r>
      <w:r>
        <w:t xml:space="preserve"> This ternary diagram reveals that the addition of CaF₂ to the SiO₂-CaO system significantly reduces the liquidus temperature and creates two-liquid immiscibility zones. These regions are critical for regulating slag fluidity during the welding process, as they define the temperature ranges over which the slag transitions from a fully liquid state to a partially solidified condition.</w:t>
      </w:r>
    </w:p>
    <w:p>
      <w:r>
        <w:rPr>
          <w:b/>
        </w:rPr>
        <w:t xml:space="preserve">(b) SiO₂–MnO–TiO₂ system:</w:t>
      </w:r>
      <w:r>
        <w:t xml:space="preserve"> This equilibrium diagram, plotted under controlled oxygen potential (pCO/pCO₂ ratio of unity), demonstrates the effect of Mn and Ti on the formation and stability of silicate and titanate phases. The phase relationships in this system are directly relevant to arc stability and slag release characteristics, as the titanate phases influence the electrical conductivity of the molten slag.</w:t>
      </w:r>
    </w:p>
    <w:p>
      <w:r>
        <w:rPr>
          <w:b/>
        </w:rPr>
        <w:t xml:space="preserve">(c) BaO–SiO₂–CaF₂ system:</w:t>
      </w:r>
      <w:r>
        <w:t xml:space="preserve"> This diagram indicates a low-melting dual liquid phase region near the SiO₂-CaF₂ interface, suggesting that flux compositions in this region will exhibit easier melting characteristics than those in adjacent phase fields. This information was used to optimize the BaO content for improved slag fluidity.</w:t>
      </w:r>
    </w:p>
    <w:p>
      <w:r>
        <w:rPr>
          <w:b/>
        </w:rPr>
        <w:t xml:space="preserve">(d) Quaternary SiO₂–CaF₂–MnO–BaO framework:</w:t>
      </w:r>
      <w:r>
        <w:t xml:space="preserve"> These ternary combinations were extended to a quaternary model, whose polyhedral design space represents the scope of viable composition based on the liquidus and phase-stability criteria observed in the constituent ternary systems. This quaternary framework served as the umbrella design guide for formulating flux compositions that provide stable melting characteristics and controlled slag properties.</w:t>
      </w:r>
    </w:p>
    <w:p>
      <w:r>
        <w:t xml:space="preserve">The resulting D-optimal design generated twenty-five experimental flux compositions distributed across the polyhedron design space, including vertex points, centre edge points, plane centre points, and an overall centroid point. Table 4.2 presents the complete design matrix with the compositional details and calculated basicity indices for all twenty-five flux formulations.</w:t>
      </w:r>
    </w:p>
    <w:p>
      <w:r>
        <w:t xml:space="preserve">The basicity index (BI) of the twenty-five fluxes was calculated using the modified Tulliani equation:</w:t>
      </w:r>
    </w:p>
    <w:p>
      <w:r>
        <w:rPr>
          <w:b/>
        </w:rPr>
        <w:t xml:space="preserve">Equation 4.3:</w:t>
      </w:r>
      <w:r>
        <w:t xml:space="preserve"> BI = (CaO + CaF₂ + MgO + BaO + SrO + Na₂O) + 0.5(MnO + Fe) / SiO₂ + 0.5(TiO₂ + Al₂O₃ + ZrO₂)</w:t>
      </w:r>
    </w:p>
    <w:p>
      <w:r>
        <w:t xml:space="preserve">This modified basicity index was adopted because it provides an improved description of the fluxing and deoxidizing effects of CaF₂ and MnO, in addition to the conventional basic oxides. The resulting basicity index values ranged between 2.100 and 4.622, categorizing the fluxes from moderately basic to strongly basic. CaF₂ and MnO-rich blends exhibited the highest basicity values, while those with high levels of SiO₂ and TiO₂ had the lowest basicity. The experimental reproducibility was confirmed by repeated compositions yielding identical basicity index values, validating the methodological robustness of the flux formulation and screening process.</w:t>
      </w:r>
    </w:p>
    <w:p>
      <w:r>
        <w:rPr>
          <w:b/>
        </w:rPr>
        <w:t xml:space="preserve">Table 4.2: Design matrix of flux composition</w:t>
      </w:r>
    </w:p>
    <w:p>
      <w:r>
        <w:t xml:space="preserve">Run | SiO₂ | TiO₂ | CaF₂ | BaO | MnO | CaO | Basicity Index | Point Type</w:t>
      </w:r>
    </w:p>
    <w:p>
      <w:r>
        <w:t xml:space="preserve">1 | 10.000 | 18.588 | 21.422 | 9.991 | 25.000 | 8.0 | 2.253 | Vertex</w:t>
      </w:r>
    </w:p>
    <w:p>
      <w:r>
        <w:t xml:space="preserve">2 | 6.371 | 10.172 | 35.000 | 8.457 | 25.000 | 8.0 | 4.622 | Vertex</w:t>
      </w:r>
    </w:p>
    <w:p>
      <w:r>
        <w:t xml:space="preserve">3 | 8.151 | 13.985 | 35.000 | 10.000 | 17.865 | 8.0 | 3.201 | Vertex</w:t>
      </w:r>
    </w:p>
    <w:p>
      <w:r>
        <w:t xml:space="preserve">4 | 7.940 | 15.422 | 30.088 | 6.551 | 25.000 | 8.0 | 2.981 | Vertex</w:t>
      </w:r>
    </w:p>
    <w:p>
      <w:r>
        <w:t xml:space="preserve">5 | 8.151 | 13.985 | 35.000 | 10.000 | 17.865 | 8.0 | 3.201 | Vertex</w:t>
      </w:r>
    </w:p>
    <w:p>
      <w:r>
        <w:t xml:space="preserve">6 | 5.288 | 20.000 | 27.437 | 7.275 | 25.000 | 8.0 | 2.677 | Vertex</w:t>
      </w:r>
    </w:p>
    <w:p>
      <w:r>
        <w:t xml:space="preserve">7 | 10.000 | 14.370 | 25.630 | 10.000 | 25.000 | 8.0 | 2.816 | Centre Edge</w:t>
      </w:r>
    </w:p>
    <w:p>
      <w:r>
        <w:t xml:space="preserve">8 | 7.940 | 15.422 | 30.088 | 6.551 | 25.000 | 8.0 | 2.981 | Centre Edge</w:t>
      </w:r>
    </w:p>
    <w:p>
      <w:r>
        <w:t xml:space="preserve">9 | 7.940 | 15.422 | 30.088 | 6.551 | 25.000 | 8.0 | 2.981 | Centre Edge</w:t>
      </w:r>
    </w:p>
    <w:p>
      <w:r>
        <w:t xml:space="preserve">10 | 7.994 | 20.000 | 28.167 | 10.000 | 18.839 | 8.0 | 2.322 | Centre Edge</w:t>
      </w:r>
    </w:p>
    <w:p>
      <w:r>
        <w:t xml:space="preserve">11 | 10.000 | 20.000 | 26.732 | 5.000 | 23.268 | 8.0 | 2.100 | Centre Edge</w:t>
      </w:r>
    </w:p>
    <w:p>
      <w:r>
        <w:t xml:space="preserve">12 | 5.023 | 20.000 | 33.183 | 6.313 | 20.481 | 8.0 | 2.717 | Centre Edge</w:t>
      </w:r>
    </w:p>
    <w:p>
      <w:r>
        <w:t xml:space="preserve">13 | 5.000 | 14.381 | 30.619 | 10.000 | 25.000 | 8.0 | 3.799 | Centre Edge</w:t>
      </w:r>
    </w:p>
    <w:p>
      <w:r>
        <w:t xml:space="preserve">14 | 7.994 | 20.000 | 28.167 | 10.000 | 18.839 | 8.0 | 2.322 | Centre Edge</w:t>
      </w:r>
    </w:p>
    <w:p>
      <w:r>
        <w:t xml:space="preserve">15 | 8.788 | 15.540 | 35.000 | 5.353 | 20.319 | 8.0 | 2.823 | Centre Edge</w:t>
      </w:r>
    </w:p>
    <w:p>
      <w:r>
        <w:t xml:space="preserve">16 | 10.000 | 11.447 | 35.000 | 5.000 | 23.553 | 8.0 | 3.337 | Centre Edge</w:t>
      </w:r>
    </w:p>
    <w:p>
      <w:r>
        <w:t xml:space="preserve">17 | 10.000 | 19.369 | 31.711 | 9.513 | 14.407 | 8.0 | 2.166 | Plane Centre</w:t>
      </w:r>
    </w:p>
    <w:p>
      <w:r>
        <w:t xml:space="preserve">18 | 10.000 | 20.000 | 35.000 | 10.000 | 10.000 | 8.0 | 2.100 | Plane Centre</w:t>
      </w:r>
    </w:p>
    <w:p>
      <w:r>
        <w:t xml:space="preserve">19 | 10.000 | 16.875 | 31.332 | 7.894 | 18.899 | 8.0 | 2.461 | Plane Centre</w:t>
      </w:r>
    </w:p>
    <w:p>
      <w:r>
        <w:t xml:space="preserve">20 | 10.000 | 16.875 | 31.332 | 7.894 | 18.899 | 8.0 | 2.461 | Plane Centre</w:t>
      </w:r>
    </w:p>
    <w:p>
      <w:r>
        <w:t xml:space="preserve">21 | 10.000 | 10.000 | 30.000 | 10.000 | 25.000 | 8.0 | 3.650 | Plane Centre</w:t>
      </w:r>
    </w:p>
    <w:p>
      <w:r>
        <w:t xml:space="preserve">22 | 10.000 | 10.000 | 34.073 | 10.000 | 20.927 | 8.0 | 3.650 | Plane Centre</w:t>
      </w:r>
    </w:p>
    <w:p>
      <w:r>
        <w:t xml:space="preserve">23 | 7.968 | 20.000 | 35.000 | 6.014 | 16.019 | 8.0 | 2.326 | Plane Centre</w:t>
      </w:r>
    </w:p>
    <w:p>
      <w:r>
        <w:t xml:space="preserve">24 | 5.000 | 16.159 | 35.000 | 5.000 | 23.841 | 8.0 | 3.395 | Plane Centre</w:t>
      </w:r>
    </w:p>
    <w:p>
      <w:r>
        <w:t xml:space="preserve">25 | 5.000 | 20.000 | 35.000 | 9.300 | 15.700 | 8.0 | 2.720 | Overall Centroid</w:t>
      </w:r>
    </w:p>
    <w:p>
      <w:pPr>
        <w:pStyle w:val="Heading3"/>
      </w:pPr>
      <w:r>
        <w:t xml:space="preserve">4.1.2 Selection of SAW Process Parameters</w:t>
      </w:r>
    </w:p>
    <w:p>
      <w:r>
        <w:t xml:space="preserve">The selection of submerged arc welding process parameters was carried out through systematic pre-trial experiments to establish optimal conditions for consistent bead formation, adequate flux melting, and satisfactory slag detachability. The welding parameters were selected based on the requirements of API X70 pipeline steel and the characteristics of the developed flux system.</w:t>
      </w:r>
    </w:p>
    <w:p>
      <w:r>
        <w:t xml:space="preserve">For the initial multi-pass bead-on-plate experiments (using the twenty-five developed fluxes), the following welding parameters were established:</w:t>
      </w:r>
    </w:p>
    <w:p>
      <w:r>
        <w:t xml:space="preserve">  • </w:t>
      </w:r>
      <w:r>
        <w:rPr>
          <w:b/>
        </w:rPr>
        <w:t xml:space="preserve">Welding current:</w:t>
      </w:r>
      <w:r>
        <w:t xml:space="preserve"> 230 A (direct current electrode positive, DCEP)</w:t>
      </w:r>
    </w:p>
    <w:p>
      <w:r>
        <w:t xml:space="preserve">  • </w:t>
      </w:r>
      <w:r>
        <w:rPr>
          <w:b/>
        </w:rPr>
        <w:t xml:space="preserve">Arc voltage:</w:t>
      </w:r>
      <w:r>
        <w:t xml:space="preserve"> 25 V</w:t>
      </w:r>
    </w:p>
    <w:p>
      <w:r>
        <w:t xml:space="preserve">  • </w:t>
      </w:r>
      <w:r>
        <w:rPr>
          <w:b/>
        </w:rPr>
        <w:t xml:space="preserve">Welding speed:</w:t>
      </w:r>
      <w:r>
        <w:t xml:space="preserve"> 8 inches/min (3.39 mm/s)</w:t>
      </w:r>
    </w:p>
    <w:p>
      <w:r>
        <w:t xml:space="preserve">  • </w:t>
      </w:r>
      <w:r>
        <w:rPr>
          <w:b/>
        </w:rPr>
        <w:t xml:space="preserve">Filler wire:</w:t>
      </w:r>
      <w:r>
        <w:t xml:space="preserve"> EA2TiB, diameter 2.4 mm</w:t>
      </w:r>
    </w:p>
    <w:p>
      <w:r>
        <w:t xml:space="preserve">  • </w:t>
      </w:r>
      <w:r>
        <w:rPr>
          <w:b/>
        </w:rPr>
        <w:t xml:space="preserve">Number of passes:</w:t>
      </w:r>
      <w:r>
        <w:t xml:space="preserve"> Five passes per bead</w:t>
      </w:r>
    </w:p>
    <w:p>
      <w:r>
        <w:t xml:space="preserve">  • </w:t>
      </w:r>
      <w:r>
        <w:rPr>
          <w:b/>
        </w:rPr>
        <w:t xml:space="preserve">Interpass temperature:</w:t>
      </w:r>
      <w:r>
        <w:t xml:space="preserve"> 120°C to 150°C (monitored using contact thermocouple at 25 mm from weld centreline)</w:t>
      </w:r>
    </w:p>
    <w:p>
      <w:r>
        <w:t xml:space="preserve">The heat input was calculated using the standard formula:</w:t>
      </w:r>
    </w:p>
    <w:p>
      <w:r>
        <w:rPr>
          <w:b/>
        </w:rPr>
        <w:t xml:space="preserve">Equation 4.4:</w:t>
      </w:r>
      <w:r>
        <w:t xml:space="preserve"> Heat Input (HI) = (V × I × 60 / S) × η</w:t>
      </w:r>
    </w:p>
    <w:p>
      <w:r>
        <w:t xml:space="preserve">Where V is the welding voltage (25 V), I is the welding current (230 A), S is the welding speed (3.39 mm/s), and η is the arc efficiency (0.75 for SAW). The calculated heat input value of approximately 1.02 kJ/mm falls within the recommended range of 0.8–2.5 kJ/mm for X70 pipeline steel welding, which prevents excessive coarsening of the heat-affected zone while ensuring complete flux melting and sufficient slag-metal reaction time.</w:t>
      </w:r>
    </w:p>
    <w:p>
      <w:r>
        <w:t xml:space="preserve">The interpass temperature was rigorously maintained between 120°C and 150°C to prevent the formation of coarse grains or martensite in the multipass weld metal. This relatively low interpass temperature promotes the development of acicular ferrite microstructure, which is essential for achieving the desired toughness-hardness balance in multipass welds of API X70 pipeline steel.</w:t>
      </w:r>
    </w:p>
    <w:p>
      <w:r>
        <w:t xml:space="preserve">For the final butt weld joint fabrication (using the three selected adequate fluxes and one commercial flux), the welding parameters were adjusted to accommodate the thicker plate configuration:</w:t>
      </w:r>
    </w:p>
    <w:p>
      <w:r>
        <w:t xml:space="preserve">  • </w:t>
      </w:r>
      <w:r>
        <w:rPr>
          <w:b/>
        </w:rPr>
        <w:t xml:space="preserve">Welding current:</w:t>
      </w:r>
      <w:r>
        <w:t xml:space="preserve"> 440 A (DCEP polarity)</w:t>
      </w:r>
    </w:p>
    <w:p>
      <w:r>
        <w:t xml:space="preserve">  • </w:t>
      </w:r>
      <w:r>
        <w:rPr>
          <w:b/>
        </w:rPr>
        <w:t xml:space="preserve">Arc voltage:</w:t>
      </w:r>
      <w:r>
        <w:t xml:space="preserve"> 28 V</w:t>
      </w:r>
    </w:p>
    <w:p>
      <w:r>
        <w:t xml:space="preserve">  • </w:t>
      </w:r>
      <w:r>
        <w:rPr>
          <w:b/>
        </w:rPr>
        <w:t xml:space="preserve">Welding speed:</w:t>
      </w:r>
      <w:r>
        <w:t xml:space="preserve"> 13 inches/min</w:t>
      </w:r>
    </w:p>
    <w:p>
      <w:r>
        <w:t xml:space="preserve">  • </w:t>
      </w:r>
      <w:r>
        <w:rPr>
          <w:b/>
        </w:rPr>
        <w:t xml:space="preserve">Nozzle-to-tip distance:</w:t>
      </w:r>
      <w:r>
        <w:t xml:space="preserve"> 20 mm (maintained constant)</w:t>
      </w:r>
    </w:p>
    <w:p>
      <w:r>
        <w:t xml:space="preserve">  • </w:t>
      </w:r>
      <w:r>
        <w:rPr>
          <w:b/>
        </w:rPr>
        <w:t xml:space="preserve">Joint configuration:</w:t>
      </w:r>
      <w:r>
        <w:t xml:space="preserve"> Butt weld, V-groove preparation</w:t>
      </w:r>
    </w:p>
    <w:p>
      <w:r>
        <w:t xml:space="preserve">  • </w:t>
      </w:r>
      <w:r>
        <w:rPr>
          <w:b/>
        </w:rPr>
        <w:t xml:space="preserve">Plate dimensions:</w:t>
      </w:r>
      <w:r>
        <w:t xml:space="preserve"> 140 mm × 140 mm × 22 mm (API X70 steel)</w:t>
      </w:r>
    </w:p>
    <w:p>
      <w:r>
        <w:t xml:space="preserve">These parameters were established through pre-trial tests where bead profile consistency, porosity levels, and slag detachability were qualitatively assessed on a low/medium/high scale. The selected parameter combination provided consistent bead profiles with no surface defects such as undercut or over-reinforcement across all flux formulations tested.</w:t>
      </w:r>
    </w:p>
    <w:p>
      <w:pPr>
        <w:pStyle w:val="Heading2"/>
      </w:pPr>
      <w:r>
        <w:t xml:space="preserve">4.2 SAW Flux Preparation</w:t>
      </w:r>
    </w:p>
    <w:p>
      <w:r>
        <w:t xml:space="preserve">The preparation of agglomerated submerged arc welding fluxes was carried out in the laboratory following a systematic and reproducible procedure. The agglomeration technique was selected over the fused flux manufacturing route because it offers greater flexibility in compositional control, lower processing temperatures, and the ability to incorporate thermally sensitive constituents such as carbonates and fluorides without decomposition. The complete flux preparation procedure involved sequential steps of powder processing, mixing, binder addition, agglomeration, drying, baking, and particle size classification.</w:t>
      </w:r>
    </w:p>
    <w:p>
      <w:pPr>
        <w:pStyle w:val="Heading3"/>
      </w:pPr>
      <w:r>
        <w:t xml:space="preserve">4.2.1 Powder Processing and Weighing</w:t>
      </w:r>
    </w:p>
    <w:p>
      <w:r>
        <w:t xml:space="preserve">All mineral constituents—silica (SiO₂), titanium dioxide (TiO₂), calcium fluoride (CaF₂), barium oxide (BaO), manganese oxide (MnO), and calcium oxide (CaO)—were individually milled to achieve a particle size less than 45 μm (passing through a 325-mesh sieve). This fine particle size was selected to ensure:</w:t>
      </w:r>
    </w:p>
    <w:p>
      <w:r>
        <w:t xml:space="preserve">(i) Maximum contact surface area between individual flux constituents during mixing, promoting homogeneous distribution of all phases;</w:t>
      </w:r>
    </w:p>
    <w:p>
      <w:r>
        <w:t xml:space="preserve">(ii) Uniform distribution and wetting of the binder solution across all particle surfaces;</w:t>
      </w:r>
    </w:p>
    <w:p>
      <w:r>
        <w:t xml:space="preserve">(iii) Ideal agglomeration behaviour during the granulation step; and</w:t>
      </w:r>
    </w:p>
    <w:p>
      <w:r>
        <w:t xml:space="preserve">(iv) Elimination of segregation of high-density oxides such as BaO (ρ = 5.72 g/cm³) and MnO (ρ = 5.03 g/cm³) during handling, storage, and the welding process itself.</w:t>
      </w:r>
    </w:p>
    <w:p>
      <w:r>
        <w:t xml:space="preserve">Each mineral constituent was weighed accurately using a digital analytical balance with a precision of ±1 mg, following the compositional specifications of the D-optimal design matrix (Table 4.2). The total batch mass for each formulation was maintained at 100 g to ensure consistency and facilitate direct comparison between formulations.</w:t>
      </w:r>
    </w:p>
    <w:p>
      <w:pPr>
        <w:pStyle w:val="Heading3"/>
      </w:pPr>
      <w:r>
        <w:t xml:space="preserve">4.2.2 Mixing and Binder Addition</w:t>
      </w:r>
    </w:p>
    <w:p>
      <w:r>
        <w:t xml:space="preserve">The weighed mineral powders were combined in a Turbula mixer for 30 minutes to achieve a homogeneous dry powder blend. The Turbula mixer provides three-dimensional mixing through simultaneous rotation, translation, and inversion motions, which is particularly effective for blending powders of different densities and particle morphologies. This extended mixing duration was essential to overcome the density differences between the constituent powders and ensure uniform spatial distribution of all mineral phases.</w:t>
      </w:r>
    </w:p>
    <w:p>
      <w:r>
        <w:t xml:space="preserve">Following dry mixing, potassium silicate solution (K₂SiO₃) was added as an inorganic binder at 5 wt.% of the total batch mass. The potassium silicate binder was diluted in distilled water at a 1:3 ratio to reduce its viscosity and facilitate uniform wetting of the powder mixture. The diluted binder solution was gradually poured into the mixed powder blend under continuous manual stirring to ensure complete and homogeneous wetting of all particle surfaces. The role of the potassium silicate binder is multifold:</w:t>
      </w:r>
    </w:p>
    <w:p>
      <w:r>
        <w:t xml:space="preserve">(i) It provides mechanical bonding strength between individual mineral particles to form stable agglomerates;</w:t>
      </w:r>
    </w:p>
    <w:p>
      <w:r>
        <w:t xml:space="preserve">(ii) It enhances arc stability during the welding process through the contribution of potassium ions to the arc atmosphere;</w:t>
      </w:r>
    </w:p>
    <w:p>
      <w:r>
        <w:t xml:space="preserve">(iii) It forms a glassy silicate phase upon thermal treatment that encapsulates and protects individual mineral grains; and</w:t>
      </w:r>
    </w:p>
    <w:p>
      <w:r>
        <w:t xml:space="preserve">(iv) It provides adequate green strength to the agglomerates for handling and feeding into the welding equipment.</w:t>
      </w:r>
    </w:p>
    <w:p>
      <w:r>
        <w:t xml:space="preserve">The selection of potassium silicate over sodium silicate was based on the superior arc-stabilizing properties of potassium ions compared to sodium ions, as potassium has a lower ionization potential (4.34 eV vs. 5.14 eV for sodium), which promotes easier ionization in the arc column and more stable arc characteristics.</w:t>
      </w:r>
    </w:p>
    <w:p>
      <w:pPr>
        <w:pStyle w:val="Heading3"/>
      </w:pPr>
      <w:r>
        <w:t xml:space="preserve">4.2.3 Agglomeration and Granulation</w:t>
      </w:r>
    </w:p>
    <w:p>
      <w:r>
        <w:t xml:space="preserve">After uniformly homogenizing the wet flux mixture, the material was passed through a 1.0 mm sieve to form green agglomerates of controlled size. This wet granulation step produces roughly spherical agglomerates with a narrow particle size distribution, which is essential for uniform flux feeding during the submerged arc welding operation. The sieving process breaks up any large lumps formed during the binder addition stage and produces agglomerates of consistent geometry.</w:t>
      </w:r>
    </w:p>
    <w:p>
      <w:pPr>
        <w:pStyle w:val="Heading3"/>
      </w:pPr>
      <w:r>
        <w:t xml:space="preserve">4.2.4 Drying and Baking</w:t>
      </w:r>
    </w:p>
    <w:p>
      <w:r>
        <w:t xml:space="preserve">The green agglomerates were subjected to a two-stage thermal treatment:</w:t>
      </w:r>
    </w:p>
    <w:p>
      <w:r>
        <w:rPr>
          <w:b/>
        </w:rPr>
        <w:t xml:space="preserve">Stage 1 – Low-temperature drying:</w:t>
      </w:r>
      <w:r>
        <w:t xml:space="preserve"> The sieved agglomerates were placed in stainless steel trays and dried in an electrically heated oven at 100°C for 2 hours. This initial drying step removes the majority of the free water content from the binder solution without causing thermal shock or cracking of the agglomerates. The moderate temperature and extended duration ensure uniform moisture removal from both the surface and interior of the granules.</w:t>
      </w:r>
    </w:p>
    <w:p>
      <w:r>
        <w:rPr>
          <w:b/>
        </w:rPr>
        <w:t xml:space="preserve">Stage 2 – High-temperature baking:</w:t>
      </w:r>
      <w:r>
        <w:t xml:space="preserve"> Following the initial drying, the agglomerates were transferred to a muffle furnace and baked at 900°C. This high-temperature treatment serves several critical purposes:</w:t>
      </w:r>
    </w:p>
    <w:p>
      <w:r>
        <w:t xml:space="preserve">(i) Complete removal of chemically bound water and hydroxyl groups from the binder and mineral constituents;</w:t>
      </w:r>
    </w:p>
    <w:p>
      <w:r>
        <w:t xml:space="preserve">(ii) Decomposition of any residual carbonate species that may have formed during storage;</w:t>
      </w:r>
    </w:p>
    <w:p>
      <w:r>
        <w:t xml:space="preserve">(iii) Sintering of the potassium silicate binder to form a strong glassy matrix that bonds the mineral particles;</w:t>
      </w:r>
    </w:p>
    <w:p>
      <w:r>
        <w:t xml:space="preserve">(iv) Stabilization of the crystal structure of the individual mineral phases; and</w:t>
      </w:r>
    </w:p>
    <w:p>
      <w:r>
        <w:t xml:space="preserve">(v) Reduction of the potential for hydrogen-induced cracking in the final weld metal by eliminating all moisture sources.</w:t>
      </w:r>
    </w:p>
    <w:p>
      <w:pPr>
        <w:pStyle w:val="Heading3"/>
      </w:pPr>
      <w:r>
        <w:t xml:space="preserve">4.2.5 Crushing, Sieving, and Storage</w:t>
      </w:r>
    </w:p>
    <w:p>
      <w:r>
        <w:t xml:space="preserve">After cooling in air to room temperature, the baked agglomerates were crushed using a laboratory jaw crusher and subsequently sieved to achieve a final particle size distribution of 0.5 mm to 1.4 mm (ASTM 14–35 mesh). This particle size range is optimal for submerged arc welding applications as it provides:</w:t>
      </w:r>
    </w:p>
    <w:p>
      <w:r>
        <w:t xml:space="preserve">(i) Adequate flux coverage over the weld pool to maintain the submerged arc condition;</w:t>
      </w:r>
    </w:p>
    <w:p>
      <w:r>
        <w:t xml:space="preserve">(ii) Sufficient inter-particle porosity for gas evolution during welding without disrupting the slag blanket;</w:t>
      </w:r>
    </w:p>
    <w:p>
      <w:r>
        <w:t xml:space="preserve">(iii) Uniform flux feeding through the welding equipment hopper and delivery system; and</w:t>
      </w:r>
    </w:p>
    <w:p>
      <w:r>
        <w:t xml:space="preserve">(iv) Consistent melt rate under the standard welding parameters employed.</w:t>
      </w:r>
    </w:p>
    <w:p>
      <w:r>
        <w:t xml:space="preserve">The sieved fluxes were stored in sealed glass jars and maintained at 120°C overnight in a drying oven immediately before welding to remove any residual hydroxyl groups that may have been absorbed from atmospheric moisture during handling. This pre-welding conditioning step is critical for minimizing the diffusible hydrogen content in the deposited weld metal, thereby reducing the risk of hydrogen-induced cracking in the multipass SAW beads.</w:t>
      </w:r>
    </w:p>
    <w:p>
      <w:r>
        <w:t xml:space="preserve">The entire flux preparation procedure was repeated for all twenty-five formulations following identical processing conditions to ensure manufacturing reproducibility. The consistency of the preparation method was verified through density measurements and visual inspection of the final agglomerates for uniformity of colour, particle size, and mechanical integrity.</w:t>
      </w:r>
    </w:p>
    <w:p>
      <w:pPr>
        <w:pStyle w:val="Heading2"/>
      </w:pPr>
      <w:r>
        <w:t xml:space="preserve">4.3 Characterization of Physicochemical and Thermophysical Properties of SAW Fluxes</w:t>
      </w:r>
    </w:p>
    <w:p>
      <w:r>
        <w:t xml:space="preserve">A comprehensive characterization programme was undertaken to evaluate the physicochemical and thermophysical properties of all twenty-five developed flux formulations. The characterization techniques employed include bulk density measurement, thermal property determination (thermal conductivity, thermal diffusivity, and specific heat capacity), X-ray diffraction (XRD) for crystalline phase identification, and Fourier Transform Infrared (FTIR) spectroscopy for structural and bonding analysis. These measurements establish the fundamental structure–property relationships that govern flux performance during the submerged arc welding operation.</w:t>
      </w:r>
    </w:p>
    <w:p>
      <w:pPr>
        <w:pStyle w:val="Heading3"/>
      </w:pPr>
      <w:r>
        <w:t xml:space="preserve">4.3.1 Measurement of Density of Fluxes</w:t>
      </w:r>
    </w:p>
    <w:p>
      <w:r>
        <w:t xml:space="preserve">The bulk density of each flux formulation was measured using the tapped-density methodology, which is a standardized technique for characterizing the packing behaviour of granular materials. The measurement procedure involved the following steps:</w:t>
      </w:r>
    </w:p>
    <w:p>
      <w:r>
        <w:t xml:space="preserve">(i) A known quantity of the sieved flux powder (particle size 0.5–1.4 mm) was carefully poured into a calibrated cylindrical glass flask of 10 mL capacity, avoiding any compression or vibration during filling;</w:t>
      </w:r>
    </w:p>
    <w:p>
      <w:r>
        <w:t xml:space="preserve">(ii) The flask was subjected to a controlled number of tapping cycles (100 taps) on a standardized surface to ensure uniform particle rearrangement and eliminate inter-particle voids. The tapping was performed at a consistent height and frequency to achieve reproducible packing conditions;</w:t>
      </w:r>
    </w:p>
    <w:p>
      <w:r>
        <w:t xml:space="preserve">(iii) After tapping, the volume occupied by the settled flux powder was recorded directly from the graduated markings on the cylindrical flask;</w:t>
      </w:r>
    </w:p>
    <w:p>
      <w:r>
        <w:t xml:space="preserve">(iv) The mass of the flux powder in the flask was determined using a precision analytical balance with an accuracy of ±0.001 g; and</w:t>
      </w:r>
    </w:p>
    <w:p>
      <w:r>
        <w:t xml:space="preserve">(v) The bulk density was calculated using the fundamental relationship:</w:t>
      </w:r>
    </w:p>
    <w:p>
      <w:r>
        <w:rPr>
          <w:b/>
        </w:rPr>
        <w:t xml:space="preserve">Equation 4.5:</w:t>
      </w:r>
      <w:r>
        <w:t xml:space="preserve"> ρ = Mass / Volume</w:t>
      </w:r>
    </w:p>
    <w:p>
      <w:r>
        <w:t xml:space="preserve">Where ρ is the tapped bulk density (g/cm³), mass is expressed in grams, and volume in cubic centimetres. Each measurement was repeated three times for each flux composition, and the average value was reported to minimize random errors associated with particle packing variations.</w:t>
      </w:r>
    </w:p>
    <w:p>
      <w:r>
        <w:t xml:space="preserve">The bulk density is a critical property for submerged arc welding fluxes because it directly influences:</w:t>
      </w:r>
    </w:p>
    <w:p>
      <w:r>
        <w:t xml:space="preserve">  • </w:t>
      </w:r>
      <w:r>
        <w:rPr>
          <w:b/>
        </w:rPr>
        <w:t xml:space="preserve">Flux flow ability:</w:t>
      </w:r>
      <w:r>
        <w:t xml:space="preserve"> The rate at which the flux feeds from the hopper to the welding zone depends on the bulk density and inter-particle friction characteristics;</w:t>
      </w:r>
    </w:p>
    <w:p>
      <w:r>
        <w:t xml:space="preserve">  • </w:t>
      </w:r>
      <w:r>
        <w:rPr>
          <w:b/>
        </w:rPr>
        <w:t xml:space="preserve">Slag coverage:</w:t>
      </w:r>
      <w:r>
        <w:t xml:space="preserve"> Adequate bulk density ensures uniform coverage of the molten weld pool, maintaining the submerged arc condition throughout the welding operation;</w:t>
      </w:r>
    </w:p>
    <w:p>
      <w:r>
        <w:t xml:space="preserve">  • </w:t>
      </w:r>
      <w:r>
        <w:rPr>
          <w:b/>
        </w:rPr>
        <w:t xml:space="preserve">Arc stability:</w:t>
      </w:r>
      <w:r>
        <w:t xml:space="preserve"> Consistent flux density provides uniform electrical resistance in the flux blanket surrounding the arc column; and</w:t>
      </w:r>
    </w:p>
    <w:p>
      <w:r>
        <w:t xml:space="preserve">  • </w:t>
      </w:r>
      <w:r>
        <w:rPr>
          <w:b/>
        </w:rPr>
        <w:t xml:space="preserve">Flux consumption rate:</w:t>
      </w:r>
      <w:r>
        <w:t xml:space="preserve"> The relationship between flux density and welding parameters determines the flux-to-wire consumption ratio.</w:t>
      </w:r>
    </w:p>
    <w:p>
      <w:r>
        <w:t xml:space="preserve">The measured bulk density values for the twenty-five formulations ranged from 1.40 to 1.54 g/cm³, with a mean value of 1.48 ± 0.04 g/cm³. This range falls within the optimal density window of 1.4–1.6 g/cm³ reported in the literature for submerged arc welding fluxes with satisfactory arc stability and slag detachability characteristics. The low coefficient of variation (2.7%) confirms high manufacturing reproducibility and uniform porosity across all formulations, attributable to the consistent CaO binder addition (8%) and standardized agglomeration procedure.</w:t>
      </w:r>
    </w:p>
    <w:p>
      <w:pPr>
        <w:pStyle w:val="Heading3"/>
      </w:pPr>
      <w:r>
        <w:t xml:space="preserve">4.3.2 Thermal Properties (Thermal Conductivity, Thermal Diffusivity, and Specific Heat) Measurement</w:t>
      </w:r>
    </w:p>
    <w:p>
      <w:r>
        <w:t xml:space="preserve">The simultaneous determination of thermal conductivity, thermal diffusivity, and volumetric specific heat capacity of all twenty-five flux formulations was performed using the Hot Disk Transient Plane Source (TPS-2500S) thermal analyser. This instrument operates according to the international standard method ISO 22007-2, which specifies the transient plane source technique for the determination of thermal properties of homogeneous and heterogeneous materials.</w:t>
      </w:r>
    </w:p>
    <w:p>
      <w:r>
        <w:rPr>
          <w:b/>
        </w:rPr>
        <w:t xml:space="preserve">Principle of Operation:</w:t>
      </w:r>
    </w:p>
    <w:p>
      <w:r>
        <w:t xml:space="preserve">The TPS technique utilizes a thin nickel double-spiral sensor that is enclosed between two thin insulating Kapton layers. This sensor serves the dual function of a specialized heat source and a resistance thermometer. During measurement, a controlled electrical current is passed through the nickel spiral, generating a known heat pulse. The resultant temperature rise at the sensor surface is recorded as a function of time by monitoring the change in electrical resistance of the nickel element. The thermal properties of the surrounding material are then extracted by fitting the recorded temperature-time data to the analytical solution of the heat conduction equation for a disc-shaped heat source in an infinite medium.</w:t>
      </w:r>
    </w:p>
    <w:p>
      <w:r>
        <w:rPr>
          <w:b/>
        </w:rPr>
        <w:t xml:space="preserve">Sample Preparation and Measurement Configuration:</w:t>
      </w:r>
    </w:p>
    <w:p>
      <w:r>
        <w:t xml:space="preserve">A symmetric testing configuration was employed, wherein the Hot Disk sensor was sandwiched between two identical cylindrical flux samples of the same composition. The flux powder was packed into cylindrical sample holders (diameter 40 mm, height 20 mm) using the same tapped-density procedure as employed for density measurements to ensure representative bulk properties. The symmetric arrangement eliminates the influence of thermal contact resistance at the sensor-sample interface and provides measurements representative of the true bulk thermal properties of the granular flux material.</w:t>
      </w:r>
    </w:p>
    <w:p>
      <w:r>
        <w:rPr>
          <w:b/>
        </w:rPr>
        <w:t xml:space="preserve">Measurement Parameters:</w:t>
      </w:r>
    </w:p>
    <w:p>
      <w:r>
        <w:t xml:space="preserve">  • Sensor type: Kapton-insulated nickel double spiral (radius 3.189 mm)</w:t>
      </w:r>
    </w:p>
    <w:p>
      <w:r>
        <w:t xml:space="preserve">  • Heating power: 20–50 mW (adjusted for each sample to achieve optimal temperature rise)</w:t>
      </w:r>
    </w:p>
    <w:p>
      <w:r>
        <w:t xml:space="preserve">  • Measurement time: 10–40 seconds (selected based on sample thermal diffusivity)</w:t>
      </w:r>
    </w:p>
    <w:p>
      <w:r>
        <w:t xml:space="preserve">  • Temperature stability criterion: ±0.01°C drift over 60 seconds prior to measurement</w:t>
      </w:r>
    </w:p>
    <w:p>
      <w:r>
        <w:t xml:space="preserve">  • Number of measurements per sample: Minimum of 5 repetitions with 15-minute intervals between successive measurements to allow complete thermal re-equilibration</w:t>
      </w:r>
    </w:p>
    <w:p>
      <w:r>
        <w:t xml:space="preserve">  • Ambient temperature: 22 ± 1°C (temperature-controlled laboratory)</w:t>
      </w:r>
    </w:p>
    <w:p>
      <w:r>
        <w:rPr>
          <w:b/>
        </w:rPr>
        <w:t xml:space="preserve">Advantages of the TPS Technique:</w:t>
      </w:r>
    </w:p>
    <w:p>
      <w:r>
        <w:t xml:space="preserve">Compared to traditional steady-state methods (such as the guarded hot plate technique), the TPS method offers several distinct advantages for characterizing granular flux materials:</w:t>
      </w:r>
    </w:p>
    <w:p>
      <w:r>
        <w:t xml:space="preserve">(i) Simultaneous determination of thermal conductivity, thermal diffusivity, and specific heat capacity from a single transient measurement, eliminating the need for multiple instruments;</w:t>
      </w:r>
    </w:p>
    <w:p>
      <w:r>
        <w:t xml:space="preserve">(ii) Higher measurement accuracy with uncertainties typically less than ±3% for thermal conductivity and ±5% for thermal diffusivity;</w:t>
      </w:r>
    </w:p>
    <w:p>
      <w:r>
        <w:t xml:space="preserve">(iii) Non-destructive measurement that does not alter the packing structure of the granular sample;</w:t>
      </w:r>
    </w:p>
    <w:p>
      <w:r>
        <w:t xml:space="preserve">(iv) Short measurement duration (10–40 seconds) that minimizes convective heat transfer effects in the porous flux structure; and</w:t>
      </w:r>
    </w:p>
    <w:p>
      <w:r>
        <w:t xml:space="preserve">(v) Elimination of thermal contact resistance effects through the symmetric sample arrangement.</w:t>
      </w:r>
    </w:p>
    <w:p>
      <w:r>
        <w:rPr>
          <w:b/>
        </w:rPr>
        <w:t xml:space="preserve">Measured Properties and Their Significance:</w:t>
      </w:r>
    </w:p>
    <w:p>
      <w:r>
        <w:t xml:space="preserve">The three thermal properties measured are interrelated through the fundamental relationship:</w:t>
      </w:r>
    </w:p>
    <w:p>
      <w:r>
        <w:rPr>
          <w:b/>
        </w:rPr>
        <w:t xml:space="preserve">Equation 4.6:</w:t>
      </w:r>
      <w:r>
        <w:t xml:space="preserve"> α = k / (ρ·Cₚ)</w:t>
      </w:r>
    </w:p>
    <w:p>
      <w:r>
        <w:t xml:space="preserve">Where α represents the thermal diffusivity (mm²/s), k denotes the thermal conductivity (W/m·K), ρ is the bulk density (g/cm³), and Cₚ represents the specific heat capacity (MJ/m³·K).</w:t>
      </w:r>
    </w:p>
    <w:p>
      <w:r>
        <w:t xml:space="preserve">*Thermal conductivity (k):* This property quantifies the rate of heat transfer through the flux material under a temperature gradient. In the context of SAW, the thermal conductivity of the flux blanket determines the rate of heat dissipation from the weld pool to the surrounding environment, which directly influences the cooling rate, solidification behaviour, and resulting microstructure of the weld metal. The measured thermal conductivity values ranged from 0.34 to 0.52 W/m·K across the twenty-five formulations.</w:t>
      </w:r>
    </w:p>
    <w:p>
      <w:r>
        <w:t xml:space="preserve">*Specific heat capacity (Cₚ):* This property represents the amount of thermal energy stored per unit volume per unit temperature rise. A high specific heat capacity in the flux is metallurgically beneficial as it enables greater thermal energy absorption before temperature increase, helping to stabilize the arc and regulate the cooling rate of the weld pool. The measured specific heat capacity values ranged from 0.902 to 1.192 MJ/m³·K.</w:t>
      </w:r>
    </w:p>
    <w:p>
      <w:r>
        <w:t xml:space="preserve">*Thermal diffusivity (α):* This property characterizes the rate of heat propagation through the material and determines how quickly a temperature disturbance is transmitted. Low thermal diffusivity promotes slow cooling and high ductility in the weld metal, while high thermal diffusivity favours rapid cooling and finer grain structures. The measured thermal diffusivity values ranged from 0.202 to 0.351 mm²/s.</w:t>
      </w:r>
    </w:p>
    <w:p>
      <w:pPr>
        <w:pStyle w:val="Heading3"/>
      </w:pPr>
      <w:r>
        <w:t xml:space="preserve">4.3.3 Phase Analysis of Fluxes</w:t>
      </w:r>
    </w:p>
    <w:p>
      <w:r>
        <w:t xml:space="preserve">X-ray diffraction (XRD) analysis was performed on selected flux compositions to identify the crystalline phases present in the as-prepared agglomerated flux powders. Phase identification provides critical information regarding the thermal stability, reactivity, and metallurgical behaviour of the flux during the welding process.</w:t>
      </w:r>
    </w:p>
    <w:p>
      <w:r>
        <w:rPr>
          <w:b/>
        </w:rPr>
        <w:t xml:space="preserve">Instrument and Operating Conditions:</w:t>
      </w:r>
    </w:p>
    <w:p>
      <w:r>
        <w:t xml:space="preserve">XRD measurements were carried out using a powder X-ray diffractometer equipped with a Cu-Kα radiation source (wavelength λ = 1.5406 Å). The operating conditions employed were:</w:t>
      </w:r>
    </w:p>
    <w:p>
      <w:r>
        <w:t xml:space="preserve">  • Accelerating voltage: 40 kV</w:t>
      </w:r>
    </w:p>
    <w:p>
      <w:r>
        <w:t xml:space="preserve">  • Tube current: 30 mA</w:t>
      </w:r>
    </w:p>
    <w:p>
      <w:r>
        <w:t xml:space="preserve">  • Scanning range (2θ): 10° to 80°</w:t>
      </w:r>
    </w:p>
    <w:p>
      <w:r>
        <w:t xml:space="preserve">  • Step size: 0.02° (2θ)</w:t>
      </w:r>
    </w:p>
    <w:p>
      <w:r>
        <w:t xml:space="preserve">  • Scan speed: 2°/min</w:t>
      </w:r>
    </w:p>
    <w:p>
      <w:r>
        <w:t xml:space="preserve">  • Detector: Scintillation counter</w:t>
      </w:r>
    </w:p>
    <w:p>
      <w:r>
        <w:t xml:space="preserve">  • Sample preparation: Flux powders were finely ground in an agate mortar and packed into aluminium sample holders with flat surface preparation to minimize preferred orientation effects</w:t>
      </w:r>
    </w:p>
    <w:p>
      <w:r>
        <w:rPr>
          <w:b/>
        </w:rPr>
        <w:t xml:space="preserve">Phase Identification Methodology:</w:t>
      </w:r>
    </w:p>
    <w:p>
      <w:r>
        <w:t xml:space="preserve">The recorded diffraction patterns were analysed by comparing the observed peak positions (2θ values), relative intensities, and d-spacing values with the standard reference patterns from the International Centre for Diffraction Data (ICDD) Powder Diffraction File (PDF) database. The following crystalline phases were targeted for identification based on the known mineral constituents:</w:t>
      </w:r>
    </w:p>
    <w:p>
      <w:r>
        <w:t xml:space="preserve">(i) </w:t>
      </w:r>
      <w:r>
        <w:rPr>
          <w:b/>
        </w:rPr>
        <w:t xml:space="preserve">Fluorite (CaF₂):</w:t>
      </w:r>
      <w:r>
        <w:t xml:space="preserve"> Expected reflections at 2θ = 28.3° (111), 32.2° (200), 47.0° (220), and 55.8° (311);</w:t>
      </w:r>
    </w:p>
    <w:p>
      <w:r>
        <w:t xml:space="preserve">(ii) </w:t>
      </w:r>
      <w:r>
        <w:rPr>
          <w:b/>
        </w:rPr>
        <w:t xml:space="preserve">Rutile (TiO₂):</w:t>
      </w:r>
      <w:r>
        <w:t xml:space="preserve"> Expected reflections at 2θ = 27.4° (110), 36.1° (101), 41.2° (111), and 54.4° (211);</w:t>
      </w:r>
    </w:p>
    <w:p>
      <w:r>
        <w:t xml:space="preserve">(iii) </w:t>
      </w:r>
      <w:r>
        <w:rPr>
          <w:b/>
        </w:rPr>
        <w:t xml:space="preserve">Manganosite (MnO):</w:t>
      </w:r>
      <w:r>
        <w:t xml:space="preserve"> Expected reflections at 2θ = 30.1° and 50.5°;</w:t>
      </w:r>
    </w:p>
    <w:p>
      <w:r>
        <w:t xml:space="preserve">(iv) </w:t>
      </w:r>
      <w:r>
        <w:rPr>
          <w:b/>
        </w:rPr>
        <w:t xml:space="preserve">Quartz (SiO₂):</w:t>
      </w:r>
      <w:r>
        <w:t xml:space="preserve"> Expected reflections at 2θ = 26.6° (101) if crystalline silica is present; and</w:t>
      </w:r>
    </w:p>
    <w:p>
      <w:r>
        <w:t xml:space="preserve">(v) </w:t>
      </w:r>
      <w:r>
        <w:rPr>
          <w:b/>
        </w:rPr>
        <w:t xml:space="preserve">Barium oxide (BaO):</w:t>
      </w:r>
      <w:r>
        <w:t xml:space="preserve"> Expected reflections dependent on the hydration state and reaction products formed during the baking process.</w:t>
      </w:r>
    </w:p>
    <w:p>
      <w:r>
        <w:rPr>
          <w:b/>
        </w:rPr>
        <w:t xml:space="preserve">Qualitative Crystallinity Assessment:</w:t>
      </w:r>
    </w:p>
    <w:p>
      <w:r>
        <w:t xml:space="preserve">In addition to phase identification, the XRD patterns were qualitatively assessed for the degree of crystallinity of each composition. The sharpness and intensity of diffraction peaks serve as indicators of crystallite size and lattice perfection, while broad diffuse halos in the background indicate the presence of amorphous (glassy) phases. The full width at half maximum (FWHM) of prominent peaks was measured to provide a semi-quantitative comparison of crystallite sizes between different flux compositions. Higher basicity fluxes were expected to exhibit stronger and sharper reflections due to the tendency of basic oxides (CaO, BaO) and CaF₂ to form distinct crystalline phases, while silica-rich compositions were anticipated to display higher amorphous content due to the glass-forming nature of SiO₂.</w:t>
      </w:r>
    </w:p>
    <w:p>
      <w:r>
        <w:t xml:space="preserve">Four representative flux compositions were selected for detailed XRD analysis: Flux 2 (high CaF₂, high MnO), Flux 12 (intermediate composition with strong TiO₂), Flux 16 (high SiO₂, high CaF₂), and Flux 20 (balanced composition). These compositions were chosen to span the range of basicity indices and compositional extremes within the design space.</w:t>
      </w:r>
    </w:p>
    <w:p>
      <w:pPr>
        <w:pStyle w:val="Heading3"/>
      </w:pPr>
      <w:r>
        <w:t xml:space="preserve">4.3.4 Structural Analysis of Fluxes</w:t>
      </w:r>
    </w:p>
    <w:p>
      <w:r>
        <w:t xml:space="preserve">Fourier Transform Infrared (FTIR) spectroscopy was employed to investigate the molecular-level structural features, functional groups, and bonding environments present in the developed flux formulations. FTIR analysis provides complementary information to XRD by detecting both crystalline and amorphous phases, and is particularly sensitive to the structural characteristics of silicate networks that control slag viscosity and thermal behaviour.</w:t>
      </w:r>
    </w:p>
    <w:p>
      <w:r>
        <w:rPr>
          <w:b/>
        </w:rPr>
        <w:t xml:space="preserve">Instrument and Operating Conditions:</w:t>
      </w:r>
    </w:p>
    <w:p>
      <w:r>
        <w:t xml:space="preserve">FTIR measurements were performed using a Fourier Transform Infrared spectrometer operating in the attenuated total reflectance (ATR) mode. The measurement conditions were:</w:t>
      </w:r>
    </w:p>
    <w:p>
      <w:r>
        <w:t xml:space="preserve">  • Spectral range: 4000–500 cm⁻¹</w:t>
      </w:r>
    </w:p>
    <w:p>
      <w:r>
        <w:t xml:space="preserve">  • Resolution: 4 cm⁻¹</w:t>
      </w:r>
    </w:p>
    <w:p>
      <w:r>
        <w:t xml:space="preserve">  • Number of scans: 32 (co-added for improved signal-to-noise ratio)</w:t>
      </w:r>
    </w:p>
    <w:p>
      <w:r>
        <w:t xml:space="preserve">  • Background correction: Air background subtracted prior to each sample measurement</w:t>
      </w:r>
    </w:p>
    <w:p>
      <w:r>
        <w:t xml:space="preserve">  • Sample preparation: Flux powders were finely ground to less than 10 μm and pressed directly onto the ATR diamond crystal without the use of KBr pellets or Nujol mulls</w:t>
      </w:r>
    </w:p>
    <w:p>
      <w:r>
        <w:rPr>
          <w:b/>
        </w:rPr>
        <w:t xml:space="preserve">Spectral Interpretation Framework:</w:t>
      </w:r>
    </w:p>
    <w:p>
      <w:r>
        <w:t xml:space="preserve">The FTIR spectra were interpreted based on established assignments for oxide-based welding flux systems and silicate glasses. The principal absorption bands of interest include:</w:t>
      </w:r>
    </w:p>
    <w:p>
      <w:r>
        <w:t xml:space="preserve">(i) </w:t>
      </w:r>
      <w:r>
        <w:rPr>
          <w:b/>
        </w:rPr>
        <w:t xml:space="preserve">Si-O-Si asymmetric stretching (1070–1120 cm⁻¹):</w:t>
      </w:r>
      <w:r>
        <w:t xml:space="preserve"> This is the dominant absorption band in all silicate-containing flux systems, arising from the asymmetric stretching vibration of bridging oxygen atoms in SiO₄ tetrahedra. The exact position and shape of this band provides information about the degree of polymerization of the silicate network. A shift towards lower wavenumbers indicates increased depolymerization (more non-bridging oxygen atoms) caused by network-modifying cations.</w:t>
      </w:r>
    </w:p>
    <w:p>
      <w:r>
        <w:t xml:space="preserve">(ii) </w:t>
      </w:r>
      <w:r>
        <w:rPr>
          <w:b/>
        </w:rPr>
        <w:t xml:space="preserve">Si-O non-bridging oxygen stretching (~950 cm⁻¹):</w:t>
      </w:r>
      <w:r>
        <w:t xml:space="preserve"> This shoulder or peak is associated with Si-O⁻ stretching vibrations involving non-bridging oxygen atoms (NBOs). The intensity of this band relative to the main Si-O-Si peak (expressed as the ratio I₉₅₀/I₁₁₀₀) serves as a semi-quantitative measure of network depolymerization.</w:t>
      </w:r>
    </w:p>
    <w:p>
      <w:r>
        <w:t xml:space="preserve">(iii) </w:t>
      </w:r>
      <w:r>
        <w:rPr>
          <w:b/>
        </w:rPr>
        <w:t xml:space="preserve">O-H stretching (~3400 cm⁻¹):</w:t>
      </w:r>
      <w:r>
        <w:t xml:space="preserve"> Broad absorption bands in this region are attributed to hydroxyl groups from surface-adsorbed moisture, structural water in the binder phase, or Si-OH species at broken network sites. The intensity of this band is relevant to the potential hydrogen content of the weld metal.</w:t>
      </w:r>
    </w:p>
    <w:p>
      <w:r>
        <w:t xml:space="preserve">(iv) </w:t>
      </w:r>
      <w:r>
        <w:rPr>
          <w:b/>
        </w:rPr>
        <w:t xml:space="preserve">Ti-O lattice vibrations (400–800 cm⁻¹):</w:t>
      </w:r>
      <w:r>
        <w:t xml:space="preserve"> Characteristic absorption bands of TiO₂ phases (both rutile and anatase polymorphs) appear in this region. The frequency and intensity of these bands depend on the coordination environment and crystallographic phase of the titanium.</w:t>
      </w:r>
    </w:p>
    <w:p>
      <w:r>
        <w:t xml:space="preserve">(v) </w:t>
      </w:r>
      <w:r>
        <w:rPr>
          <w:b/>
        </w:rPr>
        <w:t xml:space="preserve">Si-O-Si bending vibrations (400–600 cm⁻¹):</w:t>
      </w:r>
      <w:r>
        <w:t xml:space="preserve"> These bands indicate the presence of ring structures and three-dimensional network connectivity in the silicate structure. Their intensity provides a measure of the extent of network polymerization.</w:t>
      </w:r>
    </w:p>
    <w:p>
      <w:r>
        <w:t xml:space="preserve">(vi) </w:t>
      </w:r>
      <w:r>
        <w:rPr>
          <w:b/>
        </w:rPr>
        <w:t xml:space="preserve">Mn-O lattice modes (400–700 cm⁻¹):</w:t>
      </w:r>
      <w:r>
        <w:t xml:space="preserve"> Manganese oxide contributions to the low-frequency region overlap with Ti-O and Si-O-Si bending bands. Their relative intensity increases proportionally with MnO content.</w:t>
      </w:r>
    </w:p>
    <w:p>
      <w:r>
        <w:rPr>
          <w:b/>
        </w:rPr>
        <w:t xml:space="preserve">Sample Selection:</w:t>
      </w:r>
    </w:p>
    <w:p>
      <w:r>
        <w:t xml:space="preserve">Eight flux compositions were selected for FTIR analysis, divided into two sets for comparative interpretation:</w:t>
      </w:r>
    </w:p>
    <w:p>
      <w:r>
        <w:t xml:space="preserve">  • </w:t>
      </w:r>
      <w:r>
        <w:rPr>
          <w:b/>
        </w:rPr>
        <w:t xml:space="preserve">Set A (lower modifier content):</w:t>
      </w:r>
      <w:r>
        <w:t xml:space="preserve"> Flux 1, Flux 6, Flux 7, and Flux 11</w:t>
      </w:r>
    </w:p>
    <w:p>
      <w:r>
        <w:t xml:space="preserve">  • </w:t>
      </w:r>
      <w:r>
        <w:rPr>
          <w:b/>
        </w:rPr>
        <w:t xml:space="preserve">Set B (higher modifier content):</w:t>
      </w:r>
      <w:r>
        <w:t xml:space="preserve"> Flux 14, Flux 19, Flux 21, and Flux 25</w:t>
      </w:r>
    </w:p>
    <w:p>
      <w:r>
        <w:t xml:space="preserve">This grouping was designed to investigate the systematic effect of increasing basic oxide (modifier) content on the silicate network structure. Set B compositions contain higher proportions of BaO, MnO, and CaO relative to SiO₂, and were therefore expected to exhibit greater network depolymerization as evidenced by spectral shifts and intensity changes in the diagnostic absorption bands.</w:t>
      </w:r>
    </w:p>
    <w:p>
      <w:pPr>
        <w:pStyle w:val="Heading2"/>
      </w:pPr>
      <w:r>
        <w:t xml:space="preserve">4.4 Multi-Pass Bead on Plate Experimentation Using SAW Fluxes</w:t>
      </w:r>
    </w:p>
    <w:p>
      <w:r>
        <w:t xml:space="preserve">Following the preparation and physicochemical characterization of the twenty-five flux formulations, multi-pass bead-on-plate welding experiments were conducted to evaluate the welding performance of each flux and to establish quantitative relationships between flux composition and weld metal properties. This section describes the experimental procedures for bead deposition, chemical analysis, microhardness measurement, and the selection criteria for identifying adequate flux formulations for subsequent butt weld joint fabrication.</w:t>
      </w:r>
    </w:p>
    <w:p>
      <w:pPr>
        <w:pStyle w:val="Heading3"/>
      </w:pPr>
      <w:r>
        <w:t xml:space="preserve">4.4.1 Multi-Pass Bead on Plate Experimentation Using Laboratory Prepared SAW Fluxes</w:t>
      </w:r>
    </w:p>
    <w:p>
      <w:r>
        <w:t xml:space="preserve">Multi-pass bead-on-plate welding experiments were performed on API X70 pipeline steel plates of 16 mm thickness using each of the twenty-five laboratory-prepared agglomerated fluxes. No edge preparation (groove) was employed for the bead-on-plate configuration, as the purpose of these initial experiments was to evaluate flux performance characteristics rather than joint integrity.</w:t>
      </w:r>
    </w:p>
    <w:p>
      <w:r>
        <w:rPr>
          <w:b/>
        </w:rPr>
        <w:t xml:space="preserve">Welding Procedure:</w:t>
      </w:r>
    </w:p>
    <w:p>
      <w:r>
        <w:t xml:space="preserve">A single-wire submerged arc welding machine was utilized for all bead-on-plate depositions under the following standardized conditions:</w:t>
      </w:r>
    </w:p>
    <w:p>
      <w:r>
        <w:t xml:space="preserve">  • Welding current: 230 A (DCEP polarity)</w:t>
      </w:r>
    </w:p>
    <w:p>
      <w:r>
        <w:t xml:space="preserve">  • Arc voltage: 25 V</w:t>
      </w:r>
    </w:p>
    <w:p>
      <w:r>
        <w:t xml:space="preserve">  • Welding speed: 8 inches/min (3.39 mm/s)</w:t>
      </w:r>
    </w:p>
    <w:p>
      <w:r>
        <w:t xml:space="preserve">  • Filler wire: EA2TiB, diameter 2.4 mm</w:t>
      </w:r>
    </w:p>
    <w:p>
      <w:r>
        <w:t xml:space="preserve">  • Heat input: ~1.02 kJ/mm (calculated from Equation 4.4)</w:t>
      </w:r>
    </w:p>
    <w:p>
      <w:r>
        <w:t xml:space="preserve">  • Number of passes: Five passes per bead</w:t>
      </w:r>
    </w:p>
    <w:p>
      <w:r>
        <w:t xml:space="preserve">  • Interpass temperature: 120–150°C (monitored by contact thermocouple at 25 mm from weld centreline)</w:t>
      </w:r>
    </w:p>
    <w:p>
      <w:r>
        <w:t xml:space="preserve">No supplementary cold feed wire was employed, and the wire feed rate was maintained constant across all twenty-five experiments to ensure that the same quantity of filler metal was deposited in each case. This approach isolates the effect of flux composition on weld metal chemistry from any variations in metal deposition.</w:t>
      </w:r>
    </w:p>
    <w:p>
      <w:r>
        <w:t xml:space="preserve">The multipass deposition sequence consisted of the first pass as a root/bead-on-plate layer, followed by four additional passes deposited under controlled cooling conditions. The interpass temperature was rigorously maintained between 120°C and 150°C, monitored by a contact thermocouple sensor positioned at 25 mm from the centreline of the weld bead. This relatively low interpass temperature was selected to:</w:t>
      </w:r>
    </w:p>
    <w:p>
      <w:r>
        <w:t xml:space="preserve">(i) Prevent the formation of coarse prior austenite grains that would promote grain boundary ferrite;</w:t>
      </w:r>
    </w:p>
    <w:p>
      <w:r>
        <w:t xml:space="preserve">(ii) Avoid martensite formation in the multipass weld metal;</w:t>
      </w:r>
    </w:p>
    <w:p>
      <w:r>
        <w:t xml:space="preserve">(iii) Promote the development of acicular ferrite microstructure, which is essential for achieving the desirable toughness-hardness balance; and</w:t>
      </w:r>
    </w:p>
    <w:p>
      <w:r>
        <w:t xml:space="preserve">(iv) Maintain consistent thermal conditions across all twenty-five experiments for valid comparative analysis.</w:t>
      </w:r>
    </w:p>
    <w:p>
      <w:r>
        <w:t xml:space="preserve">After completion of welding, each multipass bead was allowed to cool to room temperature in still air before any characterization was performed.</w:t>
      </w:r>
    </w:p>
    <w:p>
      <w:r>
        <w:rPr>
          <w:b/>
        </w:rPr>
        <w:t xml:space="preserve">Qualitative Assessment:</w:t>
      </w:r>
    </w:p>
    <w:p>
      <w:r>
        <w:t xml:space="preserve">Upon completion of all twenty-five bead-on-plate experiments, each deposited bead was visually examined to assess:</w:t>
      </w:r>
    </w:p>
    <w:p>
      <w:r>
        <w:t xml:space="preserve">  • </w:t>
      </w:r>
      <w:r>
        <w:rPr>
          <w:b/>
        </w:rPr>
        <w:t xml:space="preserve">Bead morphology:</w:t>
      </w:r>
      <w:r>
        <w:t xml:space="preserve"> Regularity of bead width and reinforcement height, absence of surface irregularities;</w:t>
      </w:r>
    </w:p>
    <w:p>
      <w:r>
        <w:t xml:space="preserve">  • </w:t>
      </w:r>
      <w:r>
        <w:rPr>
          <w:b/>
        </w:rPr>
        <w:t xml:space="preserve">Porosity:</w:t>
      </w:r>
      <w:r>
        <w:t xml:space="preserve"> Visual inspection for surface-breaking pores or gas cavities;</w:t>
      </w:r>
    </w:p>
    <w:p>
      <w:r>
        <w:t xml:space="preserve">  • </w:t>
      </w:r>
      <w:r>
        <w:rPr>
          <w:b/>
        </w:rPr>
        <w:t xml:space="preserve">Slag detachability:</w:t>
      </w:r>
      <w:r>
        <w:t xml:space="preserve"> Ease of slag removal from the solidified bead surface (rated as easy, moderate, or difficult);</w:t>
      </w:r>
    </w:p>
    <w:p>
      <w:r>
        <w:t xml:space="preserve">  • </w:t>
      </w:r>
      <w:r>
        <w:rPr>
          <w:b/>
        </w:rPr>
        <w:t xml:space="preserve">Spatter generation:</w:t>
      </w:r>
      <w:r>
        <w:t xml:space="preserve"> Degree of spatter around the weld bead; and</w:t>
      </w:r>
    </w:p>
    <w:p>
      <w:r>
        <w:t xml:space="preserve">  • </w:t>
      </w:r>
      <w:r>
        <w:rPr>
          <w:b/>
        </w:rPr>
        <w:t xml:space="preserve">Arc stability:</w:t>
      </w:r>
      <w:r>
        <w:t xml:space="preserve"> Qualitative assessment during welding based on auditory characteristics and visual observation of the arc behaviour beneath the flux blanket.</w:t>
      </w:r>
    </w:p>
    <w:p>
      <w:r>
        <w:t xml:space="preserve">These qualitative assessments provided preliminary screening information that was subsequently used in conjunction with quantitative chemical and mechanical data for the final selection of adequate fluxes.</w:t>
      </w:r>
    </w:p>
    <w:p>
      <w:pPr>
        <w:pStyle w:val="Heading3"/>
      </w:pPr>
      <w:r>
        <w:t xml:space="preserve">4.4.2 Chemical Analysis of Laboratory Prepared SAW Fluxes</w:t>
      </w:r>
    </w:p>
    <w:p>
      <w:r>
        <w:t xml:space="preserve">The chemical composition of each multipass weld bead was determined using Atomic Absorption Spectroscopy (AAS) to quantify the elemental transfer from the flux system to the weld metal during the slag-metal reactions occurring under the arc.</w:t>
      </w:r>
    </w:p>
    <w:p>
      <w:r>
        <w:rPr>
          <w:b/>
        </w:rPr>
        <w:t xml:space="preserve">Sample Preparation for AAS:</w:t>
      </w:r>
    </w:p>
    <w:p>
      <w:r>
        <w:t xml:space="preserve">(i) A transverse section of approximately 10 mm thickness was extracted from the central region of each bead-on-plate weld using an abrasive cut-off wheel. The section was taken from the steady-state region of the weld, avoiding the start and stop crater zones to ensure representative composition;</w:t>
      </w:r>
    </w:p>
    <w:p>
      <w:r>
        <w:t xml:space="preserve">(ii) The extracted weld metal section was carefully ground using sequential grades of SiC abrasive papers (220, 400, 600, 800, and 1200 grit) to remove surface contaminants, oxide scale, and any slag residue adhering to the weld surface;</w:t>
      </w:r>
    </w:p>
    <w:p>
      <w:r>
        <w:t xml:space="preserve">(iii) The ground specimens were ultrasonically cleaned in acetone for 10 minutes to remove residual grinding debris and organic contaminants; and</w:t>
      </w:r>
    </w:p>
    <w:p>
      <w:r>
        <w:t xml:space="preserve">(iv) The cleaned weld metal samples were dissolved in appropriate acid mixtures for AAS analysis according to standard dissolution procedures for low-alloy steel.</w:t>
      </w:r>
    </w:p>
    <w:p>
      <w:r>
        <w:rPr>
          <w:b/>
        </w:rPr>
        <w:t xml:space="preserve">Elements Analysed:</w:t>
      </w:r>
    </w:p>
    <w:p>
      <w:r>
        <w:t xml:space="preserve">The following elements were quantitatively determined in each of the twenty-five weld beads: carbon (C), silicon (Si), manganese (Mn), phosphorus (P), sulphur (S), molybdenum (Mo), nickel (Ni), chromium (Cr), and titanium (Ti). These elements were selected because they are the primary species transferred between the flux/slag and the weld metal during SAW, and they critically influence the mechanical properties, microstructure, and corrosion resistance of the final weldment.</w:t>
      </w:r>
    </w:p>
    <w:p>
      <w:r>
        <w:rPr>
          <w:b/>
        </w:rPr>
        <w:t xml:space="preserve">Regression Model Development:</w:t>
      </w:r>
    </w:p>
    <w:p>
      <w:r>
        <w:t xml:space="preserve">Using the experimentally determined weld metal compositions as response variables, mixture regression models were developed using Design-Expert® v13 software to establish quantitative relationships between flux composition and element transfer. The models were developed using Scheffé canonical mixture polynomial forms:</w:t>
      </w:r>
    </w:p>
    <w:p>
      <w:r>
        <w:t xml:space="preserve">  • </w:t>
      </w:r>
      <w:r>
        <w:rPr>
          <w:b/>
        </w:rPr>
        <w:t xml:space="preserve">Linear model:</w:t>
      </w:r>
      <w:r>
        <w:t xml:space="preserve"> ŷ = Σ βᵢ·tᵢ</w:t>
      </w:r>
    </w:p>
    <w:p>
      <w:r>
        <w:t xml:space="preserve">  • </w:t>
      </w:r>
      <w:r>
        <w:rPr>
          <w:b/>
        </w:rPr>
        <w:t xml:space="preserve">Quadratic model:</w:t>
      </w:r>
      <w:r>
        <w:t xml:space="preserve"> ŷ = Σ βᵢ·tᵢ + Σ βᵢⱼ·tᵢ·tⱼ</w:t>
      </w:r>
    </w:p>
    <w:p>
      <w:r>
        <w:t xml:space="preserve">  • </w:t>
      </w:r>
      <w:r>
        <w:rPr>
          <w:b/>
        </w:rPr>
        <w:t xml:space="preserve">Special cubic model:</w:t>
      </w:r>
      <w:r>
        <w:t xml:space="preserve"> ŷ = Σ βᵢ·tᵢ + Σ βᵢⱼ·tᵢ·tⱼ + Σ βᵢⱼₖ·tᵢ·tⱼ·tₖ</w:t>
      </w:r>
    </w:p>
    <w:p>
      <w:r>
        <w:t xml:space="preserve">Where ŷ represents the predicted response, βᵢ are linear coefficients representing individual component effects, βᵢⱼ represent binary interaction effects between pairs of flux components, and βᵢⱼₖ represent ternary interaction effects among three flux components. Model selection was performed using analysis of variance (ANOVA) with backward elimination of non-significant terms (p &gt; 0.05). Model adequacy was verified using R² values (achieved range: 0.76–0.95), F-tests, lack-of-fit tests, and predicted versus actual diagnostic plots.</w:t>
      </w:r>
    </w:p>
    <w:p>
      <w:r>
        <w:rPr>
          <w:b/>
        </w:rPr>
        <w:t xml:space="preserve">Carbon Equivalent Calculation:</w:t>
      </w:r>
    </w:p>
    <w:p>
      <w:r>
        <w:t xml:space="preserve">The carbon equivalent (CE) for each weld bead was calculated using the International Institute of Welding (IIW) formula to assess the hardenability and weldability of the deposited weld metal:</w:t>
      </w:r>
    </w:p>
    <w:p>
      <w:r>
        <w:rPr>
          <w:b/>
        </w:rPr>
        <w:t xml:space="preserve">Equation 4.7:</w:t>
      </w:r>
      <w:r>
        <w:t xml:space="preserve"> CE = C + Mn/6 + (Cr + Mo + V)/5 + (Ni + Cu)/15</w:t>
      </w:r>
    </w:p>
    <w:p>
      <w:r>
        <w:t xml:space="preserve">The CE values provide a single-parameter assessment of the susceptibility to hydrogen-induced cracking and cold cracking, with lower values indicating better weldability and reduced cracking risk.</w:t>
      </w:r>
    </w:p>
    <w:p>
      <w:r>
        <w:t xml:space="preserve">Table 4.3 presents the complete chemical composition and microhardness data for all twenty-five multipass weld beads.</w:t>
      </w:r>
    </w:p>
    <w:p>
      <w:r>
        <w:rPr>
          <w:b/>
        </w:rPr>
        <w:t xml:space="preserve">Table 4.3: Chemical composition and microhardness of multipass beads</w:t>
      </w:r>
    </w:p>
    <w:p>
      <w:r>
        <w:t xml:space="preserve">Flux | C% | Si% | Mn% | P% | S% | Mo% | Ni% | Cr% | Ti% | MH (HV) | CE</w:t>
      </w:r>
    </w:p>
    <w:p>
      <w:r>
        <w:t xml:space="preserve">F1 | 0.043 | 0.167 | 0.788 | 0.012 | 0.012 | 0.239 | 0.010 | 0.033 | 0.0025 | 185 | 0.28</w:t>
      </w:r>
    </w:p>
    <w:p>
      <w:r>
        <w:t xml:space="preserve">F2 | 0.036 | 0.233 | 0.785 | 0.014 | 0.002 | 0.192 | 0.100 | 0.043 | 0.0015 | 190 | 0.26</w:t>
      </w:r>
    </w:p>
    <w:p>
      <w:r>
        <w:t xml:space="preserve">F3 | 0.041 | 0.268 | 0.672 | 0.011 | 0.002 | 0.201 | 0.011 | 0.030 | 0.0020 | 200 | 0.24</w:t>
      </w:r>
    </w:p>
    <w:p>
      <w:r>
        <w:t xml:space="preserve">F4 | 0.040 | 0.184 | 0.524 | 0.011 | 0.003 | 0.271 | 0.090 | 0.028 | 0.0021 | 220 | 0.29</w:t>
      </w:r>
    </w:p>
    <w:p>
      <w:r>
        <w:t xml:space="preserve">F5 | 0.050 | 0.212 | 0.673 | 0.018 | 0.003 | 0.204 | 0.080 | 0.042 | 0.0019 | 210 | 0.25</w:t>
      </w:r>
    </w:p>
    <w:p>
      <w:r>
        <w:t xml:space="preserve">F6 | 0.050 | 0.175 | 0.664 | 0.019 | 0.004 | 0.246 | 0.069 | 0.034 | 0.0030 | 178 | 0.19</w:t>
      </w:r>
    </w:p>
    <w:p>
      <w:r>
        <w:t xml:space="preserve">F7 | 0.048 | 0.193 | 0.745 | 0.017 | 0.004 | 0.284 | 0.069 | 0.033 | 0.0022 | 199 | 0.30</w:t>
      </w:r>
    </w:p>
    <w:p>
      <w:r>
        <w:t xml:space="preserve">F8 | 0.042 | 0.155 | 0.545 | 0.015 | 0.004 | 0.223 | 0.088 | 0.025 | 0.0015 | 205 | 0.27</w:t>
      </w:r>
    </w:p>
    <w:p>
      <w:r>
        <w:t xml:space="preserve">F9 | 0.048 | 0.198 | 0.645 | 0.014 | 0.002 | 0.289 | 0.100 | 0.027 | 0.0017 | 195 | 0.25</w:t>
      </w:r>
    </w:p>
    <w:p>
      <w:r>
        <w:t xml:space="preserve">F10 | 0.045 | 0.169 | 0.756 | 0.012 | 0.004 | 0.297 | 0.011 | 0.025 | 0.0012 | 215 | 0.29</w:t>
      </w:r>
    </w:p>
    <w:p>
      <w:r>
        <w:t xml:space="preserve">F11 | 0.032 | 0.157 | 0.881 | 0.012 | 0.003 | 0.215 | 0.010 | 0.030 | 0.0013 | 182 | 0.22</w:t>
      </w:r>
    </w:p>
    <w:p>
      <w:r>
        <w:t xml:space="preserve">F12 | 0.046 | 0.179 | 0.827 | 0.019 | 0.003 | 0.226 | 0.090 | 0.023 | 0.0022 | 191 | 0.24</w:t>
      </w:r>
    </w:p>
    <w:p>
      <w:r>
        <w:t xml:space="preserve">F13 | 0.048 | 0.152 | 0.684 | 0.011 | 0.004 | 0.284 | 0.010 | 0.025 | 0.0024 | 193 | 0.23</w:t>
      </w:r>
    </w:p>
    <w:p>
      <w:r>
        <w:t xml:space="preserve">F14 | 0.039 | 0.152 | 0.761 | 0.012 | 0.004 | 0.218 | 0.014 | 0.027 | 0.0027 | 210 | 0.26</w:t>
      </w:r>
    </w:p>
    <w:p>
      <w:r>
        <w:t xml:space="preserve">F15 | 0.046 | 0.136 | 0.689 | 0.011 | 0.002 | 0.218 | 0.011 | 0.028 | 0.0026 | 226 | 0.31</w:t>
      </w:r>
    </w:p>
    <w:p>
      <w:r>
        <w:t xml:space="preserve">F16 | 0.040 | 0.174 | 0.865 | 0.012 | 0.005 | 0.277 | 0.011 | 0.030 | 0.0011 | 217 | 0.27</w:t>
      </w:r>
    </w:p>
    <w:p>
      <w:r>
        <w:t xml:space="preserve">F17 | 0.050 | 0.133 | 0.711 | 0.012 | 0.005 | 0.292 | 0.011 | 0.027 | 0.0010 | 204 | 0.23</w:t>
      </w:r>
    </w:p>
    <w:p>
      <w:r>
        <w:t xml:space="preserve">F18 | 0.049 | 0.169 | 0.882 | 0.011 | 0.006 | 0.213 | 0.011 | 0.022 | 0.0009 | 200 | 0.22</w:t>
      </w:r>
    </w:p>
    <w:p>
      <w:r>
        <w:t xml:space="preserve">F19 | 0.047 | 0.162 | 0.812 | 0.013 | 0.003 | 0.276 | 0.011 | 0.030 | 0.0023 | 208 | 0.25</w:t>
      </w:r>
    </w:p>
    <w:p>
      <w:r>
        <w:t xml:space="preserve">F20 | 0.047 | 0.148 | 0.759 | 0.016 | 0.004 | 0.261 | 0.012 | 0.020 | 0.0024 | 184 | 0.22</w:t>
      </w:r>
    </w:p>
    <w:p>
      <w:r>
        <w:t xml:space="preserve">F21 | 0.042 | 0.165 | 0.849 | 0.014 | 0.004 | 0.273 | 0.019 | 0.022 | 0.0022 | 210 | 0.28</w:t>
      </w:r>
    </w:p>
    <w:p>
      <w:r>
        <w:t xml:space="preserve">F22 | 0.048 | 0.123 | 0.649 | 0.012 | 0.002 | 0.213 | 0.017 | 0.021 | 0.0025 | 175 | 0.21</w:t>
      </w:r>
    </w:p>
    <w:p>
      <w:r>
        <w:t xml:space="preserve">F23 | 0.046 | 0.145 | 0.659 | 0.011 | 0.002 | 0.222 | 0.013 | 0.022 | 0.0018 | 196 | 0.29</w:t>
      </w:r>
    </w:p>
    <w:p>
      <w:r>
        <w:t xml:space="preserve">F24 | 0.048 | 0.142 | 0.949 | 0.013 | 0.012 | 0.225 | 0.019 | 0.024 | 0.0020 | 189 | 0.25</w:t>
      </w:r>
    </w:p>
    <w:p>
      <w:r>
        <w:t xml:space="preserve">F25 | 0.041 | 0.125 | 0.649 | 0.015 | 0.012 | 0.273 | 0.019 | 0.023 | 0.0019 | 184 | 0.26</w:t>
      </w:r>
    </w:p>
    <w:p>
      <w:pPr>
        <w:pStyle w:val="Heading3"/>
      </w:pPr>
      <w:r>
        <w:t xml:space="preserve">4.4.3 Microhardness Measurement of Beads</w:t>
      </w:r>
    </w:p>
    <w:p>
      <w:r>
        <w:t xml:space="preserve">Microhardness testing was performed on cross-sections of all twenty-five multipass weld beads to quantify the mechanical response of each flux formulation. The Vickers microhardness test was selected for its ability to characterize localized mechanical properties in the weld metal region without interference from the heat-affected zone or base metal.</w:t>
      </w:r>
    </w:p>
    <w:p>
      <w:r>
        <w:rPr>
          <w:b/>
        </w:rPr>
        <w:t xml:space="preserve">Testing Procedure:</w:t>
      </w:r>
    </w:p>
    <w:p>
      <w:r>
        <w:t xml:space="preserve">(i) Transverse cross-sections were extracted from the central steady-state region of each multipass bead;</w:t>
      </w:r>
    </w:p>
    <w:p>
      <w:r>
        <w:t xml:space="preserve">(ii) The sections were mounted in Bakelite resin and sequentially ground and polished to a mirror finish using standard metallographic procedures (SiC papers: 220, 400, 600, 800, 1200 grit; followed by diamond paste polishing: 6 μm, 3 μm, 1 μm);</w:t>
      </w:r>
    </w:p>
    <w:p>
      <w:r>
        <w:t xml:space="preserve">(iii) Microhardness indentations were made using a Vickers microhardness tester under the following conditions:</w:t>
      </w:r>
    </w:p>
    <w:p>
      <w:r>
        <w:t xml:space="preserve">  • Applied load: 50 kgf (490.3 N)</w:t>
      </w:r>
    </w:p>
    <w:p>
      <w:r>
        <w:t xml:space="preserve">  • Dwell time: 10 seconds</w:t>
      </w:r>
    </w:p>
    <w:p>
      <w:r>
        <w:t xml:space="preserve">  • Indentation spacing: Minimum 3 diagonal lengths between adjacent indents (to avoid strain field overlap)</w:t>
      </w:r>
    </w:p>
    <w:p>
      <w:r>
        <w:t xml:space="preserve">(iv) Multiple indentations (minimum 5) were placed across the weld metal region of each cross-section, and the average Vickers hardness number (VHN) was reported.</w:t>
      </w:r>
    </w:p>
    <w:p>
      <w:r>
        <w:t xml:space="preserve">The measured microhardness values ranged from 175 HV (Flux F22) to 226 HV (Flux F15) across the twenty-five formulations. These values fall within the acceptable range for API X70 pipeline steel weld metal (typically 180–220 HV), with most formulations producing microhardness values that indicate a desirable balance between strength and toughness. Regression models for microhardness as a function of flux composition were developed using the same mixture modelling methodology described in Section 4.4.2.</w:t>
      </w:r>
    </w:p>
    <w:p>
      <w:pPr>
        <w:pStyle w:val="Heading3"/>
      </w:pPr>
      <w:r>
        <w:t xml:space="preserve">4.4.4 Selection of Adequate Fluxes by Qualitatively Analysing Multi-Pass Beads</w:t>
      </w:r>
    </w:p>
    <w:p>
      <w:r>
        <w:t xml:space="preserve">Based on the comprehensive evaluation of the twenty-five multipass bead-on-plate experiments, a systematic selection procedure was employed to identify the most suitable flux formulations for subsequent butt weld joint fabrication. The selection criteria encompassed both qualitative welding performance indicators and quantitative chemical/mechanical data.</w:t>
      </w:r>
    </w:p>
    <w:p>
      <w:r>
        <w:rPr>
          <w:b/>
        </w:rPr>
        <w:t xml:space="preserve">Selection Criteria:</w:t>
      </w:r>
    </w:p>
    <w:p>
      <w:r>
        <w:t xml:space="preserve">The following criteria were applied in a sequential screening approach:</w:t>
      </w:r>
    </w:p>
    <w:p>
      <w:r>
        <w:t xml:space="preserve">(i) </w:t>
      </w:r>
      <w:r>
        <w:rPr>
          <w:b/>
        </w:rPr>
        <w:t xml:space="preserve">Bead morphology (primary screening):</w:t>
      </w:r>
      <w:r>
        <w:t xml:space="preserve"> Only fluxes producing uniform, smooth weld beads with consistent width and reinforcement height were advanced to the next evaluation stage. Beads exhibiting surface irregularities, undercut, or excessive convexity were excluded;</w:t>
      </w:r>
    </w:p>
    <w:p>
      <w:r>
        <w:t xml:space="preserve">(ii) </w:t>
      </w:r>
      <w:r>
        <w:rPr>
          <w:b/>
        </w:rPr>
        <w:t xml:space="preserve">Porosity (primary screening):</w:t>
      </w:r>
      <w:r>
        <w:t xml:space="preserve"> Fluxes producing visible surface-breaking porosity were excluded from further consideration, as porosity indicates inadequate shielding or excessive gas generation during welding;</w:t>
      </w:r>
    </w:p>
    <w:p>
      <w:r>
        <w:t xml:space="preserve">(iii) </w:t>
      </w:r>
      <w:r>
        <w:rPr>
          <w:b/>
        </w:rPr>
        <w:t xml:space="preserve">Slag detachability (primary screening):</w:t>
      </w:r>
      <w:r>
        <w:t xml:space="preserve"> Only fluxes demonstrating easy or self-peeling slag detachability were considered satisfactory. Fluxes requiring mechanical force for slag removal were rated as unsatisfactory for practical pipeline welding applications;</w:t>
      </w:r>
    </w:p>
    <w:p>
      <w:r>
        <w:t xml:space="preserve">(iv) </w:t>
      </w:r>
      <w:r>
        <w:rPr>
          <w:b/>
        </w:rPr>
        <w:t xml:space="preserve">Microhardness (secondary screening):</w:t>
      </w:r>
      <w:r>
        <w:t xml:space="preserve"> Selected fluxes were required to produce weld metal microhardness within the range of 180–220 HV, consistent with the requirements for API X70 pipeline steel applications;</w:t>
      </w:r>
    </w:p>
    <w:p>
      <w:r>
        <w:t xml:space="preserve">(v) </w:t>
      </w:r>
      <w:r>
        <w:rPr>
          <w:b/>
        </w:rPr>
        <w:t xml:space="preserve">Carbon equivalent (secondary screening):</w:t>
      </w:r>
      <w:r>
        <w:t xml:space="preserve"> The CE values were required to remain within the range of 0.20–0.31, ensuring adequate weldability while maintaining sufficient hardenability for strength requirements; and</w:t>
      </w:r>
    </w:p>
    <w:p>
      <w:r>
        <w:t xml:space="preserve">(vi) </w:t>
      </w:r>
      <w:r>
        <w:rPr>
          <w:b/>
        </w:rPr>
        <w:t xml:space="preserve">Microstructural indicators:</w:t>
      </w:r>
      <w:r>
        <w:t xml:space="preserve"> Fluxes producing Ti levels in the optimal range (9–30 ppm in weld metal) for acicular ferrite nucleation were preferred, based on established metallurgical understanding of inclusion-mediated nucleation.</w:t>
      </w:r>
    </w:p>
    <w:p>
      <w:r>
        <w:rPr>
          <w:b/>
        </w:rPr>
        <w:t xml:space="preserve">Selected Fluxes:</w:t>
      </w:r>
    </w:p>
    <w:p>
      <w:r>
        <w:t xml:space="preserve">Based on this multi-criteria screening approach, three fluxes from the basic flux system were identified as exhibiting the best combination of welding performance characteristics:</w:t>
      </w:r>
    </w:p>
    <w:p>
      <w:r>
        <w:t xml:space="preserve">  • </w:t>
      </w:r>
      <w:r>
        <w:rPr>
          <w:b/>
        </w:rPr>
        <w:t xml:space="preserve">Flux F6B (designated as F6 in basic system):</w:t>
      </w:r>
      <w:r>
        <w:t xml:space="preserve"> Exhibited excellent bead morphology, easy slag detachability, and satisfactory mechanical properties;</w:t>
      </w:r>
    </w:p>
    <w:p>
      <w:r>
        <w:t xml:space="preserve">  • </w:t>
      </w:r>
      <w:r>
        <w:rPr>
          <w:b/>
        </w:rPr>
        <w:t xml:space="preserve">Flux F20B (designated as F20 in basic system):</w:t>
      </w:r>
      <w:r>
        <w:t xml:space="preserve"> Demonstrated good arc stability, uniform bead profile, and acceptable chemical composition; and</w:t>
      </w:r>
    </w:p>
    <w:p>
      <w:r>
        <w:t xml:space="preserve">  • </w:t>
      </w:r>
      <w:r>
        <w:rPr>
          <w:b/>
        </w:rPr>
        <w:t xml:space="preserve">Flux F22B (designated as F22 in basic system):</w:t>
      </w:r>
      <w:r>
        <w:t xml:space="preserve"> Showed good overall performance with moderate microhardness and low carbon equivalent.</w:t>
      </w:r>
    </w:p>
    <w:p>
      <w:r>
        <w:t xml:space="preserve">These three selected laboratory-prepared fluxes, along with a commercial SAW flux (designated C.F.) as a reference standard, were subsequently used for the fabrication of full butt weld joints as described in Section 4.5.</w:t>
      </w:r>
    </w:p>
    <w:p>
      <w:pPr>
        <w:pStyle w:val="Heading2"/>
      </w:pPr>
      <w:r>
        <w:t xml:space="preserve">4.5 Materials and Experimental Setup</w:t>
      </w:r>
    </w:p>
    <w:p>
      <w:r>
        <w:t xml:space="preserve">This section describes the materials, equipment, and experimental procedures employed for the fabrication and comprehensive characterization of submerged arc weld joints using the three selected laboratory-prepared fluxes (F6B, F20B, F22B) and one commercial reference flux (C.F.). The characterization programme encompasses mechanical testing (tensile, impact, microhardness), fractography, microstructural analysis, and corrosion evaluation.</w:t>
      </w:r>
    </w:p>
    <w:p>
      <w:pPr>
        <w:pStyle w:val="Heading3"/>
      </w:pPr>
      <w:r>
        <w:t xml:space="preserve">4.5.1 Base Metal and Filler Wire</w:t>
      </w:r>
    </w:p>
    <w:p>
      <w:r>
        <w:rPr>
          <w:b/>
        </w:rPr>
        <w:t xml:space="preserve">Base Metal – API X70 Pipeline Steel:</w:t>
      </w:r>
    </w:p>
    <w:p>
      <w:r>
        <w:t xml:space="preserve">API 5L X70 grade pipeline steel plates of 22 mm thickness were used as the base material for all weld joint fabrication. API X70 is a high-strength low-alloy (HSLA) steel widely used in the construction of high-pressure oil and gas transmission pipelines due to its excellent combination of strength, ductility, weldability, and low-temperature toughness. The steel is manufactured through thermo-mechanical controlled processing (TMCP), which produces a fine-grained microstructure comprising acicular ferrite, bainitic ferrite, and finely dispersed martensite-austenite (MA) constituents.</w:t>
      </w:r>
    </w:p>
    <w:p>
      <w:r>
        <w:t xml:space="preserve">The chemical composition of the API X70 base metal, as determined by optical emission spectrometry (OES), is presented in Table 4.4. The steel exhibits an ultra-low carbon content (0.059 wt.%) with microalloying additions of niobium (0.062%), titanium (0.02%), and molybdenum (0.002%) that provide precipitation strengthening and grain refinement. The calculated carbon equivalent of the base metal is CE = 0.33, which falls within the acceptable range for field-weldable pipeline steels.</w:t>
      </w:r>
    </w:p>
    <w:p>
      <w:r>
        <w:t xml:space="preserve">The minimum mechanical property requirements for API X70 steel include:</w:t>
      </w:r>
    </w:p>
    <w:p>
      <w:r>
        <w:t xml:space="preserve">  • Minimum yield strength: 485 MPa</w:t>
      </w:r>
    </w:p>
    <w:p>
      <w:r>
        <w:t xml:space="preserve">  • Minimum tensile strength: 570 MPa</w:t>
      </w:r>
    </w:p>
    <w:p>
      <w:r>
        <w:t xml:space="preserve">  • Minimum elongation: 18%</w:t>
      </w:r>
    </w:p>
    <w:p>
      <w:r>
        <w:t xml:space="preserve">  • Microhardness: 190–220 HV</w:t>
      </w:r>
    </w:p>
    <w:p>
      <w:r>
        <w:rPr>
          <w:b/>
        </w:rPr>
        <w:t xml:space="preserve">Filler Wire – EA2TiB:</w:t>
      </w:r>
    </w:p>
    <w:p>
      <w:r>
        <w:t xml:space="preserve">EA2TiB copper-coated filler wire of 2.4 mm diameter was employed for all submerged arc welding operations. This filler wire is specifically designed for welding high-strength low-alloy steels and pipeline grades, providing a low-carbon, low-alloy deposit with controlled titanium and boron additions to promote acicular ferrite formation in the weld metal. The chemical composition of the filler wire is presented in Table 4.4.</w:t>
      </w:r>
    </w:p>
    <w:p>
      <w:r>
        <w:t xml:space="preserve">The titanium content in the filler wire (0.01%) contributes to the formation of fine, dispersed Ti-rich oxide inclusions in the weld metal that serve as heterogeneous nucleation sites for acicular ferrite. The boron microaddition enhances the effectiveness of titanium-containing inclusions by segregating to prior austenite grain boundaries and suppressing the formation of grain boundary ferrite, thereby promoting intragranular nucleation of acicular ferrite.</w:t>
      </w:r>
    </w:p>
    <w:p>
      <w:r>
        <w:rPr>
          <w:b/>
        </w:rPr>
        <w:t xml:space="preserve">Table 4.4: Chemical composition of base metal, filler wire, and weld metals (wt.%)</w:t>
      </w:r>
    </w:p>
    <w:p>
      <w:r>
        <w:t xml:space="preserve">Material | C | Si | Mn | P | S | Cr | Mo | Ni | Cu | Nb | Ti | Fe | CE</w:t>
      </w:r>
    </w:p>
    <w:p>
      <w:r>
        <w:t xml:space="preserve">X70 (BM) | 0.059 | 0.331 | 1.70 | 0.0068 | 0.0032 | 0.007 | 0.002 | 0.299 | 0.006 | 0.062 | 0.02 | Bal. | 0.33</w:t>
      </w:r>
    </w:p>
    <w:p>
      <w:r>
        <w:t xml:space="preserve">EA2TiB (FW) | 0.028 | 0.089 | 0.92 | 0.0112 | 0.0080 | 0.042 | 0.312 | 0.091 | 0.150 | 0.025 | 0.01 | Bal. | 0.25</w:t>
      </w:r>
    </w:p>
    <w:p>
      <w:r>
        <w:t xml:space="preserve">C.F. weld | 0.059 | 0.374 | 1.62 | 0.0164 | 0.0070 | 0.039 | 0.412 | 0.068 | 0.081 | 0.008 | 0.02 | Bal. | 0.38</w:t>
      </w:r>
    </w:p>
    <w:p>
      <w:r>
        <w:t xml:space="preserve">F6B weld | 0.042 | 0.397 | 0.80 | 0.0119 | 0.0024 | 0.029 | 0.392 | 0.052 | 0.070 | 0.006 | 0.02 | Bal. | 0.31</w:t>
      </w:r>
    </w:p>
    <w:p>
      <w:r>
        <w:t xml:space="preserve">F20B weld | 0.051 | 0.441 | 0.67 | 0.0211 | 0.0019 | 0.030 | 0.401 | 0.049 | 0.070 | 0.012 | 0.03 | Bal. | 0.28</w:t>
      </w:r>
    </w:p>
    <w:p>
      <w:r>
        <w:t xml:space="preserve">F22B weld | 0.061 | 0.451 | 0.71 | 0.0222 | 0.0011 | 0.022 | 0.355 | 0.050 | 0.056 | 0.018 | 0.02 | Bal. | 0.27</w:t>
      </w:r>
    </w:p>
    <w:p>
      <w:pPr>
        <w:pStyle w:val="Heading3"/>
      </w:pPr>
      <w:r>
        <w:t xml:space="preserve">4.5.2 Submerged Arc Welding of Plates</w:t>
      </w:r>
    </w:p>
    <w:p>
      <w:r>
        <w:rPr>
          <w:b/>
        </w:rPr>
        <w:t xml:space="preserve">Joint Configuration and Preparation:</w:t>
      </w:r>
    </w:p>
    <w:p>
      <w:r>
        <w:t xml:space="preserve">API X70 steel base plates of dimensions 140 mm × 140 mm × 22 mm were prepared for butt welding in the flat position (1G) configuration. A single-V groove joint preparation was employed with the following geometry:</w:t>
      </w:r>
    </w:p>
    <w:p>
      <w:r>
        <w:t xml:space="preserve">  • Groove angle: 60° included angle (30° per side)</w:t>
      </w:r>
    </w:p>
    <w:p>
      <w:r>
        <w:t xml:space="preserve">  • Root face: 2 mm</w:t>
      </w:r>
    </w:p>
    <w:p>
      <w:r>
        <w:t xml:space="preserve">  • Root gap: 2 mm</w:t>
      </w:r>
    </w:p>
    <w:p>
      <w:r>
        <w:t xml:space="preserve">  • Plate dimensions: 140 mm (length) × 140 mm (width) × 22 mm (thickness)</w:t>
      </w:r>
    </w:p>
    <w:p>
      <w:r>
        <w:t xml:space="preserve">The groove faces were prepared by machining to ensure dimensional accuracy and surface cleanliness. Prior to welding, the joint faces were degreased with acetone and wire-brushed to remove surface oxides and contaminants that could adversely affect the weld quality.</w:t>
      </w:r>
    </w:p>
    <w:p>
      <w:r>
        <w:rPr>
          <w:b/>
        </w:rPr>
        <w:t xml:space="preserve">Welding Equipment and Parameters:</w:t>
      </w:r>
    </w:p>
    <w:p>
      <w:r>
        <w:t xml:space="preserve">A single-wire submerged arc welding machine was utilized for all butt weld joint fabrication. The welding was performed using direct current electrode positive (DCEP) polarity, which provides deeper penetration and higher deposition rate compared to DCEN polarity. The optimized welding parameters, established through pre-trial experiments, were:</w:t>
      </w:r>
    </w:p>
    <w:p>
      <w:r>
        <w:t xml:space="preserve">  • Welding current: 440 A (DCEP)</w:t>
      </w:r>
    </w:p>
    <w:p>
      <w:r>
        <w:t xml:space="preserve">  • Arc voltage: 28 V</w:t>
      </w:r>
    </w:p>
    <w:p>
      <w:r>
        <w:t xml:space="preserve">  • Welding speed: 13 inches/min (5.5 mm/s)</w:t>
      </w:r>
    </w:p>
    <w:p>
      <w:r>
        <w:t xml:space="preserve">  • Nozzle-to-tip distance (electrode stick-out): 20 mm (maintained constant)</w:t>
      </w:r>
    </w:p>
    <w:p>
      <w:r>
        <w:t xml:space="preserve">  • Preheat temperature: Room temperature (no preheat required for CE &lt; 0.40)</w:t>
      </w:r>
    </w:p>
    <w:p>
      <w:r>
        <w:t xml:space="preserve">  • Interpass temperature: Monitored and controlled (not exceeding 200°C)</w:t>
      </w:r>
    </w:p>
    <w:p>
      <w:r>
        <w:t xml:space="preserve">The heat input for the butt weld joint configuration was calculated as:</w:t>
      </w:r>
    </w:p>
    <w:p>
      <w:r>
        <w:t xml:space="preserve">HI = (440 × 28 × 60) / (5.5 × 1000) × 0.75 ≈ 1.01 kJ/mm</w:t>
      </w:r>
    </w:p>
    <w:p>
      <w:r>
        <w:t xml:space="preserve">This heat input is within the recommended range (0.8–2.5 kJ/mm) for API X70 pipeline steel, ensuring adequate fusion without excessive grain coarsening in the heat-affected zone.</w:t>
      </w:r>
    </w:p>
    <w:p>
      <w:r>
        <w:rPr>
          <w:b/>
        </w:rPr>
        <w:t xml:space="preserve">Welding Procedure:</w:t>
      </w:r>
    </w:p>
    <w:p>
      <w:r>
        <w:t xml:space="preserve">A total of four butt weld joints were fabricated:</w:t>
      </w:r>
    </w:p>
    <w:p>
      <w:r>
        <w:t xml:space="preserve">  • Joint 1: Using laboratory-prepared flux F6B</w:t>
      </w:r>
    </w:p>
    <w:p>
      <w:r>
        <w:t xml:space="preserve">  • Joint 2: Using laboratory-prepared flux F20B</w:t>
      </w:r>
    </w:p>
    <w:p>
      <w:r>
        <w:t xml:space="preserve">  • Joint 3: Using laboratory-prepared flux F22B</w:t>
      </w:r>
    </w:p>
    <w:p>
      <w:r>
        <w:t xml:space="preserve">  • Joint 4: Using commercial flux C.F. (reference)</w:t>
      </w:r>
    </w:p>
    <w:p>
      <w:r>
        <w:t xml:space="preserve">Each weld joint was completed using multiple passes to fill the V-groove preparation. The root pass was deposited first, followed by fill passes and a final cap pass to achieve the required weld reinforcement. Between successive passes, the slag was completely removed by chipping and wire brushing, and the interpass temperature was monitored using a contact thermocouple. Each pass was visually inspected for surface defects before deposition of the subsequent pass.</w:t>
      </w:r>
    </w:p>
    <w:p>
      <w:pPr>
        <w:pStyle w:val="Heading3"/>
      </w:pPr>
      <w:r>
        <w:t xml:space="preserve">4.5.3 Weld Specimen Cutting</w:t>
      </w:r>
    </w:p>
    <w:p>
      <w:r>
        <w:t xml:space="preserve">Following the completion of welding and cooling to ambient temperature, test specimens for mechanical and metallographic characterization were extracted from each weld joint using the following procedure:</w:t>
      </w:r>
    </w:p>
    <w:p>
      <w:r>
        <w:t xml:space="preserve">(i) The welded plates were first visually inspected for surface defects (cracks, porosity, undercut, incomplete fusion) and any joints exhibiting major surface defects were rejected;</w:t>
      </w:r>
    </w:p>
    <w:p>
      <w:r>
        <w:t xml:space="preserve">(ii) An abrasive water-jet cutting machine was used to extract test specimens from the steady-state region of each weld joint, avoiding the start/stop zones (minimum 25 mm from each end);</w:t>
      </w:r>
    </w:p>
    <w:p>
      <w:r>
        <w:t xml:space="preserve">(iii) Specimens were cut in both transverse and longitudinal orientations relative to the welding direction, as required for the various mechanical tests:</w:t>
      </w:r>
    </w:p>
    <w:p>
      <w:r>
        <w:t xml:space="preserve">  • </w:t>
      </w:r>
      <w:r>
        <w:rPr>
          <w:b/>
        </w:rPr>
        <w:t xml:space="preserve">Transverse tensile specimens:</w:t>
      </w:r>
      <w:r>
        <w:t xml:space="preserve"> Cut perpendicular to the welding direction to evaluate joint strength</w:t>
      </w:r>
    </w:p>
    <w:p>
      <w:r>
        <w:t xml:space="preserve">  • </w:t>
      </w:r>
      <w:r>
        <w:rPr>
          <w:b/>
        </w:rPr>
        <w:t xml:space="preserve">Charpy impact specimens:</w:t>
      </w:r>
      <w:r>
        <w:t xml:space="preserve"> Cut from both the fusion zone (FZ) and heat-affected zone (HAZ) in the transverse orientation</w:t>
      </w:r>
    </w:p>
    <w:p>
      <w:r>
        <w:t xml:space="preserve">  • </w:t>
      </w:r>
      <w:r>
        <w:rPr>
          <w:b/>
        </w:rPr>
        <w:t xml:space="preserve">Metallographic cross-sections:</w:t>
      </w:r>
      <w:r>
        <w:t xml:space="preserve"> Cut perpendicular to the welding direction for microstructure and microhardness evaluation</w:t>
      </w:r>
    </w:p>
    <w:p>
      <w:r>
        <w:t xml:space="preserve">  • </w:t>
      </w:r>
      <w:r>
        <w:rPr>
          <w:b/>
        </w:rPr>
        <w:t xml:space="preserve">Corrosion test specimens:</w:t>
      </w:r>
      <w:r>
        <w:t xml:space="preserve"> Cut from the weld metal region</w:t>
      </w:r>
    </w:p>
    <w:p>
      <w:r>
        <w:t xml:space="preserve">(iv) All cut surfaces were deburred and ground to remove any cutting-induced deformation or thermal damage from the abrasive cutting process;</w:t>
      </w:r>
    </w:p>
    <w:p>
      <w:r>
        <w:t xml:space="preserve">(v) The specimen dimensions and orientations were marked using a scribe and permanent markers for identification throughout the characterization programme.</w:t>
      </w:r>
    </w:p>
    <w:p>
      <w:pPr>
        <w:pStyle w:val="Heading3"/>
      </w:pPr>
      <w:r>
        <w:t xml:space="preserve">4.5.4 Weld Specimen Mechanical Characterization</w:t>
      </w:r>
    </w:p>
    <w:p>
      <w:r>
        <w:t xml:space="preserve">A comprehensive mechanical characterization programme was undertaken on all four weld joints to evaluate and compare the performance of the laboratory-prepared fluxes with the commercial reference flux. The mechanical testing programme included tensile testing, Charpy impact testing, fractographic analysis, microhardness profiling, microstructural examination, and corrosion analysis.</w:t>
      </w:r>
    </w:p>
    <w:p>
      <w:pPr>
        <w:pStyle w:val="Heading4"/>
      </w:pPr>
      <w:r>
        <w:t xml:space="preserve">4.5.4.1 Weld Specimen Tensile Testing</w:t>
      </w:r>
    </w:p>
    <w:p>
      <w:r>
        <w:t xml:space="preserve">Transverse tensile test specimens were extracted from each weld joint in accordance with ASTM E8/E8M standard for tension testing of metallic materials. The specimen geometry included the weld metal, both heat-affected zones, and portions of the unaffected base metal on either side.</w:t>
      </w:r>
    </w:p>
    <w:p>
      <w:r>
        <w:rPr>
          <w:b/>
        </w:rPr>
        <w:t xml:space="preserve">Specimen Dimensions:</w:t>
      </w:r>
    </w:p>
    <w:p>
      <w:r>
        <w:t xml:space="preserve">  • Gauge length: 50 mm</w:t>
      </w:r>
    </w:p>
    <w:p>
      <w:r>
        <w:t xml:space="preserve">  • Gauge width: 12.5 mm</w:t>
      </w:r>
    </w:p>
    <w:p>
      <w:r>
        <w:t xml:space="preserve">  • Thickness: Full plate thickness (22 mm) or reduced as required</w:t>
      </w:r>
    </w:p>
    <w:p>
      <w:r>
        <w:t xml:space="preserve">  • Shoulder radius: 12.5 mm</w:t>
      </w:r>
    </w:p>
    <w:p>
      <w:r>
        <w:t xml:space="preserve">  • Overall length: 200 mm</w:t>
      </w:r>
    </w:p>
    <w:p>
      <w:r>
        <w:rPr>
          <w:b/>
        </w:rPr>
        <w:t xml:space="preserve">Testing Conditions:</w:t>
      </w:r>
    </w:p>
    <w:p>
      <w:r>
        <w:t xml:space="preserve">  • Testing machine: Universal testing machine (UTM) with 100 kN capacity</w:t>
      </w:r>
    </w:p>
    <w:p>
      <w:r>
        <w:t xml:space="preserve">  • Crosshead speed: 2 mm/min (quasi-static loading rate)</w:t>
      </w:r>
    </w:p>
    <w:p>
      <w:r>
        <w:t xml:space="preserve">  • Strain measurement: Extensometer with 50 mm gauge length</w:t>
      </w:r>
    </w:p>
    <w:p>
      <w:r>
        <w:t xml:space="preserve">  • Temperature: Room temperature (23 ± 2°C)</w:t>
      </w:r>
    </w:p>
    <w:p>
      <w:r>
        <w:t xml:space="preserve">  • Number of specimens: Minimum 2 per weld joint</w:t>
      </w:r>
    </w:p>
    <w:p>
      <w:r>
        <w:t xml:space="preserve">The following mechanical properties were determined from each tensile test:</w:t>
      </w:r>
    </w:p>
    <w:p>
      <w:r>
        <w:t xml:space="preserve">  • Ultimate tensile strength (UTS)</w:t>
      </w:r>
    </w:p>
    <w:p>
      <w:r>
        <w:t xml:space="preserve">  • 0.2% offset yield strength (YS)</w:t>
      </w:r>
    </w:p>
    <w:p>
      <w:r>
        <w:t xml:space="preserve">  • Percentage elongation at fracture</w:t>
      </w:r>
    </w:p>
    <w:p>
      <w:r>
        <w:t xml:space="preserve">  • Percentage reduction in area</w:t>
      </w:r>
    </w:p>
    <w:p>
      <w:r>
        <w:t xml:space="preserve">  • Location of fracture (weld metal, HAZ, or base metal)</w:t>
      </w:r>
    </w:p>
    <w:p>
      <w:r>
        <w:t xml:space="preserve">The fracture location provides important information regarding the relative strength of the weld metal compared to the base material. For a satisfactory weld joint in API X70 steel, the fracture should occur in the base metal or HAZ away from the fusion line, indicating that the weld metal possesses adequate strength.</w:t>
      </w:r>
    </w:p>
    <w:p>
      <w:pPr>
        <w:pStyle w:val="Heading4"/>
      </w:pPr>
      <w:r>
        <w:t xml:space="preserve">4.5.4.2 Weld Specimen Impact Testing</w:t>
      </w:r>
    </w:p>
    <w:p>
      <w:r>
        <w:t xml:space="preserve">Charpy V-notch (CVN) impact testing was performed to evaluate the fracture toughness of the weld joints at both room temperature and sub-zero temperature (-55°C). Sub-zero testing at -55°C is critical for pipeline steels intended for arctic or cold-climate service, where the operating temperature may fall well below the ductile-to-brittle transition temperature (DBTT).</w:t>
      </w:r>
    </w:p>
    <w:p>
      <w:r>
        <w:rPr>
          <w:b/>
        </w:rPr>
        <w:t xml:space="preserve">Specimen Geometry (as per ASTM E23):</w:t>
      </w:r>
    </w:p>
    <w:p>
      <w:r>
        <w:t xml:space="preserve">  • Dimensions: 10 mm × 10 mm × 55 mm (standard full-size Charpy specimen)</w:t>
      </w:r>
    </w:p>
    <w:p>
      <w:r>
        <w:t xml:space="preserve">  • Notch type: V-notch, 2 mm deep, 45° included angle, 0.25 mm root radius</w:t>
      </w:r>
    </w:p>
    <w:p>
      <w:r>
        <w:t xml:space="preserve">  • Notch orientation: Notch positioned in the weld metal centreline for fusion zone specimens, and at the fusion line for HAZ specimens</w:t>
      </w:r>
    </w:p>
    <w:p>
      <w:r>
        <w:rPr>
          <w:b/>
        </w:rPr>
        <w:t xml:space="preserve">Testing Conditions:</w:t>
      </w:r>
    </w:p>
    <w:p>
      <w:r>
        <w:t xml:space="preserve">  • Impact testing machine: Pendulum-type Charpy impact tester (capacity 300 J)</w:t>
      </w:r>
    </w:p>
    <w:p>
      <w:r>
        <w:t xml:space="preserve">  • Testing temperatures: Room temperature (23 ± 2°C) and -55°C</w:t>
      </w:r>
    </w:p>
    <w:p>
      <w:r>
        <w:t xml:space="preserve">  • Cooling medium for sub-zero testing: Liquid nitrogen/ethanol bath with thermocouple monitoring</w:t>
      </w:r>
    </w:p>
    <w:p>
      <w:r>
        <w:t xml:space="preserve">  • Specimen transfer time: Less than 5 seconds from cooling bath to anvil supports</w:t>
      </w:r>
    </w:p>
    <w:p>
      <w:r>
        <w:t xml:space="preserve">  • Number of specimens: Minimum 3 per condition (temperature × location × flux)</w:t>
      </w:r>
    </w:p>
    <w:p>
      <w:r>
        <w:rPr>
          <w:b/>
        </w:rPr>
        <w:t xml:space="preserve">Specimen Locations:</w:t>
      </w:r>
    </w:p>
    <w:p>
      <w:r>
        <w:t xml:space="preserve">For each weld joint, Charpy specimens were extracted from two critical locations:</w:t>
      </w:r>
    </w:p>
    <w:p>
      <w:r>
        <w:t xml:space="preserve">(i) </w:t>
      </w:r>
      <w:r>
        <w:rPr>
          <w:b/>
        </w:rPr>
        <w:t xml:space="preserve">Fusion zone (FZ):</w:t>
      </w:r>
      <w:r>
        <w:t xml:space="preserve"> Notch positioned at the weld metal centreline to evaluate the intrinsic toughness of the deposited weld metal;</w:t>
      </w:r>
    </w:p>
    <w:p>
      <w:r>
        <w:t xml:space="preserve">(ii) </w:t>
      </w:r>
      <w:r>
        <w:rPr>
          <w:b/>
        </w:rPr>
        <w:t xml:space="preserve">Heat-affected zone (HAZ):</w:t>
      </w:r>
      <w:r>
        <w:t xml:space="preserve"> Notch positioned at the fusion line to evaluate the toughness of the most critical region of the weldment, which typically contains the coarse-grained HAZ (CGHAZ) microstructure.</w:t>
      </w:r>
    </w:p>
    <w:p>
      <w:r>
        <w:t xml:space="preserve">The absorbed energy values (in Joules) provide a direct measure of the resistance to fracture under dynamic loading conditions. For API X70 pipeline steel weldments, minimum impact energy requirements typically specify ≥40 J at the minimum design temperature for the weld metal and ≥30 J for the HAZ.</w:t>
      </w:r>
    </w:p>
    <w:p>
      <w:r>
        <w:rPr>
          <w:b/>
        </w:rPr>
        <w:t xml:space="preserve">Table 4.5: Impact toughness values for SAW weldments</w:t>
      </w:r>
    </w:p>
    <w:p>
      <w:r>
        <w:t xml:space="preserve">S.No | Specimen | Weld Metal Impact (J) |  | HAZ Impact (J) | </w:t>
      </w:r>
    </w:p>
    <w:p>
      <w:r>
        <w:t xml:space="preserve"> |  | Room Temp. | -55°C | Room Temp. | -55°C</w:t>
      </w:r>
    </w:p>
    <w:p>
      <w:r>
        <w:t xml:space="preserve">1 | Parent Metal | 350 | 35 | — | —</w:t>
      </w:r>
    </w:p>
    <w:p>
      <w:r>
        <w:t xml:space="preserve">2 | F6B | 171 | 21 | 385 | 28</w:t>
      </w:r>
    </w:p>
    <w:p>
      <w:r>
        <w:t xml:space="preserve">3 | F20B | 125 | 11 | 355 | 19</w:t>
      </w:r>
    </w:p>
    <w:p>
      <w:r>
        <w:t xml:space="preserve">4 | F22B | 131 | 14 | 360 | 20</w:t>
      </w:r>
    </w:p>
    <w:p>
      <w:r>
        <w:t xml:space="preserve">5 | C.F. | 159 | 18 | 390 | 30</w:t>
      </w:r>
    </w:p>
    <w:p>
      <w:pPr>
        <w:pStyle w:val="Heading4"/>
      </w:pPr>
      <w:r>
        <w:t xml:space="preserve">4.5.4.3 Fractography Analysis of Weld Specimens</w:t>
      </w:r>
    </w:p>
    <w:p>
      <w:r>
        <w:t xml:space="preserve">Fractographic analysis was performed on the fractured surfaces of Charpy impact specimens to identify the fracture mechanisms and correlate them with the microstructural characteristics of the weldments produced using different flux compositions.</w:t>
      </w:r>
    </w:p>
    <w:p>
      <w:r>
        <w:rPr>
          <w:b/>
        </w:rPr>
        <w:t xml:space="preserve">Instrument and Conditions:</w:t>
      </w:r>
    </w:p>
    <w:p>
      <w:r>
        <w:t xml:space="preserve">  • Equipment: Scanning Electron Microscope (SEM) with secondary electron (SE) detector</w:t>
      </w:r>
    </w:p>
    <w:p>
      <w:r>
        <w:t xml:space="preserve">  • Accelerating voltage: 15–20 kV</w:t>
      </w:r>
    </w:p>
    <w:p>
      <w:r>
        <w:t xml:space="preserve">  • Working distance: 10–15 mm</w:t>
      </w:r>
    </w:p>
    <w:p>
      <w:r>
        <w:t xml:space="preserve">  • Magnification range: 50× to 5000×</w:t>
      </w:r>
    </w:p>
    <w:p>
      <w:r>
        <w:t xml:space="preserve">  • Specimen preparation: Fractured Charpy specimens were ultrasonically cleaned in acetone for 15 minutes to remove debris, then dried and mounted on aluminium stubs using carbon adhesive tape</w:t>
      </w:r>
    </w:p>
    <w:p>
      <w:r>
        <w:rPr>
          <w:b/>
        </w:rPr>
        <w:t xml:space="preserve">Analysis Methodology:</w:t>
      </w:r>
    </w:p>
    <w:p>
      <w:r>
        <w:t xml:space="preserve">The fractured surfaces were examined at multiple magnifications to identify:</w:t>
      </w:r>
    </w:p>
    <w:p>
      <w:r>
        <w:t xml:space="preserve">(i) </w:t>
      </w:r>
      <w:r>
        <w:rPr>
          <w:b/>
        </w:rPr>
        <w:t xml:space="preserve">Macroscopic fracture features:</w:t>
      </w:r>
      <w:r>
        <w:t xml:space="preserve"> Overall fracture appearance including shear lip area, flat fracture zone, radial zone, and fibrous zone. The percentage of shear fracture area was estimated visually and used as a qualitative measure of ductility;</w:t>
      </w:r>
    </w:p>
    <w:p>
      <w:r>
        <w:t xml:space="preserve">(ii) </w:t>
      </w:r>
      <w:r>
        <w:rPr>
          <w:b/>
        </w:rPr>
        <w:t xml:space="preserve">Microscopic ductile fracture features:</w:t>
      </w:r>
      <w:r>
        <w:t xml:space="preserve"> Presence, size, and distribution of dimples (microvoid coalescence), which indicate ductile failure through void nucleation, growth, and coalescence. The dimple size distribution correlates with the inclusion population in the weld metal;</w:t>
      </w:r>
    </w:p>
    <w:p>
      <w:r>
        <w:t xml:space="preserve">(iii) </w:t>
      </w:r>
      <w:r>
        <w:rPr>
          <w:b/>
        </w:rPr>
        <w:t xml:space="preserve">Microscopic brittle fracture features:</w:t>
      </w:r>
      <w:r>
        <w:t xml:space="preserve"> Presence of cleavage facets, river patterns, and transgranular fracture surfaces, which indicate brittle failure. The cleavage facet size correlates with the prior austenite grain size or the effective grain size for cleavage fracture;</w:t>
      </w:r>
    </w:p>
    <w:p>
      <w:r>
        <w:t xml:space="preserve">(iv) </w:t>
      </w:r>
      <w:r>
        <w:rPr>
          <w:b/>
        </w:rPr>
        <w:t xml:space="preserve">Mixed-mode features:</w:t>
      </w:r>
      <w:r>
        <w:t xml:space="preserve"> Transition regions between ductile and brittle zones, quasi-cleavage surfaces, and intergranular fracture features; and</w:t>
      </w:r>
    </w:p>
    <w:p>
      <w:r>
        <w:t xml:space="preserve">(v) </w:t>
      </w:r>
      <w:r>
        <w:rPr>
          <w:b/>
        </w:rPr>
        <w:t xml:space="preserve">Inclusion-related features:</w:t>
      </w:r>
      <w:r>
        <w:t xml:space="preserve"> Evidence of inclusion-initiated fracture, void formation around large inclusions, and the distribution of non-metallic particles on the fracture surface.</w:t>
      </w:r>
    </w:p>
    <w:p>
      <w:r>
        <w:t xml:space="preserve">Fractographic analysis was performed on specimens tested at both room temperature and -55°C from the fusion zone and HAZ of all four weld joints (F6B, F20B, F22B, and C.F.), providing a comprehensive database of fracture surface morphologies as a function of flux composition, testing temperature, and specimen location.</w:t>
      </w:r>
    </w:p>
    <w:p>
      <w:pPr>
        <w:pStyle w:val="Heading4"/>
      </w:pPr>
      <w:r>
        <w:t xml:space="preserve">4.5.4.4 Weld Specimen Microhardness Testing</w:t>
      </w:r>
    </w:p>
    <w:p>
      <w:r>
        <w:t xml:space="preserve">Vickers microhardness profiling was performed across the transverse cross-sections of all four weld joints to map the hardness distribution from the unaffected base metal through the heat-affected zone into the fusion zone, and continuing through the opposite HAZ to the far base metal.</w:t>
      </w:r>
    </w:p>
    <w:p>
      <w:r>
        <w:rPr>
          <w:b/>
        </w:rPr>
        <w:t xml:space="preserve">Testing Procedure:</w:t>
      </w:r>
    </w:p>
    <w:p>
      <w:r>
        <w:t xml:space="preserve">(i) Transverse cross-sections were extracted, mounted in conductive Bakelite resin, and prepared to a mirror polish following standard metallographic procedures;</w:t>
      </w:r>
    </w:p>
    <w:p>
      <w:r>
        <w:t xml:space="preserve">(ii) The polished cross-sections were lightly etched with 2% Nital solution to reveal the boundaries between the base metal, HAZ, and fusion zone, enabling precise placement of hardness indentations;</w:t>
      </w:r>
    </w:p>
    <w:p>
      <w:r>
        <w:t xml:space="preserve">(iii) Microhardness indentations were made using a Vickers microhardness tester under the following conditions:</w:t>
      </w:r>
    </w:p>
    <w:p>
      <w:r>
        <w:t xml:space="preserve">  • Applied load: 500 gf (4.9 N) for cross-section profiling</w:t>
      </w:r>
    </w:p>
    <w:p>
      <w:r>
        <w:t xml:space="preserve">  • Dwell time: 10 seconds</w:t>
      </w:r>
    </w:p>
    <w:p>
      <w:r>
        <w:t xml:space="preserve">  • Indentation spacing: 0.5 mm (centre-to-centre)</w:t>
      </w:r>
    </w:p>
    <w:p>
      <w:r>
        <w:t xml:space="preserve">  • Traverse path: Horizontal line at mid-thickness of the weld cross-section</w:t>
      </w:r>
    </w:p>
    <w:p>
      <w:r>
        <w:t xml:space="preserve">(iv) The hardness traverse extended from approximately 10 mm into the base metal on one side, through the complete weld zone, to 10 mm into the base metal on the opposite side;</w:t>
      </w:r>
    </w:p>
    <w:p>
      <w:r>
        <w:t xml:space="preserve">(v) Additional hardness measurements were taken at specific locations of interest, including the weld metal centre, the fusion line, the coarse-grained HAZ, the fine-grained HAZ, and the intercritical HAZ.</w:t>
      </w:r>
    </w:p>
    <w:p>
      <w:r>
        <w:rPr>
          <w:b/>
        </w:rPr>
        <w:t xml:space="preserve">Table 4.6: Microhardness of SAW weldments in FZ and HAZ regions</w:t>
      </w:r>
    </w:p>
    <w:p>
      <w:r>
        <w:t xml:space="preserve">S.No | Flux | Fusion Zone (HV) |  | HAZ (HV) | </w:t>
      </w:r>
    </w:p>
    <w:p>
      <w:r>
        <w:t xml:space="preserve"> |  | Max. | Min. | Max. | Min.</w:t>
      </w:r>
    </w:p>
    <w:p>
      <w:r>
        <w:t xml:space="preserve">1 | F6B | 224 | 205 | 251 | 208</w:t>
      </w:r>
    </w:p>
    <w:p>
      <w:r>
        <w:t xml:space="preserve">2 | F20B | 215 | 195 | 229 | 201</w:t>
      </w:r>
    </w:p>
    <w:p>
      <w:r>
        <w:t xml:space="preserve">3 | F22B | 202 | 184 | 225 | 205</w:t>
      </w:r>
    </w:p>
    <w:p>
      <w:r>
        <w:t xml:space="preserve">4 | C.F. | 233 | 210 | 257 | 211</w:t>
      </w:r>
    </w:p>
    <w:p>
      <w:r>
        <w:t xml:space="preserve">The hardness profiles provide critical information regarding:</w:t>
      </w:r>
    </w:p>
    <w:p>
      <w:r>
        <w:t xml:space="preserve">  • The relative hardening or softening in the weld metal compared to the base material;</w:t>
      </w:r>
    </w:p>
    <w:p>
      <w:r>
        <w:t xml:space="preserve">  • The extent and magnitude of HAZ hardening, which is related to the formation of low-temperature transformation products (bainite, martensite);</w:t>
      </w:r>
    </w:p>
    <w:p>
      <w:r>
        <w:t xml:space="preserve">  • The presence of any localized soft zones in the HAZ (HAZ softening) that could act as sites for strain localization under service loading; and</w:t>
      </w:r>
    </w:p>
    <w:p>
      <w:r>
        <w:t xml:space="preserve">  • The overall uniformity of the weldment properties, which indicates process consistency and the absence of defects.</w:t>
      </w:r>
    </w:p>
    <w:p>
      <w:pPr>
        <w:pStyle w:val="Heading4"/>
      </w:pPr>
      <w:r>
        <w:t xml:space="preserve">4.5.4.5 Weld Specimen Microstructure Analysis</w:t>
      </w:r>
    </w:p>
    <w:p>
      <w:r>
        <w:t xml:space="preserve">Comprehensive microstructural characterization was performed on the transverse cross-sections of all four weld joints to identify the phase constituents, morphological features, and microstructural evolution across the different zones of the weldment.</w:t>
      </w:r>
    </w:p>
    <w:p>
      <w:r>
        <w:rPr>
          <w:b/>
        </w:rPr>
        <w:t xml:space="preserve">Specimen Preparation:</w:t>
      </w:r>
    </w:p>
    <w:p>
      <w:r>
        <w:t xml:space="preserve">(i) Transverse cross-sections were mounted in conductive Bakelite resin and ground sequentially using SiC abrasive papers of 220, 400, 600, 800, 1000, and 1200 grit;</w:t>
      </w:r>
    </w:p>
    <w:p>
      <w:r>
        <w:t xml:space="preserve">(ii) Intermediate polishing was performed using diamond paste suspension (6 μm followed by 3 μm) on nylon polishing cloths;</w:t>
      </w:r>
    </w:p>
    <w:p>
      <w:r>
        <w:t xml:space="preserve">(iii) Final polishing was conducted using 1 μm diamond paste on a velvet cloth to achieve a scratch-free mirror finish;</w:t>
      </w:r>
    </w:p>
    <w:p>
      <w:r>
        <w:t xml:space="preserve">(iv) The polished specimens were etched with 2% Nital (2 mL HNO₃ in 98 mL ethanol) for 5–10 seconds to reveal the microstructural features. The etching time was adjusted for each zone to achieve optimal contrast between different phase constituents;</w:t>
      </w:r>
    </w:p>
    <w:p>
      <w:r>
        <w:t xml:space="preserve">(v) For specific cases requiring enhanced contrast of martensite-austenite (MA) constituents, LePera's reagent (1% Na₂S₂O₅ in distilled water mixed with 4% picric acid in ethanol, mixed 1:1 immediately before use) was employed as a secondary etchant.</w:t>
      </w:r>
    </w:p>
    <w:p>
      <w:r>
        <w:rPr>
          <w:b/>
        </w:rPr>
        <w:t xml:space="preserve">Optical Microscopy:</w:t>
      </w:r>
    </w:p>
    <w:p>
      <w:r>
        <w:t xml:space="preserve">Microstructural examination was performed using an optical microscope equipped with bright-field and dark-field illumination modes. The examination was conducted at multiple magnifications (50×, 100×, 200×, 500×, and 1000×) to capture both the macroscopic distribution of phases and the fine-scale morphological features.</w:t>
      </w:r>
    </w:p>
    <w:p>
      <w:r>
        <w:t xml:space="preserve">The following microstructural regions were systematically examined for each weld joint:</w:t>
      </w:r>
    </w:p>
    <w:p>
      <w:r>
        <w:t xml:space="preserve">(i) </w:t>
      </w:r>
      <w:r>
        <w:rPr>
          <w:b/>
        </w:rPr>
        <w:t xml:space="preserve">Weld metal (fusion zone):</w:t>
      </w:r>
      <w:r>
        <w:t xml:space="preserve"> Identification and characterization of acicular ferrite (AF), grain boundary ferrite (GBF), Widmanstätten ferrite (WF), polygonal ferrite (PF), upper bainite (UB), lower bainite (LB), and retained austenite/martensite-austenite (MA) constituents;</w:t>
      </w:r>
    </w:p>
    <w:p>
      <w:r>
        <w:t xml:space="preserve">(ii) </w:t>
      </w:r>
      <w:r>
        <w:rPr>
          <w:b/>
        </w:rPr>
        <w:t xml:space="preserve">Coarse-grained heat-affected zone (CGHAZ):</w:t>
      </w:r>
      <w:r>
        <w:t xml:space="preserve"> Located adjacent to the fusion line, this region experiences peak temperatures exceeding 1200°C and undergoes significant austenite grain coarsening. The phase constituents and prior austenite grain size were characterized;</w:t>
      </w:r>
    </w:p>
    <w:p>
      <w:r>
        <w:t xml:space="preserve">(iii) </w:t>
      </w:r>
      <w:r>
        <w:rPr>
          <w:b/>
        </w:rPr>
        <w:t xml:space="preserve">Fine-grained heat-affected zone (FGHAZ):</w:t>
      </w:r>
      <w:r>
        <w:t xml:space="preserve"> Located further from the fusion line, this region experiences peak temperatures between Ac₃ and approximately 1200°C, resulting in complete austenitization with limited grain growth;</w:t>
      </w:r>
    </w:p>
    <w:p>
      <w:r>
        <w:t xml:space="preserve">(iv) </w:t>
      </w:r>
      <w:r>
        <w:rPr>
          <w:b/>
        </w:rPr>
        <w:t xml:space="preserve">Intercritical heat-affected zone (ICHAZ):</w:t>
      </w:r>
      <w:r>
        <w:t xml:space="preserve"> This region experiences peak temperatures between Ac₁ and Ac₃, resulting in partial austenitization and the formation of complex dual-phase microstructures; and</w:t>
      </w:r>
    </w:p>
    <w:p>
      <w:r>
        <w:t xml:space="preserve">(v) </w:t>
      </w:r>
      <w:r>
        <w:rPr>
          <w:b/>
        </w:rPr>
        <w:t xml:space="preserve">Unaffected base metal:</w:t>
      </w:r>
      <w:r>
        <w:t xml:space="preserve"> Examined as a reference for comparison with the thermally affected regions.</w:t>
      </w:r>
    </w:p>
    <w:p>
      <w:r>
        <w:rPr>
          <w:b/>
        </w:rPr>
        <w:t xml:space="preserve">Microstructural Features of Interest:</w:t>
      </w:r>
    </w:p>
    <w:p>
      <w:r>
        <w:t xml:space="preserve">The key microstructural features targeted for identification and characterization include:</w:t>
      </w:r>
    </w:p>
    <w:p>
      <w:r>
        <w:t xml:space="preserve">  • </w:t>
      </w:r>
      <w:r>
        <w:rPr>
          <w:b/>
        </w:rPr>
        <w:t xml:space="preserve">Acicular ferrite (AF):</w:t>
      </w:r>
      <w:r>
        <w:t xml:space="preserve"> Fine, randomly oriented interlocking ferrite laths nucleated intragranularly on non-metallic inclusions. AF is the most desirable microstructural constituent in pipeline weld metals due to its excellent combination of strength and toughness;</w:t>
      </w:r>
    </w:p>
    <w:p>
      <w:r>
        <w:t xml:space="preserve">  • </w:t>
      </w:r>
      <w:r>
        <w:rPr>
          <w:b/>
        </w:rPr>
        <w:t xml:space="preserve">Polygonal ferrite (PF):</w:t>
      </w:r>
      <w:r>
        <w:t xml:space="preserve"> Equiaxed ferrite grains formed by diffusional transformation at relatively high temperatures. PF provides ductility but may reduce strength compared to AF;</w:t>
      </w:r>
    </w:p>
    <w:p>
      <w:r>
        <w:t xml:space="preserve">  • </w:t>
      </w:r>
      <w:r>
        <w:rPr>
          <w:b/>
        </w:rPr>
        <w:t xml:space="preserve">Grain boundary ferrite (GBF):</w:t>
      </w:r>
      <w:r>
        <w:t xml:space="preserve"> Allotriomorphic ferrite formed preferentially along prior austenite grain boundaries. Excessive GBF provides easy crack propagation paths and is undesirable;</w:t>
      </w:r>
    </w:p>
    <w:p>
      <w:r>
        <w:t xml:space="preserve">  • </w:t>
      </w:r>
      <w:r>
        <w:rPr>
          <w:b/>
        </w:rPr>
        <w:t xml:space="preserve">Widmanstätten ferrite (WF):</w:t>
      </w:r>
      <w:r>
        <w:t xml:space="preserve"> Ferrite side-plates nucleated from grain boundary ferrite and growing into the prior austenite grain interior. WF has intermediate mechanical properties;</w:t>
      </w:r>
    </w:p>
    <w:p>
      <w:r>
        <w:t xml:space="preserve">  • </w:t>
      </w:r>
      <w:r>
        <w:rPr>
          <w:b/>
        </w:rPr>
        <w:t xml:space="preserve">Bainite (upper and lower):</w:t>
      </w:r>
      <w:r>
        <w:t xml:space="preserve"> Formed by shear-diffusion mechanisms at intermediate temperatures. Lower bainite provides good strength-toughness combinations, while upper bainite may reduce toughness;</w:t>
      </w:r>
    </w:p>
    <w:p>
      <w:r>
        <w:t xml:space="preserve">  • </w:t>
      </w:r>
      <w:r>
        <w:rPr>
          <w:b/>
        </w:rPr>
        <w:t xml:space="preserve">Martensite-austenite (MA) constituents:</w:t>
      </w:r>
      <w:r>
        <w:t xml:space="preserve"> High-carbon islands formed during cooling that can act as brittle crack initiation sites, particularly in the CGHAZ. Their volume fraction, size, and morphology are critical to HAZ toughness.</w:t>
      </w:r>
    </w:p>
    <w:p>
      <w:pPr>
        <w:pStyle w:val="Heading4"/>
      </w:pPr>
      <w:r>
        <w:t xml:space="preserve">4.5.4.6 Weld Specimen Corrosion Analysis</w:t>
      </w:r>
    </w:p>
    <w:p>
      <w:r>
        <w:t xml:space="preserve">Electrochemical corrosion testing was performed on the weld metal regions of all four weld joints to evaluate the influence of flux composition on the corrosion resistance of the deposited weld metal. This characterization is particularly relevant for the intended marine and offshore pipeline applications where the weldment is exposed to aggressive saline environments.</w:t>
      </w:r>
    </w:p>
    <w:p>
      <w:r>
        <w:rPr>
          <w:b/>
        </w:rPr>
        <w:t xml:space="preserve">Specimen Preparation:</w:t>
      </w:r>
    </w:p>
    <w:p>
      <w:r>
        <w:t xml:space="preserve">(i) Corrosion test specimens of dimensions 10 mm × 10 mm were extracted from the weld metal (fusion zone) region of each joint;</w:t>
      </w:r>
    </w:p>
    <w:p>
      <w:r>
        <w:t xml:space="preserve">(ii) One face of each specimen was ground and polished to a 1200-grit finish to provide a reproducible surface condition;</w:t>
      </w:r>
    </w:p>
    <w:p>
      <w:r>
        <w:t xml:space="preserve">(iii) The polished face was exposed to the electrolyte, while all other surfaces and electrical connections were coated with lacquer or cold-mounting epoxy to prevent crevice corrosion at the specimen-mount interface;</w:t>
      </w:r>
    </w:p>
    <w:p>
      <w:r>
        <w:t xml:space="preserve">(iv) The exposed area was accurately measured using a digital calliper for normalization of electrochemical current values.</w:t>
      </w:r>
    </w:p>
    <w:p>
      <w:r>
        <w:rPr>
          <w:b/>
        </w:rPr>
        <w:t xml:space="preserve">Electrochemical Testing Setup:</w:t>
      </w:r>
    </w:p>
    <w:p>
      <w:r>
        <w:t xml:space="preserve">A conventional three-electrode electrochemical cell was employed:</w:t>
      </w:r>
    </w:p>
    <w:p>
      <w:r>
        <w:t xml:space="preserve">  • </w:t>
      </w:r>
      <w:r>
        <w:rPr>
          <w:b/>
        </w:rPr>
        <w:t xml:space="preserve">Working electrode:</w:t>
      </w:r>
      <w:r>
        <w:t xml:space="preserve"> Weld metal specimen (exposed area ~1 cm²)</w:t>
      </w:r>
    </w:p>
    <w:p>
      <w:r>
        <w:t xml:space="preserve">  • </w:t>
      </w:r>
      <w:r>
        <w:rPr>
          <w:b/>
        </w:rPr>
        <w:t xml:space="preserve">Reference electrode:</w:t>
      </w:r>
      <w:r>
        <w:t xml:space="preserve"> Saturated calomel electrode (SCE)</w:t>
      </w:r>
    </w:p>
    <w:p>
      <w:r>
        <w:t xml:space="preserve">  • </w:t>
      </w:r>
      <w:r>
        <w:rPr>
          <w:b/>
        </w:rPr>
        <w:t xml:space="preserve">Counter electrode:</w:t>
      </w:r>
      <w:r>
        <w:t xml:space="preserve"> Platinum wire or graphite rod</w:t>
      </w:r>
    </w:p>
    <w:p>
      <w:r>
        <w:t xml:space="preserve">  • </w:t>
      </w:r>
      <w:r>
        <w:rPr>
          <w:b/>
        </w:rPr>
        <w:t xml:space="preserve">Electrolyte:</w:t>
      </w:r>
      <w:r>
        <w:t xml:space="preserve"> 3.5 wt.% NaCl solution (simulating seawater conditions)</w:t>
      </w:r>
    </w:p>
    <w:p>
      <w:r>
        <w:t xml:space="preserve">  • </w:t>
      </w:r>
      <w:r>
        <w:rPr>
          <w:b/>
        </w:rPr>
        <w:t xml:space="preserve">Temperature:</w:t>
      </w:r>
      <w:r>
        <w:t xml:space="preserve"> Room temperature (23 ± 2°C)</w:t>
      </w:r>
    </w:p>
    <w:p>
      <w:r>
        <w:t xml:space="preserve">  • </w:t>
      </w:r>
      <w:r>
        <w:rPr>
          <w:b/>
        </w:rPr>
        <w:t xml:space="preserve">Equipment:</w:t>
      </w:r>
      <w:r>
        <w:t xml:space="preserve"> Potentiostat/galvanostat with impedance measurement capability</w:t>
      </w:r>
    </w:p>
    <w:p>
      <w:r>
        <w:rPr>
          <w:b/>
        </w:rPr>
        <w:t xml:space="preserve">Testing Protocol:</w:t>
      </w:r>
    </w:p>
    <w:p>
      <w:r>
        <w:t xml:space="preserve">(i) </w:t>
      </w:r>
      <w:r>
        <w:rPr>
          <w:b/>
        </w:rPr>
        <w:t xml:space="preserve">Open circuit potential (OCP) measurement:</w:t>
      </w:r>
      <w:r>
        <w:t xml:space="preserve"> Each specimen was immersed in the electrolyte for a minimum of 60 minutes to allow stabilization of the open circuit potential (free corrosion potential) before commencement of electrochemical measurements;</w:t>
      </w:r>
    </w:p>
    <w:p>
      <w:r>
        <w:t xml:space="preserve">(ii) </w:t>
      </w:r>
      <w:r>
        <w:rPr>
          <w:b/>
        </w:rPr>
        <w:t xml:space="preserve">Potentiodynamic polarization:</w:t>
      </w:r>
      <w:r>
        <w:t xml:space="preserve"> Anodic and cathodic polarization curves were recorded by scanning the potential from -250 mV (relative to OCP) to +250 mV (relative to OCP) at a scan rate of 0.5 mV/s. The polarization curves provide information on:</w:t>
      </w:r>
    </w:p>
    <w:p>
      <w:r>
        <w:t xml:space="preserve">  • Corrosion potential (Ecorr)</w:t>
      </w:r>
    </w:p>
    <w:p>
      <w:r>
        <w:t xml:space="preserve">  • Corrosion current density (icorr) determined by Tafel extrapolation</w:t>
      </w:r>
    </w:p>
    <w:p>
      <w:r>
        <w:t xml:space="preserve">  • Anodic and cathodic Tafel slopes (βa and βc)</w:t>
      </w:r>
    </w:p>
    <w:p>
      <w:r>
        <w:t xml:space="preserve">  • Corrosion rate (mm/year) calculated from icorr using Faraday's law;</w:t>
      </w:r>
    </w:p>
    <w:p>
      <w:r>
        <w:t xml:space="preserve">(iii) </w:t>
      </w:r>
      <w:r>
        <w:rPr>
          <w:b/>
        </w:rPr>
        <w:t xml:space="preserve">Electrochemical impedance spectroscopy (EIS):</w:t>
      </w:r>
      <w:r>
        <w:t xml:space="preserve"> If available, impedance measurements were performed at the OCP with a sinusoidal perturbation of ±10 mV amplitude over a frequency range of 100 kHz to 10 mHz. EIS provides information on the charge transfer resistance, double-layer capacitance, and the formation of any protective surface films.</w:t>
      </w:r>
    </w:p>
    <w:p>
      <w:r>
        <w:rPr>
          <w:b/>
        </w:rPr>
        <w:t xml:space="preserve">Corrosion Parameters of Interest:</w:t>
      </w:r>
    </w:p>
    <w:p>
      <w:r>
        <w:t xml:space="preserve">The primary corrosion parameters determined for each weld metal include:</w:t>
      </w:r>
    </w:p>
    <w:p>
      <w:r>
        <w:t xml:space="preserve">  • Corrosion potential (Ecorr, mV vs. SCE): More positive values indicate greater thermodynamic stability;</w:t>
      </w:r>
    </w:p>
    <w:p>
      <w:r>
        <w:t xml:space="preserve">  • Corrosion current density (icorr, μA/cm²): Lower values indicate slower corrosion kinetics;</w:t>
      </w:r>
    </w:p>
    <w:p>
      <w:r>
        <w:t xml:space="preserve">  • Polarization resistance (Rp, Ω·cm²): Higher values indicate greater resistance to corrosion; and</w:t>
      </w:r>
    </w:p>
    <w:p>
      <w:r>
        <w:t xml:space="preserve">  • Corrosion rate (mm/year): Calculated from icorr for direct comparison between formulations.</w:t>
      </w:r>
    </w:p>
    <w:p>
      <w:r>
        <w:t xml:space="preserve">The corrosion performance of the weld metal is influenced by the chemical composition (particularly Cr, Mo, Ni, and Cu content transferred from the flux system), the microstructural homogeneity, and the inclusion content and distribution. Basic fluxes with high basicity indices are expected to produce weld metals with lower oxygen and sulphur contents, which generally correlates with improved corrosion resistance due to fewer initiation sites for localized corrosion.</w:t>
      </w:r>
    </w:p>
    <w:p>
      <w:pPr>
        <w:pStyle w:val="Heading3"/>
      </w:pPr>
      <w:r>
        <w:t xml:space="preserve">4.5.5 Summary of Experimental Programme</w:t>
      </w:r>
    </w:p>
    <w:p>
      <w:r>
        <w:t xml:space="preserve">The complete experimental programme described in this chapter encompasses a systematic progression from flux design and preparation through to comprehensive weld joint characterization. The experimental workflow can be summarized as follows:</w:t>
      </w:r>
    </w:p>
    <w:p>
      <w:r>
        <w:t xml:space="preserve">1. </w:t>
      </w:r>
      <w:r>
        <w:rPr>
          <w:b/>
        </w:rPr>
        <w:t xml:space="preserve">Flux Design:</w:t>
      </w:r>
      <w:r>
        <w:t xml:space="preserve"> Twenty-five flux compositions generated using D-optimal mixture design within the SiO₂–TiO₂–CaF₂–BaO–MnO–CaO system;</w:t>
      </w:r>
    </w:p>
    <w:p>
      <w:r>
        <w:t xml:space="preserve">2. </w:t>
      </w:r>
      <w:r>
        <w:rPr>
          <w:b/>
        </w:rPr>
        <w:t xml:space="preserve">Flux Preparation:</w:t>
      </w:r>
      <w:r>
        <w:t xml:space="preserve"> Agglomerated fluxes prepared through controlled mixing, binder addition, granulation, and thermal treatment;</w:t>
      </w:r>
    </w:p>
    <w:p>
      <w:r>
        <w:t xml:space="preserve">3. </w:t>
      </w:r>
      <w:r>
        <w:rPr>
          <w:b/>
        </w:rPr>
        <w:t xml:space="preserve">Flux Characterization:</w:t>
      </w:r>
      <w:r>
        <w:t xml:space="preserve"> Bulk density, thermal properties (TPS-2500S), crystalline phases (XRD), and molecular structure (FTIR) determined for all formulations;</w:t>
      </w:r>
    </w:p>
    <w:p>
      <w:r>
        <w:t xml:space="preserve">4. </w:t>
      </w:r>
      <w:r>
        <w:rPr>
          <w:b/>
        </w:rPr>
        <w:t xml:space="preserve">Screening Experiments:</w:t>
      </w:r>
      <w:r>
        <w:t xml:space="preserve"> Multi-pass bead-on-plate welding with all twenty-five fluxes, followed by chemical analysis and microhardness measurement;</w:t>
      </w:r>
    </w:p>
    <w:p>
      <w:r>
        <w:t xml:space="preserve">5. </w:t>
      </w:r>
      <w:r>
        <w:rPr>
          <w:b/>
        </w:rPr>
        <w:t xml:space="preserve">Flux Selection:</w:t>
      </w:r>
      <w:r>
        <w:t xml:space="preserve"> Three optimal fluxes (F6B, F20B, F22B) identified through multi-criteria screening;</w:t>
      </w:r>
    </w:p>
    <w:p>
      <w:r>
        <w:t xml:space="preserve">6. </w:t>
      </w:r>
      <w:r>
        <w:rPr>
          <w:b/>
        </w:rPr>
        <w:t xml:space="preserve">Weld Joint Fabrication:</w:t>
      </w:r>
      <w:r>
        <w:t xml:space="preserve"> Butt weld joints produced using selected fluxes and commercial reference;</w:t>
      </w:r>
    </w:p>
    <w:p>
      <w:r>
        <w:t xml:space="preserve">7. </w:t>
      </w:r>
      <w:r>
        <w:rPr>
          <w:b/>
        </w:rPr>
        <w:t xml:space="preserve">Mechanical Characterization:</w:t>
      </w:r>
      <w:r>
        <w:t xml:space="preserve"> Tensile testing, Charpy impact testing (RT and -55°C), and microhardness profiling;</w:t>
      </w:r>
    </w:p>
    <w:p>
      <w:r>
        <w:t xml:space="preserve">8. </w:t>
      </w:r>
      <w:r>
        <w:rPr>
          <w:b/>
        </w:rPr>
        <w:t xml:space="preserve">Microstructural Characterization:</w:t>
      </w:r>
      <w:r>
        <w:t xml:space="preserve"> Optical microscopy and SEM fractography; and</w:t>
      </w:r>
    </w:p>
    <w:p>
      <w:r>
        <w:t xml:space="preserve">9. </w:t>
      </w:r>
      <w:r>
        <w:rPr>
          <w:b/>
        </w:rPr>
        <w:t xml:space="preserve">Corrosion Evaluation:</w:t>
      </w:r>
      <w:r>
        <w:t xml:space="preserve"> Potentiodynamic polarization in 3.5% NaCl solution.</w:t>
      </w:r>
    </w:p>
    <w:p>
      <w:r>
        <w:t xml:space="preserve">This integrated experimental approach provides the data necessary to establish comprehensive structure–property–performance relationships for the developed SAW flux system, enabling the rational design of next-generation welding fluxes for marine and offshore pipeline applications.</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Book Antiqua" w:hAnsi="Book Antiqua"/>
      <w:sz w:val="24"/>
      <w:szCs w:val="24"/>
    </w:rPr>
    <w:pPr>
      <w:spacing w:after="120" w:line="360" w:lineRule="auto"/>
    </w:pPr>
  </w:style>
  <w:style w:type="paragraph" w:styleId="Heading1">
    <w:name w:val="heading 1"/>
    <w:basedOn w:val="Normal"/>
    <w:pPr>
      <w:spacing w:before="360" w:after="120"/>
      <w:jc w:val="center"/>
    </w:pPr>
    <w:rPr>
      <w:rFonts w:ascii="Candara" w:hAnsi="Candara"/>
      <w:b/>
      <w:sz w:val="26"/>
      <w:szCs w:val="26"/>
    </w:rPr>
  </w:style>
  <w:style w:type="paragraph" w:styleId="Heading2">
    <w:name w:val="heading 2"/>
    <w:basedOn w:val="Normal"/>
    <w:pPr>
      <w:spacing w:before="240" w:after="120"/>
    </w:pPr>
    <w:rPr>
      <w:rFonts w:ascii="Candara" w:hAnsi="Candara"/>
      <w:b/>
      <w:sz w:val="26"/>
      <w:szCs w:val="26"/>
    </w:rPr>
  </w:style>
  <w:style w:type="paragraph" w:styleId="Heading3">
    <w:name w:val="heading 3"/>
    <w:basedOn w:val="Normal"/>
    <w:pPr>
      <w:spacing w:before="200" w:after="100"/>
    </w:pPr>
    <w:rPr>
      <w:rFonts w:ascii="Candara" w:hAnsi="Candara"/>
      <w:b/>
      <w:sz w:val="26"/>
      <w:szCs w:val="26"/>
    </w:rPr>
  </w:style>
  <w:style w:type="paragraph" w:styleId="Heading4">
    <w:name w:val="heading 4"/>
    <w:basedOn w:val="Normal"/>
    <w:pPr>
      <w:spacing w:before="200" w:after="100"/>
    </w:pPr>
    <w:rPr>
      <w:rFonts w:ascii="Candara" w:hAnsi="Candara"/>
      <w:b/>
      <w:sz w:val="26"/>
      <w:szCs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