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and Irreversibility Analysis of Unsteady EMHD Squeezing Flow of a Carreau Hybrid Nanofluid (AA7072–AA7075/Methanol) Between Parallel Plates in a Porous Medium</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The Brinkman number strongly amplifies the frictional and Joule irreversibilities, and the Bejan-number distribution reveals a transition from thermal and diffusive irreversibilities near the walls to friction- and Joule-dominated irreversibilities in the channel core.</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ν_f is the kinematic viscosity of the base fluid (methanol), a is a positive constant with dimension of inverse time, and γ is the squeezing-rate constant. For γ &gt; 0 the gap h(t) decreases with time, so the plates approach each other (squeezing); for γ &lt; 0 the gap increases and the plates separate. The admissible range is γt &lt; 1, so that h(t) remains real and positive. The normal (wall-normal) velocity of the upper plate associated with the changing gap is obtained by differentiating Eq. (1), while the lower plate simultaneously undergoes streamwise stretching with velocity U_e; the base-fluid viscosity ν_f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The Newtonian limit is recovered for n = 1 or We → 0 (equivalently Γ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D_B (m² s⁻¹); thermal-diffusion ratio K_T (dimensionless); mean fluid temperature T_m (K); and base-fluid specific heat at constant pressure (c_p)_f (J kg⁻¹ K⁻¹). Following the standard Eckert–Drake constitutive form [25], the </w:t>
      </w:r>
      <w:r>
        <w:rPr>
          <w:b/>
        </w:rPr>
        <w:t xml:space="preserve">concentration susceptibility</w:t>
      </w:r>
      <w:r>
        <w:t xml:space="preserve"> c_s is the thermodynamic coefficient relating a mass-fraction change to a change in the fluid's specific energy at constant pressure, c_s = (∂C/∂e_sp)_p; since e_sp (specific energy) has units J kg⁻¹, c_s has units kg J⁻¹ (equivalently s² m⁻²). We verify dimensional homogeneity directly.</w:t>
      </w:r>
    </w:p>
    <w:p/>
    <w:p>
      <w:r>
        <w:t xml:space="preserve">*Soret term (Eq. 11).* With C dimensionless, the Fickian term D_B ∂²C/∂y² has units (m² s⁻¹)(m⁻²) = s⁻¹, and D_B K_T/T_m × ∂²T/∂y² = (m² s⁻¹)(1)(K⁻¹)(K m⁻²) = s⁻¹; the two are homogeneous.</w:t>
      </w:r>
    </w:p>
    <w:p/>
    <w:p>
      <w:r>
        <w:t xml:space="preserve">*Dufour term (Eq. 10).* The coefficient (ρc_p)_hnf D_B K_T/(c_s (c_p)_f) has units (J m⁻³ K⁻¹)(m² s⁻¹)(1)/[(kg J⁻¹)(J kg⁻¹ K⁻¹)]. The denominator (kg J⁻¹)(J kg⁻¹ K⁻¹) = K⁻¹, so the coefficient is (J m⁻³ K⁻¹)(m² s⁻¹)(K) = J m⁻¹ s⁻¹; multiplying by ∂²C/∂y² (m⁻², C dimensionless) gives J m⁻³ s⁻¹ = kg m⁻¹ s⁻³. This is identical to the units of the conduction term κ_hnf ∂²T/∂y² = (W m⁻¹ K⁻¹)(K m⁻²) = W m⁻³ = kg m⁻¹ s⁻³, confirming homogeneity term by term.</w:t>
      </w:r>
    </w:p>
    <w:p/>
    <w:p>
      <w:r>
        <w:t xml:space="preserve">*Dufour number (Eq. 21).* With the same c_s, Df = D_B K_T (C_w − C₀)/[c_s (c_p)_f ν_f (T_w − T₀)] has units (m² s⁻¹)(1)(1)/[(kg J⁻¹)(J kg⁻¹ K⁻¹)(m² s⁻¹)(K)] = (m² s⁻¹)/[(K⁻¹)(m² s⁻¹)(K)] = 1, i.e. Df is dimensionless. The Soret number Sr is likewise dimensionless.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φ₁ and φ₂ are the volume fractions of the AA7072 and AA7075 nanoparticles,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ν_hnf = μ_hnf/ρ_hnf. Subscripts s1 and s2 denote AA7072 and AA7075, respectively.</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∂ψ/∂y and v = −∂ψ/∂x, the velocity components become u = U_e f′(η) and v = −[a ν_f/(1 − γt)]^{1/2} f(η).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sSub>
            <m:e>
              <m:r>
                <m:t xml:space="preserve">F</m:t>
              </m:r>
            </m:e>
            <m:sub>
              <m:r>
                <m:t xml:space="preserve">c</m:t>
              </m:r>
            </m:sub>
          </m:sSub>
          <m:r>
            <m:t xml:space="preserve">x</m:t>
          </m:r>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similarity parameters evaluated at the station of interest.</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The scaling therefore yields, with no additional time factor, Fr = F_c x; since F_c has units m⁻¹ and x units m, Fr is dimensionless. (A time-dependent factor would arise only if F_c were itself prescribed to depend on time, which is not assumed here.) In the reduced momentum balance (Eq. 22) this produces the term −Fr f′², whose η-derivative yields −2 Fr f′ f″ in Eq. (23); Fr is independent of η.</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η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 (the radiation parameter is Rd = 4σ*T₀³/(k*κ_f) as defined in Eq. 20, which produces the coefficients 4/3 and 4 below)</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θ_r = T_w/T₀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T/T₀ is dimensionless and ranges continuously from F(1) = 1 at the (ambient) upper plate to F(0) = θ_r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c</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normalisation.</w:t>
      </w:r>
      <w:r>
        <w:t xml:space="preserve"> The dimensional Dufour contribution in Eq. (10) is [(ρc_p)_hnf D_B K_T/(c_s (c_p)_f)] ∂²C/∂y², with c_s the concentration susceptibility of Section 2.3. Non-dimensionalising with C − C₀ = (C_w − C₀)φ, T − T₀ = (T_w − T₀)θ and y = h(t)η, this term becomes</w:t>
      </w:r>
    </w:p>
    <w:p/>
    <w:p>
      <w:r>
        <w:t xml:space="preserve">(ρc_p)_hnf [D_B K_T (C_w − C₀)/(c_s (c_p)_f h²)] φ″.</w:t>
      </w:r>
    </w:p>
    <w:p/>
    <w:p>
      <w:r>
        <w:t xml:space="preserve">The energy equation is reduced to the form of Eq. (24) by dividing every term by the conduction scale κ_f(T_w − T₀)/h². Applying this to the Dufour term and using (ρc_p)_hnf = α_c (ρc_p)_f together with the identity (ρc_p)_f/κ_f = Pr/ν_f gives</w:t>
      </w:r>
    </w:p>
    <w:p/>
    <w:p>
      <w:r>
        <w:t xml:space="preserve">[(ρc_p)_hnf/κ_f] × D_B K_T (C_w − C₀)/[c_s (c_p)_f (T_w − T₀)]</w:t>
      </w:r>
    </w:p>
    <w:p>
      <w:r>
        <w:t xml:space="preserve">= α_c (Pr/ν_f) × D_B K_T (C_w − C₀)/[c_s (c_p)_f (T_w − T₀)]</w:t>
      </w:r>
    </w:p>
    <w:p>
      <w:r>
        <w:t xml:space="preserve">= α_c Pr Df,</w:t>
      </w:r>
    </w:p>
    <w:p/>
    <w:p>
      <w:r>
        <w:t xml:space="preserve">where</w:t>
      </w:r>
    </w:p>
    <w:p/>
    <w:p>
      <w:r>
        <w:t xml:space="preserve">Df = D_B K_T (C_w − C₀)/[c_s (c_p)_f ν_f (T_w − T₀)]</w:t>
      </w:r>
    </w:p>
    <w:p/>
    <w:p>
      <w:r>
        <w:t xml:space="preserve">is the dimensionless Dufour number of Eq. (21). Hence the normalised Dufour term is α_c Pr Df φ″; factoring the common Pr that multiplies the dissipation source Ξ in Eq. (24), the Dufour contribution appearing inside Ξ is α_c Df φ″, exactly as written in Eq. (27). (There is no density ratio α_ρ in this coefficient; the relevant property ratio is the heat-capacity ratio α_c.)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U_e and the streamwise coordinate x:</w:t>
      </w:r>
    </w:p>
    <w:p/>
    <w:p>
      <m:oMathPara>
        <m:oMathParaPr>
          <m:jc m:val="center"/>
        </m:oMathParaPr>
        <m:oMath>
          <m:r>
            <m:t xml:space="preserve">R</m:t>
          </m:r>
          <m:sSub>
            <m:e>
              <m:r>
                <m:t xml:space="preserve">e</m:t>
              </m:r>
            </m:e>
            <m:sub>
              <m:r>
                <m:t xml:space="preserve">x</m:t>
              </m:r>
            </m:sub>
          </m:sSub>
          <m:r>
            <m:t xml:space="preserve">=</m:t>
          </m:r>
          <m:f>
            <m:fPr>
              <m:type m:val="bar"/>
            </m:fPr>
            <m:num>
              <m:sSub>
                <m:e>
                  <m:r>
                    <m:t xml:space="preserve">U</m:t>
                  </m:r>
                </m:e>
                <m:sub>
                  <m:r>
                    <m:t xml:space="preserve">e</m:t>
                  </m:r>
                </m:sub>
              </m:sSub>
              <m:r>
                <m:t xml:space="preserve">x</m:t>
              </m:r>
            </m:num>
            <m:den>
              <m:sSub>
                <m:e>
                  <m:r>
                    <m:t xml:space="preserve">ν</m:t>
                  </m:r>
                </m:e>
                <m:sub>
                  <m:r>
                    <m:t xml:space="preserve">f</m:t>
                  </m:r>
                </m:sub>
              </m:sSub>
            </m:den>
          </m:f>
          <m:r>
            <m:t xml:space="preserve">=</m:t>
          </m:r>
          <m:f>
            <m:fPr>
              <m:type m:val="bar"/>
            </m:fPr>
            <m:num>
              <m:r>
                <m:t xml:space="preserve">a</m:t>
              </m:r>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     (30)</m:t>
          </m:r>
        </m:oMath>
      </m:oMathPara>
    </w:p>
    <w:p/>
    <w:p>
      <w:r>
        <w:t xml:space="preserve">The positive wall-normal coordinate is taken in the +y direction (from the lower plate at η = 0 to the upper plate at η = 1); hence the sign of f″(1) determines the reported sign of the upper-wall shear stress. 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(31)</m:t>
          </m:r>
        </m:oMath>
      </m:oMathPara>
    </w:p>
    <w:p/>
    <w:p>
      <w:r>
        <w:t xml:space="preserve">so that the property ratio α_μ and the Carreau exponent (n − 1)/2 appear exactly as in the constitutive law (6). Had the half-dynamic-pressure convention C_f = τ_w/(½ρ_f U_e²) been adopted, a leading factor of 2 would appear in Eq. (31); the reported C_f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(32)</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(33)</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(34)</m:t>
          </m:r>
        </m:oMath>
      </m:oMathPara>
    </w:p>
    <w:p/>
    <w:p>
      <w:r>
        <w:t xml:space="preserve">The dimensionless entropy-generation number N_s comprises four physically distinct contributions — heat-transfer, fluid-friction, Joule and diffusive/species irreversibilities — with the Soret–Dufour cross term included within the diffusive contribution N_DD:</w:t>
      </w:r>
    </w:p>
    <w:p/>
    <w:p>
      <m:oMathPara>
        <m:oMathParaPr>
          <m:jc m:val="center"/>
        </m:oMathParaPr>
        <m:oMath>
          <m:sSub>
            <m:e>
              <m:r>
                <m:t xml:space="preserve">N</m:t>
              </m:r>
            </m:e>
            <m:sub>
              <m:r>
                <m:t xml:space="preserve">s</m:t>
              </m:r>
            </m:sub>
          </m:sSub>
          <m:r>
            <m:t xml:space="preserve">=</m:t>
          </m:r>
          <m:limLow>
            <m:e>
              <m:groupChr>
                <m:groupChrPr>
                  <m:chr m:val="⏟"/>
                  <m:pos m:val="bot"/>
                  <m:vertJc m:val="top"/>
                </m:groupChrPr>
                <m:e>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r>
                    <m:t xml:space="preserve">Λ</m:t>
                  </m:r>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(35)</m:t>
          </m:r>
        </m:oMath>
      </m:oMathPara>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sSub>
                <m:e>
                  <m:r>
                    <m:t xml:space="preserve">R</m:t>
                  </m:r>
                </m:e>
                <m:sub>
                  <m:r>
                    <m:t xml:space="preserve">s</m:t>
                  </m:r>
                </m:sub>
              </m:sSub>
              <m:r>
                <m:t xml:space="preserve"> </m:t>
              </m:r>
              <m:sSub>
                <m:e>
                  <m:r>
                    <m:t xml:space="preserve">ρ</m:t>
                  </m:r>
                </m:e>
                <m:sub>
                  <m:r>
                    <m:t xml:space="preserve">f</m:t>
                  </m:r>
                </m:sub>
              </m:sSub>
              <m:sSub>
                <m:e>
                  <m:r>
                    <m:t xml:space="preserve">D</m:t>
                  </m:r>
                </m:e>
                <m:sub>
                  <m:r>
                    <m:t xml:space="preserve">B</m:t>
                  </m:r>
                </m:sub>
              </m:sSub>
              <m:r>
                <m:t xml:space="preserve"> </m:t>
              </m:r>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(36)</m:t>
          </m:r>
        </m:oMath>
      </m:oMathPara>
    </w:p>
    <w:p/>
    <w:p>
      <w:r>
        <w:t xml:space="preserve">where Br is the Brinkman number, Ω the dimensionless temperature difference, Λ the diffusive-irreversibility parameter, ζ the dimensionless concentration difference, and R_s is the specific (mass-basis) gas constant of the diffusing species (units J kg⁻¹ K⁻¹), consistent with the mass-fraction definition of C adopted throughout. The product R_s ρ_f D_B (C_w − C₀)/κ_f is dimensionless.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(37)</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On the mass basis adopted here (C a mass fraction), we invoke the dilute-mixture approximation, for which the chemical potential of the diffusing species varies logarithmically with its mass fraction, μ_c ≈ μ_c⁰(T) + R_s T ln C; the leading-order gradient of μ_c/T with respect to C then yields the factor R_s/C, and expanding about C₀ with the base-fluid density ρ_f contributes a factor R_s ρ_f (the specific gas constant times the base-fluid density); the diagonal terms then give the conduction irreversibility and the pure diffusive term (R_s ρ_f D_B/C₀)(∂C/∂y)², while the symmetric Onsager cross-coupling gives the cross term (R_s ρ_f D_B/T₀)(∂T/∂y)(∂C/∂y). After non-dimensionalisation these map onto the two members of N_DD in Eq. (35), with Λ as defined in Eq. (36).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(38)</m:t>
          </m:r>
        </m:oMath>
      </m:oMathPara>
    </w:p>
    <w:p/>
    <w:p>
      <w:r>
        <w:t xml:space="preserve">The Soret–Dufour cross term is contained entirely within N_DD (fourth brace in Eq. 35) and is therefore assigned to the numerator together with the diagonal diffusive and conduction irreversibilities. The combined thermal-plus-diffusive numerator N_HT + N_DD is a quadratic form in the gradients (θ′, φ′):</w:t>
      </w:r>
    </w:p>
    <w:p/>
    <w:p>
      <m:oMathPara>
        <m:oMathParaPr>
          <m:jc m:val="center"/>
        </m:oMathParaPr>
        <m:oMath>
          <m:sSub>
            <m:e>
              <m:r>
                <m:t xml:space="preserve">N</m:t>
              </m:r>
            </m:e>
            <m:sub>
              <m:r>
                <m:t xml:space="preserve">H</m:t>
              </m:r>
              <m:r>
                <m:t xml:space="preserve">T</m:t>
              </m:r>
            </m:sub>
          </m:sSub>
          <m:r>
            <m:t xml:space="preserve">+</m:t>
          </m:r>
          <m:sSub>
            <m:e>
              <m:r>
                <m:t xml:space="preserve">N</m:t>
              </m:r>
            </m:e>
            <m:sub>
              <m:r>
                <m:t xml:space="preserve">D</m:t>
              </m:r>
              <m:r>
                <m:t xml:space="preserve">D</m:t>
              </m:r>
            </m:sub>
          </m:sSub>
          <m:r>
            <m:t xml:space="preserve">=</m:t>
          </m:r>
          <m:r>
            <m:t xml:space="preserve">A</m:t>
          </m:r>
          <m:r>
            <m:t xml:space="preserve"> </m:t>
          </m:r>
          <m:sSup>
            <m:e>
              <m:sSup>
                <m:e>
                  <m:r>
                    <m:t xml:space="preserve">θ</m:t>
                  </m:r>
                </m:e>
                <m:sup>
                  <m:r>
                    <m:t xml:space="preserve">′</m:t>
                  </m:r>
                </m:sup>
              </m:sSup>
            </m:e>
            <m:sup>
              <m:r>
                <m:t xml:space="preserve">2</m:t>
              </m:r>
            </m:sup>
          </m:sSup>
          <m:r>
            <m:t xml:space="preserve">+</m:t>
          </m:r>
          <m:r>
            <m:t xml:space="preserve">2</m:t>
          </m:r>
          <m:r>
            <m:t xml:space="preserve">B</m:t>
          </m:r>
          <m:r>
            <m:t xml:space="preserve"> </m:t>
          </m:r>
          <m:sSup>
            <m:e>
              <m:r>
                <m:t xml:space="preserve">θ</m:t>
              </m:r>
            </m:e>
            <m:sup>
              <m:r>
                <m:t xml:space="preserve">′</m:t>
              </m:r>
            </m:sup>
          </m:sSup>
          <m:sSup>
            <m:e>
              <m:r>
                <m:t xml:space="preserve">φ</m:t>
              </m:r>
            </m:e>
            <m:sup>
              <m:r>
                <m:t xml:space="preserve">′</m:t>
              </m:r>
            </m:sup>
          </m:sSup>
          <m:r>
            <m:t xml:space="preserve">+</m:t>
          </m:r>
          <m:r>
            <m:t xml:space="preserve">C</m:t>
          </m:r>
          <m:r>
            <m:t xml:space="preserve"> </m:t>
          </m:r>
          <m:sSup>
            <m:e>
              <m:sSup>
                <m:e>
                  <m:r>
                    <m:t xml:space="preserve">φ</m:t>
                  </m:r>
                </m:e>
                <m:sup>
                  <m:r>
                    <m:t xml:space="preserve">′</m:t>
                  </m:r>
                </m:sup>
              </m:sSup>
            </m:e>
            <m:sup>
              <m:r>
                <m:t xml:space="preserve">2</m:t>
              </m:r>
            </m:sup>
          </m:sSup>
          <m:r>
            <m:t xml:space="preserve">     (39)</m:t>
          </m:r>
        </m:oMath>
      </m:oMathPara>
    </w:p>
    <w:p/>
    <w:p>
      <w:r>
        <w:t xml:space="preserve">with coefficients</w:t>
      </w:r>
    </w:p>
    <w:p/>
    <w:p>
      <m:oMathPara>
        <m:oMathParaPr>
          <m:jc m:val="center"/>
        </m:oMathParaPr>
        <m:oMath>
          <m:r>
            <m:t xml:space="preserve">A</m:t>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m:t>
          </m:r>
          <m:r>
            <m:t xml:space="preserve">  </m:t>
          </m:r>
          <m:r>
            <m:t xml:space="preserve">B</m:t>
          </m:r>
          <m:r>
            <m:t xml:space="preserve">=</m:t>
          </m:r>
          <m:f>
            <m:fPr>
              <m:type m:val="bar"/>
            </m:fPr>
            <m:num>
              <m:r>
                <m:t xml:space="preserve">1</m:t>
              </m:r>
            </m:num>
            <m:den>
              <m:r>
                <m:t xml:space="preserve">2</m:t>
              </m:r>
            </m:den>
          </m:f>
          <m:r>
            <m:t xml:space="preserve">Λ</m:t>
          </m:r>
          <m:f>
            <m:fPr>
              <m:type m:val="bar"/>
            </m:fPr>
            <m:num>
              <m:r>
                <m:t xml:space="preserve">ζ</m:t>
              </m:r>
            </m:num>
            <m:den>
              <m:r>
                <m:t xml:space="preserve">Ω</m:t>
              </m:r>
            </m:den>
          </m:f>
          <m:r>
            <m:t xml:space="preserve">,</m:t>
          </m:r>
          <m:r>
            <m:t xml:space="preserve">  </m:t>
          </m:r>
          <m:r>
            <m:t xml:space="preserve">C</m:t>
          </m:r>
          <m:r>
            <m:t xml:space="preserve">=</m:t>
          </m:r>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(40)</m:t>
          </m:r>
        </m:oMath>
      </m:oMathPara>
    </w:p>
    <w:p/>
    <w:p>
      <w:r>
        <w:t xml:space="preserve">We adopt the heating/mass-addition configuration in which both driving differences are positive, T_w − T₀ &gt; 0 and ΔC = C_w − C₀ &gt; 0; consequently Ω = (T_w − T₀)/T₀ &gt; 0 and ζ = (C_w − C₀)/C₀ &gt; 0, and Λ = R D_B ΔC/κ_f &gt; 0 since R, D_B, κ_f &gt; 0. A real symmetric quadratic form A θ′² + 2B θ′φ′ + C φ′² is positive semidefinite if and only if A ≥ 0, C ≥ 0 and AC − B² ≥ 0. Under the sign assumptions just stated, A = α_κ + (4/3)Rd F³ ≥ 0 and C = Λ(ζ/Ω)² ≥ 0 hold automatically (Rd ≥ 0, and Λ, (ζ/Ω)² ≥ 0). Imposing the determinant condition,</w:t>
      </w:r>
    </w:p>
    <w:p/>
    <w:p>
      <m:oMathPara>
        <m:oMathParaPr>
          <m:jc m:val="center"/>
        </m:oMathParaPr>
        <m:oMath>
          <m:r>
            <m:t xml:space="preserve">A</m:t>
          </m:r>
          <m:r>
            <m:t xml:space="preserve">C</m:t>
          </m:r>
          <m:r>
            <m:t xml:space="preserve">-</m:t>
          </m:r>
          <m:sSup>
            <m:e>
              <m:r>
                <m:t xml:space="preserve">B</m:t>
              </m:r>
            </m:e>
            <m:sup>
              <m:r>
                <m:t xml:space="preserve">2</m:t>
              </m:r>
            </m:sup>
          </m:sSup>
          <m:r>
            <m:t xml:space="preserve">=</m:t>
          </m:r>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m:t>
          </m:r>
          <m:f>
            <m:fPr>
              <m:type m:val="bar"/>
            </m:fPr>
            <m:num>
              <m:r>
                <m:t xml:space="preserve">1</m:t>
              </m:r>
            </m:num>
            <m:den>
              <m:r>
                <m:t xml:space="preserve">4</m:t>
              </m:r>
            </m:den>
          </m:f>
          <m:sSup>
            <m:e>
              <m:r>
                <m:t xml:space="preserve">Λ</m:t>
              </m:r>
            </m:e>
            <m:sup>
              <m:r>
                <m:t xml:space="preserve">2</m:t>
              </m:r>
            </m:sup>
          </m:sSup>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m:t>
          </m:r>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m:t>
          </m:r>
          <m:f>
            <m:fPr>
              <m:type m:val="bar"/>
            </m:fPr>
            <m:num>
              <m:r>
                <m:t xml:space="preserve">Λ</m:t>
              </m:r>
            </m:num>
            <m:den>
              <m:r>
                <m:t xml:space="preserve">4</m:t>
              </m:r>
            </m:den>
          </m:f>
          <m:r>
            <m:t xml:space="preserve">}</m:t>
          </m:r>
          <m:r>
            <m:t xml:space="preserve">≥</m:t>
          </m:r>
          <m:r>
            <m:t xml:space="preserve">0</m:t>
          </m:r>
          <m:r>
            <m:t xml:space="preserve">,</m:t>
          </m:r>
          <m:r>
            <m:t xml:space="preserve">     (41)</m:t>
          </m:r>
        </m:oMath>
      </m:oMathPara>
    </w:p>
    <w:p/>
    <w:p>
      <w:r>
        <w:t xml:space="preserve">which, since Λ(ζ/Ω)² ≥ 0, reduces to the bound</w:t>
      </w:r>
    </w:p>
    <w:p/>
    <w:p>
      <m:oMathPara>
        <m:oMathParaPr>
          <m:jc m:val="center"/>
        </m:oMathParaPr>
        <m:oMath>
          <m:r>
            <m:t xml:space="preserve">Λ</m:t>
          </m:r>
          <m:r>
            <m:t xml:space="preserve">≤</m:t>
          </m:r>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m:t>
          </m:r>
          <m:r>
            <m:t xml:space="preserve">     (42)</m:t>
          </m:r>
        </m:oMath>
      </m:oMathPara>
    </w:p>
    <w:p/>
    <w:p>
      <w:r>
        <w:t xml:space="preserve">Since F = F(η), Eq. (42) is a spatially varying condition; it was evaluated pointwise over 0 ≤ η ≤ 1 for every reported parameter set and found to hold, so the complete diffusive quadratic form satisfies N_HT + N_DD ≥ 0. The friction and Joule contributions N_FF and N_J are individually non-negative because each is a positive coefficient times a squared gradient. Consequently, under the positive-semidefinite condition given by Eq. (42) together with the sign assumptions above, the whole denominator N_s is positive and the calculated Bejan number satisfies 0 ≤ Be ≤ 1 over the reported parameter range — note that it is the complete quadratic form N_HT + N_DD, and not the individual cross term Λ(ζ/Ω)θ′φ′ (which may be negative locally), that is guaranteed non-negative. This is confirmed by the computed cases in Table 5, whose reported wall values span 0.1124 ≤ Be(0)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We therefore consider the solution to be grid-independent to the reported numerical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Δf″(1)/f″(1)</w:t>
            </w:r>
          </w:p>
        </w:tc>
      </w:tr>
      <w:tr>
        <w:tc>
          <w:tcPr/>
          <w:p>
            <w:pPr>
              <w:spacing w:after="0"/>
            </w:pPr>
            <w:r>
              <w:t xml:space="preserve">100</w:t>
            </w:r>
          </w:p>
        </w:tc>
        <w:tc>
          <w:tcPr/>
          <w:p>
            <w:pPr>
              <w:spacing w:after="0"/>
            </w:pPr>
            <w:r>
              <w:t xml:space="preserve">0.07587814</w:t>
            </w:r>
          </w:p>
        </w:tc>
        <w:tc>
          <w:tcPr/>
          <w:p>
            <w:pPr>
              <w:spacing w:after="0"/>
            </w:pPr>
            <w:r>
              <w:t xml:space="preserve">—</w:t>
            </w:r>
          </w:p>
        </w:tc>
      </w:tr>
      <w:tr>
        <w:tc>
          <w:tcPr/>
          <w:p>
            <w:pPr>
              <w:spacing w:after="0"/>
            </w:pPr>
            <w:r>
              <w:t xml:space="preserve">200</w:t>
            </w:r>
          </w:p>
        </w:tc>
        <w:tc>
          <w:tcPr/>
          <w:p>
            <w:pPr>
              <w:spacing w:after="0"/>
            </w:pPr>
            <w:r>
              <w:t xml:space="preserve">0.07587810</w:t>
            </w:r>
          </w:p>
        </w:tc>
        <w:tc>
          <w:tcPr/>
          <w:p>
            <w:pPr>
              <w:spacing w:after="0"/>
            </w:pPr>
            <w:r>
              <w:t xml:space="preserve">5.3 × 10⁻⁷</w:t>
            </w:r>
          </w:p>
        </w:tc>
      </w:tr>
      <w:tr>
        <w:tc>
          <w:tcPr/>
          <w:p>
            <w:pPr>
              <w:spacing w:after="0"/>
            </w:pPr>
            <w:r>
              <w:t xml:space="preserve">400</w:t>
            </w:r>
          </w:p>
        </w:tc>
        <w:tc>
          <w:tcPr/>
          <w:p>
            <w:pPr>
              <w:spacing w:after="0"/>
            </w:pPr>
            <w:r>
              <w:t xml:space="preserve">0.07587809</w:t>
            </w:r>
          </w:p>
        </w:tc>
        <w:tc>
          <w:tcPr/>
          <w:p>
            <w:pPr>
              <w:spacing w:after="0"/>
            </w:pPr>
            <w:r>
              <w:t xml:space="preserve">1.3 × 10⁻⁷</w:t>
            </w:r>
          </w:p>
        </w:tc>
      </w:tr>
    </w:tbl>
    <w:p/>
    <w:p>
      <w:r>
        <w:rPr>
          <w:b/>
        </w:rPr>
        <w:t xml:space="preserve">Table 2. Newtonian clear-fluid limit</w:t>
      </w:r>
      <w:r>
        <w:t xml:space="preserve"> (Pr = 6.2, Bi = 0.5; radiation, dissipation, Joule, Soret and Dufour effects switched off so that the energy equation reduces to θ″ + Pr(fθ′ − f′θ − Sq θ − (Sq/2)ηθ′) = 0 with θ′(0) = −Bi[1 − θ(0)], θ(1)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squeezing-film equation of Wang [44]</w:t>
      </w:r>
    </w:p>
    <w:p/>
    <w:p>
      <m:oMathPara>
        <m:oMathParaPr>
          <m:jc m:val="center"/>
        </m:oMathParaPr>
        <m:oMath>
          <m:sSup>
            <m:e>
              <m:r>
                <m:t xml:space="preserve">f</m:t>
              </m:r>
            </m:e>
            <m:sup>
              <m:r>
                <m:t xml:space="preserve">(</m:t>
              </m:r>
              <m:r>
                <m:t xml:space="preserve">4</m:t>
              </m:r>
              <m:r>
                <m:t xml:space="preserve">)</m:t>
              </m:r>
            </m:sup>
          </m:sSup>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r>
            <m:t xml:space="preserve">0</m:t>
          </m:r>
        </m:oMath>
      </m:oMathPara>
    </w:p>
    <w:p/>
    <w:p>
      <w:r>
        <w:t xml:space="preserve">with f(0) = 0, f′(0) = 1, f(1) = Sq/2, f′(1) = 0, where f^{(4)} denotes the fourth derivative. A quantitative comparison of the present f″(1) against the benchmark values of Wang [44] is given in Table 3; the agreement is better than 0.1% across the tested range of Sq, confirming correct implementation.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Pr>
      <w:tblGrid>
        <w:gridCol w:w="2250"/>
        <w:gridCol w:w="2250"/>
        <w:gridCol w:w="2250"/>
        <w:gridCol w:w="2250"/>
      </w:tblGrid>
      <w:tr>
        <w:tc>
          <w:tcPr>
            <w:shd w:val="clear" w:color="auto" w:fill="D9E2F3"/>
          </w:tcPr>
          <w:p>
            <w:pPr>
              <w:spacing w:after="0"/>
            </w:pPr>
            <w:r>
              <w:rPr>
                <w:b/>
              </w:rPr>
              <w:t xml:space="preserve">Sq</w:t>
            </w:r>
          </w:p>
        </w:tc>
        <w:tc>
          <w:tcPr>
            <w:shd w:val="clear" w:color="auto" w:fill="D9E2F3"/>
          </w:tcPr>
          <w:p>
            <w:pPr>
              <w:spacing w:after="0"/>
            </w:pPr>
            <w:r>
              <w:rPr>
                <w:b/>
              </w:rPr>
              <w:t xml:space="preserve">Present f″(1)</w:t>
            </w:r>
          </w:p>
        </w:tc>
        <w:tc>
          <w:tcPr>
            <w:shd w:val="clear" w:color="auto" w:fill="D9E2F3"/>
          </w:tcPr>
          <w:p>
            <w:pPr>
              <w:spacing w:after="0"/>
            </w:pPr>
            <w:r>
              <w:rPr>
                <w:b/>
              </w:rPr>
              <w:t xml:space="preserve">Benchmark f″(1)</w:t>
            </w:r>
          </w:p>
        </w:tc>
        <w:tc>
          <w:tcPr>
            <w:shd w:val="clear" w:color="auto" w:fill="D9E2F3"/>
          </w:tcPr>
          <w:p>
            <w:pPr>
              <w:spacing w:after="0"/>
            </w:pPr>
            <w:r>
              <w:rPr>
                <w:b/>
              </w:rPr>
              <w:t xml:space="preserve">Relative error (%)</w:t>
            </w:r>
          </w:p>
        </w:tc>
      </w:tr>
      <w:tr>
        <w:tc>
          <w:tcPr/>
          <w:p>
            <w:pPr>
              <w:spacing w:after="0"/>
            </w:pPr>
            <w:r>
              <w:t xml:space="preserve">0.5</w:t>
            </w:r>
          </w:p>
        </w:tc>
        <w:tc>
          <w:tcPr/>
          <w:p>
            <w:pPr>
              <w:spacing w:after="0"/>
            </w:pPr>
            <w:r>
              <w:t xml:space="preserve">0.4221590</w:t>
            </w:r>
          </w:p>
        </w:tc>
        <w:tc>
          <w:tcPr/>
          <w:p>
            <w:pPr>
              <w:spacing w:after="0"/>
            </w:pPr>
            <w:r>
              <w:t xml:space="preserve">0.4219680</w:t>
            </w:r>
          </w:p>
        </w:tc>
        <w:tc>
          <w:tcPr/>
          <w:p>
            <w:pPr>
              <w:spacing w:after="0"/>
            </w:pPr>
            <w:r>
              <w:t xml:space="preserve">0.045</w:t>
            </w:r>
          </w:p>
        </w:tc>
      </w:tr>
      <w:tr>
        <w:tc>
          <w:tcPr/>
          <w:p>
            <w:pPr>
              <w:spacing w:after="0"/>
            </w:pPr>
            <w:r>
              <w:t xml:space="preserve">1.0</w:t>
            </w:r>
          </w:p>
        </w:tc>
        <w:tc>
          <w:tcPr/>
          <w:p>
            <w:pPr>
              <w:spacing w:after="0"/>
            </w:pPr>
            <w:r>
              <w:t xml:space="preserve">−1.1521740</w:t>
            </w:r>
          </w:p>
        </w:tc>
        <w:tc>
          <w:tcPr/>
          <w:p>
            <w:pPr>
              <w:spacing w:after="0"/>
            </w:pPr>
            <w:r>
              <w:t xml:space="preserve">−1.1530300</w:t>
            </w:r>
          </w:p>
        </w:tc>
        <w:tc>
          <w:tcPr/>
          <w:p>
            <w:pPr>
              <w:spacing w:after="0"/>
            </w:pPr>
            <w:r>
              <w:t xml:space="preserve">0.074</w:t>
            </w:r>
          </w:p>
        </w:tc>
      </w:tr>
    </w:tbl>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normal velocity associated with the changing plate separation is v_h = dh/dt (Eq. 2). The gap is filled with a Carreau hybrid nanofluid saturating a Darcy–Forchheimer porous medium.</w:t>
      </w:r>
    </w:p>
    <w:p/>
    <w:p>
      <w:r>
        <w:t xml:space="preserve">[Figure placeholder: figures_emhd/Figure_2_Velocity_Sq.png]</w:t>
      </w:r>
    </w:p>
    <w:p/>
    <w:p>
      <w:r>
        <w:rPr>
          <w:b/>
        </w:rPr>
        <w:t xml:space="preserve">Figure 2.</w:t>
      </w:r>
      <w:r>
        <w:t xml:space="preserve"> Effect of the squeezing parameter Sq on the velocity profile f′(η).</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upper-wall shear changes from negative at We = 0.5 (Re^{1/2}C_f = −0.0380) to positive at We = 2.0 (Re^{1/2}C_f = 0.2693), i.e. a substantially larger reduced skin-friction value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the reduced Nusselt number increases by approximately 73.7%, from 1.3509 at Rd = 0.2 to 2.3466 at Rd = 1.0.</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w:t>
      </w:r>
    </w:p>
    <w:p/>
    <w:p>
      <w:r>
        <w:t xml:space="preserve">Figure 6 shows the Bejan number, which is bounded in [0, 1] at every η over the full parameter range (Section 3.2): the combined thermal and diffusive contribution (N_HT + N_DD) dominates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φ = φ₁ + φ₂, using the equal-split condition φ₁ = φ₂ = φ/2.</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5. N_s and Be at η = 0.</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6. Effect of volume fraction.</w:t>
      </w:r>
      <w:r>
        <w:t xml:space="preserve"> The equal-split convention φ₁ = φ₂ is used; the total nanoparticle loading is φ = φ₁ + φ₂, so the final row corresponds to a total loading of φ = 0.10. The average entropy-generation number is the channel-averaged value N_s,avg = ∫₀¹ N_s(η) dη (the averaging domain 0 ≤ η ≤ 1 has unit length, so this equals the arithmetic mean over the gap).</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concentration susceptibility c_s is defined explicitly (c_s = (∂C/∂e_sp)_p, units kg J⁻¹), with which a direct unit check verifies that the Soret and Dufour numbers Sr and Df are dimensionless; the Dufour contribution is then reduced step by step to Pr α_c Df φ″, i.e. α_c Df φ″ inside the dissipation source Ξ (Eq. 27).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under the stated sign assumptions and the positive-semidefinite condition (Eq. 42), the calculated Bejan number satisfies 0 ≤ Be ≤ 1 over the reported range.</w:t>
      </w:r>
    </w:p>
    <w:p>
      <w:r>
        <w:t xml:space="preserve">4. The solution is grid-independent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peaks near the walls; increasing the Brinkman number enhances the frictional and Joule contributions to entropy generation, whereas increasing the magnetic parameter primarily enhances the Joule irreversibility (its effect on friction being indirect, through the velocity field). Hybrid loading (total φ up to 0.10) increases the Nusselt number by approximately 41.2%, accompanied by an approximately 31.7% increase in the average entropy-generation number N_s,avg (from 3.1844 to 4.1940).</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