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Cultivating Tomorrow: A Guide to Agricultural Tourism and Regenerative Landscapes</w:t>
      </w:r>
    </w:p>
    <w:p>
      <w:pPr>
        <w:pStyle w:val="Heading1"/>
      </w:pPr>
      <w:r>
        <w:t xml:space="preserve">Abstract</w:t>
      </w:r>
    </w:p>
    <w:p>
      <w:pPr>
        <w:pStyle w:val="Abstract"/>
      </w:pPr>
      <w:r>
        <w:t xml:space="preserve">Agricultural tourism and regenerative farming represent two of the most promising pathways toward sustainable rural development in the twenty-first century. This book explores the powerful synergy between these two fields, arguing that their strategic integration can create a new paradigm for rural landscapes that is ecologically restorative, economically viable, and culturally enriching. Drawing on interdisciplinary research spanning environmental science, tourism studies, economics, and rural sociology, this comprehensive guide examines the theoretical foundations and practical applications of combining regenerative agriculture with agritourism enterprises. The book addresses critical challenges including commercialization pressures, climate change impacts, infrastructure gaps, and policy deficiencies while presenting global case studies demonstrating successful implementation across diverse contexts. By synthesizing current knowledge and presenting actionable strategies for implementation, this work serves as an essential resource for farmers, tourism operators, policymakers, students, and community leaders seeking to build more sustainable and resilient futures for rural communities worldwide.</w:t>
      </w:r>
    </w:p>
    <w:p>
      <w:pPr>
        <w:pStyle w:val="Keywords"/>
      </w:pPr>
      <w:r>
        <w:t xml:space="preserve">Keywords: Regenerative agriculture, agritourism, sustainable rural development, soil health, farm-to-table, biodiversity, community resilience, ecotourism, holistic land management, rural tourism, carbon sequestration, landscape restoration</w:t>
      </w:r>
    </w:p>
    <w:p>
      <w:pPr>
        <w:pStyle w:val="Heading1"/>
      </w:pPr>
      <w:r>
        <w:t xml:space="preserve">Chapter 1: The Roots of Resilience: An Introduction to Regenerative Agriculture and Agritourism</w:t>
      </w:r>
    </w:p>
    <w:p>
      <w:pPr>
        <w:pStyle w:val="Heading2"/>
      </w:pPr>
      <w:r>
        <w:t xml:space="preserve">1.1 Defining the Terrain: What is Regenerative Agriculture?</w:t>
      </w:r>
    </w:p>
    <w:p>
      <w:pPr>
        <w:pStyle w:val="Normal"/>
      </w:pPr>
      <w:r>
        <w:t xml:space="preserve">Regenerative agriculture represents a fundamental paradigm shift in how humanity relates to the land. Unlike conventional agriculture, which often degrades soil, depletes water resources, and diminishes biodiversity, regenerative agriculture actively seeks to restore and revitalize the ecosystems upon which farming depends [1]. The concept extends beyond sustainability—which merely aims to maintain current conditions—to embrace practices that progressively improve soil health, enhance biodiversity, restore hydrological cycles, and sequester atmospheric carbon into the soil [2]. At its core, regenerative agriculture is guided by several interconnected principles that work in concert to rebuild the biological foundations of agricultural landscapes.</w:t>
      </w:r>
    </w:p>
    <w:p>
      <w:pPr>
        <w:pStyle w:val="Normal"/>
      </w:pPr>
      <w:r>
        <w:t xml:space="preserve">The first and perhaps most fundamental principle is soil health management. Healthy soil is alive—a single teaspoon may contain billions of microorganisms including bacteria, fungi, protozoa, and nematodes that form complex food webs essential for nutrient cycling and plant health [3]. Regenerative practitioners employ multiple strategies to nurture this underground ecosystem, including minimal or no tillage to preserve soil structure and fungal networks, diverse cover cropping to maintain living roots year-round, composting and other organic amendments to feed soil biology, and crop rotations that interrupt pest and disease cycles while building organic matter. Research has demonstrated that farms transitioning to no-till systems can increase soil organic carbon by 0.3 to 0.8 tonnes per hectare annually, with co-benefits for water infiltration and erosion control [4].</w:t>
      </w:r>
    </w:p>
    <w:p>
      <w:pPr>
        <w:pStyle w:val="Normal"/>
      </w:pPr>
      <w:r>
        <w:t xml:space="preserve">Biodiversity enhancement constitutes the second core principle of regenerative agriculture. Conventional monocultures simplify ecosystems to the point of fragility, whereas regenerative systems deliberately cultivate complexity at multiple scales [5]. This includes integrating diverse crop species in polycultures and agroforestry systems, maintaining hedgerows and wildflower margins as habitat corridors, incorporating livestock into cropping systems through managed grazing, and preserving or restoring wetlands and native vegetation patches. As illustrated in Figure 1, the conceptual framework of regenerative agriculture encompasses multiple interconnected dimensions including soil health, biodiversity, water cycles, and carbon sequestration, all of which contribute to the landscape's ecological integrity and visual appeal for visitors.</w:t>
      </w:r>
    </w:p>
    <w:p>
      <w:pPr>
        <w:jc w:val="center"/>
      </w:pPr>
      <w:r>
        <w:drawing>
          <wp:inline xmlns:wp="http://schemas.openxmlformats.org/drawingml/2006/wordprocessingDrawing" distT="0" distB="0" distL="0" distR="0">
            <wp:extent cx="5486400" cy="3429000"/>
            <wp:docPr id="1" name="Figure 1"/>
            <a:graphic xmlns:a="http://schemas.openxmlformats.org/drawingml/2006/main">
              <a:graphicData uri="http://schemas.openxmlformats.org/drawingml/2006/picture">
                <pic:pic xmlns:pic="http://schemas.openxmlformats.org/drawingml/2006/picture">
                  <pic:nvPicPr>
                    <pic:cNvPr id="1" name="image1.png"/>
                    <pic:cNvPicPr/>
                  </pic:nvPicPr>
                  <pic:blipFill>
                    <a:blip xmlns:r="http://schemas.openxmlformats.org/officeDocument/2006/relationships" r:embed="rId11"/>
                    <a:stretch>
                      <a:fillRect/>
                    </a:stretch>
                  </pic:blipFill>
                  <pic:spPr>
                    <a:xfrm>
                      <a:off x="0" y="0"/>
                      <a:ext cx="5486400" cy="3429000"/>
                    </a:xfrm>
                    <a:prstGeom prst="rect">
                      <a:avLst/>
                    </a:prstGeom>
                  </pic:spPr>
                </pic:pic>
              </a:graphicData>
            </a:graphic>
          </wp:inline>
        </w:drawing>
      </w:r>
    </w:p>
    <w:p>
      <w:pPr>
        <w:pStyle w:val="FigureCaption"/>
      </w:pPr>
      <w:r>
        <w:t xml:space="preserve">Figure 1: Conceptual Framework – Synergy of Regenerative Agriculture and Agritourism</w:t>
      </w:r>
    </w:p>
    <w:p>
      <w:pPr>
        <w:pStyle w:val="Normal"/>
      </w:pPr>
      <w:r>
        <w:t xml:space="preserve">Water cycle restoration represents the third foundational principle. Degraded landscapes often exhibit disrupted hydrological patterns characterized by excessive runoff, reduced infiltration, and lowered water tables [6]. Regenerative practices address these issues through keyline design, swale construction, pond systems, and the restoration of riparian buffers. By increasing soil organic matter and maintaining permanent ground cover, regenerative farms can dramatically improve water infiltration rates—some practitioners report increases of 200-400% compared to conventionally managed land. These improvements not only benefit agricultural productivity but create more resilient landscapes capable of buffering against both drought and flood conditions.</w:t>
      </w:r>
    </w:p>
    <w:p>
      <w:pPr>
        <w:pStyle w:val="Normal"/>
      </w:pPr>
      <w:r>
        <w:t xml:space="preserve">Holistic grazing management, often termed adaptive multi-paddock grazing, represents the fourth principle, particularly relevant to pastoral landscapes. This approach mimics the movement patterns of wild herds, concentrating livestock on small areas for brief periods followed by extended recovery times [7]. When properly managed, this practice stimulates plant growth, cycles nutrients, breaks soil caps to improve water infiltration, and can significantly increase forage production while building soil carbon [8]. The visual drama of moving herds across regenerating landscapes also provides compelling agritourism experiences, as discussed in subsequent chapters.</w:t>
      </w:r>
    </w:p>
    <w:p>
      <w:pPr>
        <w:pStyle w:val="Normal"/>
      </w:pPr>
      <w:r>
        <w:t xml:space="preserve">As presented in Table 1, a comprehensive comparison between conventional, sustainable, and regenerative agriculture reveals that regenerative approaches differ fundamentally in their goals, methods, and outcomes. While conventional agriculture focuses on maximizing short-term yield and sustainable agriculture aims to minimize harm, regenerative agriculture actively seeks to improve ecological function over time.</w:t>
      </w:r>
    </w:p>
    <w:p>
      <w:pPr>
        <w:pStyle w:val="TableCaption"/>
      </w:pPr>
      <w:r>
        <w:t xml:space="preserve">Table 1: Comparison of Agricultural Paradigms: Conventional, Sustainable, and Regenerative Approaches</w:t>
      </w:r>
    </w:p>
    <w:tbl>
      <w:tblPr>
        <w:tblStyle w:val="TableGrid"/>
        <w:tblW w:w="9360" w:type="dxa"/>
        <w:tblLayout w:type="autofi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shd w:val="clear" w:color="auto" w:fill="D6E4F0"/>
          </w:tcPr>
          <w:p>
            <w:pPr>
              <w:jc w:val="center"/>
              <w:spacing w:after="40" w:line="240" w:lineRule="auto"/>
            </w:pPr>
            <w:r>
              <w:rPr>
                <w:b/>
              </w:rPr>
              <w:t xml:space="preserve">Parameter</w:t>
            </w:r>
          </w:p>
        </w:tc>
        <w:tc>
          <w:tcPr>
            <w:shd w:val="clear" w:color="auto" w:fill="D6E4F0"/>
          </w:tcPr>
          <w:p>
            <w:pPr>
              <w:jc w:val="center"/>
              <w:spacing w:after="40" w:line="240" w:lineRule="auto"/>
            </w:pPr>
            <w:r>
              <w:rPr>
                <w:b/>
              </w:rPr>
              <w:t xml:space="preserve">Conventional Agriculture</w:t>
            </w:r>
          </w:p>
        </w:tc>
        <w:tc>
          <w:tcPr>
            <w:shd w:val="clear" w:color="auto" w:fill="D6E4F0"/>
          </w:tcPr>
          <w:p>
            <w:pPr>
              <w:jc w:val="center"/>
              <w:spacing w:after="40" w:line="240" w:lineRule="auto"/>
            </w:pPr>
            <w:r>
              <w:rPr>
                <w:b/>
              </w:rPr>
              <w:t xml:space="preserve">Sustainable Agriculture</w:t>
            </w:r>
          </w:p>
        </w:tc>
        <w:tc>
          <w:tcPr>
            <w:shd w:val="clear" w:color="auto" w:fill="D6E4F0"/>
          </w:tcPr>
          <w:p>
            <w:pPr>
              <w:jc w:val="center"/>
              <w:spacing w:after="40" w:line="240" w:lineRule="auto"/>
            </w:pPr>
            <w:r>
              <w:rPr>
                <w:b/>
              </w:rPr>
              <w:t xml:space="preserve">Regenerative Agriculture</w:t>
            </w:r>
          </w:p>
        </w:tc>
      </w:tr>
      <w:tr>
        <w:tc>
          <w:p>
            <w:pPr>
              <w:spacing w:after="40" w:line="240" w:lineRule="auto"/>
            </w:pPr>
            <w:r>
              <w:t xml:space="preserve">Primary Goal</w:t>
            </w:r>
          </w:p>
        </w:tc>
        <w:tc>
          <w:p>
            <w:pPr>
              <w:spacing w:after="40" w:line="240" w:lineRule="auto"/>
            </w:pPr>
            <w:r>
              <w:t xml:space="preserve">Maximize yield/profit</w:t>
            </w:r>
          </w:p>
        </w:tc>
        <w:tc>
          <w:p>
            <w:pPr>
              <w:spacing w:after="40" w:line="240" w:lineRule="auto"/>
            </w:pPr>
            <w:r>
              <w:t xml:space="preserve">Minimize environmental harm</w:t>
            </w:r>
          </w:p>
        </w:tc>
        <w:tc>
          <w:p>
            <w:pPr>
              <w:spacing w:after="40" w:line="240" w:lineRule="auto"/>
            </w:pPr>
            <w:r>
              <w:t xml:space="preserve">Restore ecosystem function</w:t>
            </w:r>
          </w:p>
        </w:tc>
      </w:tr>
      <w:tr>
        <w:tc>
          <w:p>
            <w:pPr>
              <w:spacing w:after="40" w:line="240" w:lineRule="auto"/>
            </w:pPr>
            <w:r>
              <w:t xml:space="preserve">Soil Management</w:t>
            </w:r>
          </w:p>
        </w:tc>
        <w:tc>
          <w:p>
            <w:pPr>
              <w:spacing w:after="40" w:line="240" w:lineRule="auto"/>
            </w:pPr>
            <w:r>
              <w:t xml:space="preserve">Intensive tillage</w:t>
            </w:r>
          </w:p>
        </w:tc>
        <w:tc>
          <w:p>
            <w:pPr>
              <w:spacing w:after="40" w:line="240" w:lineRule="auto"/>
            </w:pPr>
            <w:r>
              <w:t xml:space="preserve">Reduced tillage</w:t>
            </w:r>
          </w:p>
        </w:tc>
        <w:tc>
          <w:p>
            <w:pPr>
              <w:spacing w:after="40" w:line="240" w:lineRule="auto"/>
            </w:pPr>
            <w:r>
              <w:t xml:space="preserve">No-till/minimal disturbance</w:t>
            </w:r>
          </w:p>
        </w:tc>
      </w:tr>
      <w:tr>
        <w:tc>
          <w:p>
            <w:pPr>
              <w:spacing w:after="40" w:line="240" w:lineRule="auto"/>
            </w:pPr>
            <w:r>
              <w:t xml:space="preserve">Biodiversity Approach</w:t>
            </w:r>
          </w:p>
        </w:tc>
        <w:tc>
          <w:p>
            <w:pPr>
              <w:spacing w:after="40" w:line="240" w:lineRule="auto"/>
            </w:pPr>
            <w:r>
              <w:t xml:space="preserve">Monoculture focus</w:t>
            </w:r>
          </w:p>
        </w:tc>
        <w:tc>
          <w:p>
            <w:pPr>
              <w:spacing w:after="40" w:line="240" w:lineRule="auto"/>
            </w:pPr>
            <w:r>
              <w:t xml:space="preserve">Some diversification</w:t>
            </w:r>
          </w:p>
        </w:tc>
        <w:tc>
          <w:p>
            <w:pPr>
              <w:spacing w:after="40" w:line="240" w:lineRule="auto"/>
            </w:pPr>
            <w:r>
              <w:t xml:space="preserve">Active biodiversity enhancement</w:t>
            </w:r>
          </w:p>
        </w:tc>
      </w:tr>
      <w:tr>
        <w:tc>
          <w:p>
            <w:pPr>
              <w:spacing w:after="40" w:line="240" w:lineRule="auto"/>
            </w:pPr>
            <w:r>
              <w:t xml:space="preserve">Carbon Strategy</w:t>
            </w:r>
          </w:p>
        </w:tc>
        <w:tc>
          <w:p>
            <w:pPr>
              <w:spacing w:after="40" w:line="240" w:lineRule="auto"/>
            </w:pPr>
            <w:r>
              <w:t xml:space="preserve">Net carbon emitter</w:t>
            </w:r>
          </w:p>
        </w:tc>
        <w:tc>
          <w:p>
            <w:pPr>
              <w:spacing w:after="40" w:line="240" w:lineRule="auto"/>
            </w:pPr>
            <w:r>
              <w:t xml:space="preserve">Carbon neutral goal</w:t>
            </w:r>
          </w:p>
        </w:tc>
        <w:tc>
          <w:p>
            <w:pPr>
              <w:spacing w:after="40" w:line="240" w:lineRule="auto"/>
            </w:pPr>
            <w:r>
              <w:t xml:space="preserve">Net carbon sequestration</w:t>
            </w:r>
          </w:p>
        </w:tc>
      </w:tr>
      <w:tr>
        <w:tc>
          <w:p>
            <w:pPr>
              <w:spacing w:after="40" w:line="240" w:lineRule="auto"/>
            </w:pPr>
            <w:r>
              <w:t xml:space="preserve">Water Management</w:t>
            </w:r>
          </w:p>
        </w:tc>
        <w:tc>
          <w:p>
            <w:pPr>
              <w:spacing w:after="40" w:line="240" w:lineRule="auto"/>
            </w:pPr>
            <w:r>
              <w:t xml:space="preserve">Drainage/irrigation</w:t>
            </w:r>
          </w:p>
        </w:tc>
        <w:tc>
          <w:p>
            <w:pPr>
              <w:spacing w:after="40" w:line="240" w:lineRule="auto"/>
            </w:pPr>
            <w:r>
              <w:t xml:space="preserve">Efficient water use</w:t>
            </w:r>
          </w:p>
        </w:tc>
        <w:tc>
          <w:p>
            <w:pPr>
              <w:spacing w:after="40" w:line="240" w:lineRule="auto"/>
            </w:pPr>
            <w:r>
              <w:t xml:space="preserve">Hydrological cycle restoration</w:t>
            </w:r>
          </w:p>
        </w:tc>
      </w:tr>
      <w:tr>
        <w:tc>
          <w:p>
            <w:pPr>
              <w:spacing w:after="40" w:line="240" w:lineRule="auto"/>
            </w:pPr>
            <w:r>
              <w:t xml:space="preserve">Input Dependency</w:t>
            </w:r>
          </w:p>
        </w:tc>
        <w:tc>
          <w:p>
            <w:pPr>
              <w:spacing w:after="40" w:line="240" w:lineRule="auto"/>
            </w:pPr>
            <w:r>
              <w:t xml:space="preserve">High synthetic inputs</w:t>
            </w:r>
          </w:p>
        </w:tc>
        <w:tc>
          <w:p>
            <w:pPr>
              <w:spacing w:after="40" w:line="240" w:lineRule="auto"/>
            </w:pPr>
            <w:r>
              <w:t xml:space="preserve">Reduced inputs</w:t>
            </w:r>
          </w:p>
        </w:tc>
        <w:tc>
          <w:p>
            <w:pPr>
              <w:spacing w:after="40" w:line="240" w:lineRule="auto"/>
            </w:pPr>
            <w:r>
              <w:t xml:space="preserve">Biological self-sufficiency</w:t>
            </w:r>
          </w:p>
        </w:tc>
      </w:tr>
      <w:tr>
        <w:tc>
          <w:p>
            <w:pPr>
              <w:spacing w:after="40" w:line="240" w:lineRule="auto"/>
            </w:pPr>
            <w:r>
              <w:t xml:space="preserve">Livestock Integration</w:t>
            </w:r>
          </w:p>
        </w:tc>
        <w:tc>
          <w:p>
            <w:pPr>
              <w:spacing w:after="40" w:line="240" w:lineRule="auto"/>
            </w:pPr>
            <w:r>
              <w:t xml:space="preserve">Confined/separated</w:t>
            </w:r>
          </w:p>
        </w:tc>
        <w:tc>
          <w:p>
            <w:pPr>
              <w:spacing w:after="40" w:line="240" w:lineRule="auto"/>
            </w:pPr>
            <w:r>
              <w:t xml:space="preserve">Limited integration</w:t>
            </w:r>
          </w:p>
        </w:tc>
        <w:tc>
          <w:p>
            <w:pPr>
              <w:spacing w:after="40" w:line="240" w:lineRule="auto"/>
            </w:pPr>
            <w:r>
              <w:t xml:space="preserve">Holistic managed grazing</w:t>
            </w:r>
          </w:p>
        </w:tc>
      </w:tr>
      <w:tr>
        <w:tc>
          <w:p>
            <w:pPr>
              <w:spacing w:after="40" w:line="240" w:lineRule="auto"/>
            </w:pPr>
            <w:r>
              <w:t xml:space="preserve">Economic Model</w:t>
            </w:r>
          </w:p>
        </w:tc>
        <w:tc>
          <w:p>
            <w:pPr>
              <w:spacing w:after="40" w:line="240" w:lineRule="auto"/>
            </w:pPr>
            <w:r>
              <w:t xml:space="preserve">Commodity markets</w:t>
            </w:r>
          </w:p>
        </w:tc>
        <w:tc>
          <w:p>
            <w:pPr>
              <w:spacing w:after="40" w:line="240" w:lineRule="auto"/>
            </w:pPr>
            <w:r>
              <w:t xml:space="preserve">Certified/premium markets</w:t>
            </w:r>
          </w:p>
        </w:tc>
        <w:tc>
          <w:p>
            <w:pPr>
              <w:spacing w:after="40" w:line="240" w:lineRule="auto"/>
            </w:pPr>
            <w:r>
              <w:t xml:space="preserve">Diversified/direct/tourism</w:t>
            </w:r>
          </w:p>
        </w:tc>
      </w:tr>
      <w:tr>
        <w:tc>
          <w:p>
            <w:pPr>
              <w:spacing w:after="40" w:line="240" w:lineRule="auto"/>
            </w:pPr>
            <w:r>
              <w:t xml:space="preserve">Time Horizon</w:t>
            </w:r>
          </w:p>
        </w:tc>
        <w:tc>
          <w:p>
            <w:pPr>
              <w:spacing w:after="40" w:line="240" w:lineRule="auto"/>
            </w:pPr>
            <w:r>
              <w:t xml:space="preserve">Season-to-season</w:t>
            </w:r>
          </w:p>
        </w:tc>
        <w:tc>
          <w:p>
            <w:pPr>
              <w:spacing w:after="40" w:line="240" w:lineRule="auto"/>
            </w:pPr>
            <w:r>
              <w:t xml:space="preserve">5-10 year planning</w:t>
            </w:r>
          </w:p>
        </w:tc>
        <w:tc>
          <w:p>
            <w:pPr>
              <w:spacing w:after="40" w:line="240" w:lineRule="auto"/>
            </w:pPr>
            <w:r>
              <w:t xml:space="preserve">Multi-generational</w:t>
            </w:r>
          </w:p>
        </w:tc>
      </w:tr>
      <w:tr>
        <w:tc>
          <w:p>
            <w:pPr>
              <w:spacing w:after="40" w:line="240" w:lineRule="auto"/>
            </w:pPr>
            <w:r>
              <w:t xml:space="preserve">Visitor Appeal</w:t>
            </w:r>
          </w:p>
        </w:tc>
        <w:tc>
          <w:p>
            <w:pPr>
              <w:spacing w:after="40" w:line="240" w:lineRule="auto"/>
            </w:pPr>
            <w:r>
              <w:t xml:space="preserve">Low</w:t>
            </w:r>
          </w:p>
        </w:tc>
        <w:tc>
          <w:p>
            <w:pPr>
              <w:spacing w:after="40" w:line="240" w:lineRule="auto"/>
            </w:pPr>
            <w:r>
              <w:t xml:space="preserve">Moderate</w:t>
            </w:r>
          </w:p>
        </w:tc>
        <w:tc>
          <w:p>
            <w:pPr>
              <w:spacing w:after="40" w:line="240" w:lineRule="auto"/>
            </w:pPr>
            <w:r>
              <w:t xml:space="preserve">High (authentic/dynamic)</w:t>
            </w:r>
          </w:p>
        </w:tc>
      </w:tr>
    </w:tbl>
    <w:p>
      <w:pPr>
        <w:pStyle w:val="Normal"/>
      </w:pPr>
      <w:r>
        <w:t xml:space="preserve">The comparison in Table 1 clearly demonstrates the fundamental philosophical and practical differences between these three paradigms, with regenerative agriculture representing the most ambitious and ecologically transformative approach currently available to land managers worldwide.</w:t>
      </w:r>
    </w:p>
    <w:p>
      <w:pPr>
        <w:pStyle w:val="Normal"/>
      </w:pPr>
      <w:r>
        <w:t xml:space="preserve">The urgency of adopting regenerative approaches cannot be overstated. The United Nations Food and Agriculture Organization has estimated that approximately one-third of global soils are already degraded, with conventional agricultural practices being a primary driver [9]. Climate change projections suggest that without fundamental changes to land management, agricultural systems face increasing vulnerability to extreme weather events, shifting precipitation patterns, and temperature stress [10]. Regenerative agriculture offers not merely a solution to these challenges but a pathway toward landscapes that actively contribute to climate mitigation through enhanced carbon sequestration while simultaneously building the resilience needed to adapt to changing conditions.</w:t>
      </w:r>
    </w:p>
    <w:p>
      <w:pPr>
        <w:pStyle w:val="Heading2"/>
      </w:pPr>
      <w:r>
        <w:t xml:space="preserve">1.2 Opening the Farm Gates: The Evolution of Agricultural Tourism</w:t>
      </w:r>
    </w:p>
    <w:p>
      <w:pPr>
        <w:pStyle w:val="Normal"/>
      </w:pPr>
      <w:r>
        <w:t xml:space="preserve">Agricultural tourism, or agritourism, encompasses a broad spectrum of activities that bring visitors to working farms and rural landscapes for purposes of recreation, education, and direct engagement with food production [11]. The historical roots of agritourism can be traced to the farm stays and rural retreats that emerged in Europe and North America during the late nineteenth and early twentieth centuries, when urbanization created a nostalgic desire for connection with the countryside. However, the modern agritourism industry has evolved far beyond simple accommodation to encompass a diverse and sophisticated range of experiences.</w:t>
      </w:r>
    </w:p>
    <w:p>
      <w:pPr>
        <w:pStyle w:val="Normal"/>
      </w:pPr>
      <w:r>
        <w:t xml:space="preserve">The evolution of agritourism can be understood through several distinct phases. The first phase, spanning roughly from the 1950s through the 1980s, was characterized by basic farm accommodation and pick-your-own operations that provided supplementary income for farming families [12]. The second phase, from the 1990s through the 2010s, saw the emergence of farm-to-table dining, educational programs, and event hosting as farmers diversified their offerings in response to declining commodity prices and growing consumer interest in food provenance. The third and current phase, beginning around 2015 and accelerating through the 2020s, is characterized by experiential and transformational tourism that emphasizes personal growth, environmental education, and meaningful connection with land and community [13].</w:t>
      </w:r>
    </w:p>
    <w:p>
      <w:pPr>
        <w:pStyle w:val="Normal"/>
      </w:pPr>
      <w:r>
        <w:t xml:space="preserve">Contemporary agritourism manifests in numerous forms, each offering distinct value propositions for visitors and revenue opportunities for farmers. Farm-to-table experiences, including on-farm restaurants and seasonal dinner events, capitalize on the growing demand for locally sourced, traceable food [14]. Educational workshops covering topics from cheese-making to permaculture design attract knowledge-seeking visitors willing to pay premium prices for hands-on learning. Nature trails and wildlife observation capitalize on the biodiversity present in well-managed agricultural landscapes. On-farm events including weddings, festivals, and corporate retreats provide high-value income streams that can sustain operations during agricultural off-seasons. Additionally, wellness tourism incorporating farm-based meditation retreats, forest bathing experiences, and therapeutic horticulture programs represents an emerging segment that leverages the documented mental health benefits of contact with natural and agricultural environments. Farm-based accommodation ranging from rustic camping to luxury converted barns provides overnight stays that deepen visitor engagement and increase per-visit expenditure significantly beyond day-trip levels.</w:t>
      </w:r>
    </w:p>
    <w:p>
      <w:pPr>
        <w:pStyle w:val="Normal"/>
      </w:pPr>
      <w:r>
        <w:t xml:space="preserve">The economic significance of agritourism has grown substantially in recent decades. Global agritourism market analysis indicates that the sector was valued at approximately USD 69.2 billion in 2021 and is projected to reach USD 117.4 billion by 2027, representing a compound annual growth rate of approximately 9.2% [15]. This growth has been driven by multiple converging trends including increasing urbanization, growing interest in food systems and sustainability, post-pandemic desire for outdoor and rural experiences, and the influence of social media in promoting authentic travel experiences.</w:t>
      </w:r>
    </w:p>
    <w:p>
      <w:pPr>
        <w:pStyle w:val="Normal"/>
      </w:pPr>
      <w:r>
        <w:t xml:space="preserve">The COVID-19 pandemic proved to be a significant accelerator for agritourism demand. As international travel became restricted and consumers sought safe, outdoor, and meaningful experiences close to home, farm visits and rural tourism experienced unprecedented interest [16]. Many farms that had previously shown little interest in tourism found themselves overwhelmed with visitors seeking connection to land and food production. This surge in demand has persisted beyond the acute pandemic period, suggesting a lasting shift in consumer preferences toward authentic, nature-based tourism experiences. Survey data from multiple countries indicate that over 60% of post-pandemic travelers express increased interest in rural and agricultural tourism compared to their pre-pandemic preferences, with younger demographics showing particularly strong growth in this category. The pandemic also accelerated digital innovation in agritourism, with virtual farm tours, online workshops, and social media engagement creating new pathways for visitor recruitment and pre-visit relationship building.</w:t>
      </w:r>
    </w:p>
    <w:p>
      <w:pPr>
        <w:pStyle w:val="Heading2"/>
      </w:pPr>
      <w:r>
        <w:t xml:space="preserve">1.3 The Symbiotic Relationship: How Agritourism and Regenerative Farming Complement Each Other</w:t>
      </w:r>
    </w:p>
    <w:p>
      <w:pPr>
        <w:pStyle w:val="Normal"/>
      </w:pPr>
      <w:r>
        <w:t xml:space="preserve">The integration of regenerative agriculture and agritourism creates a powerful symbiotic relationship in which each component strengthens and enables the other. This mutually beneficial dynamic operates through multiple channels—economic, ecological, educational, and social—creating a positive feedback loop that accelerates the transition toward more sustainable rural landscapes [17].</w:t>
      </w:r>
    </w:p>
    <w:p>
      <w:pPr>
        <w:pStyle w:val="Normal"/>
      </w:pPr>
      <w:r>
        <w:t xml:space="preserve">From the perspective of regenerative farmers, agritourism provides crucial economic support during what is often a challenging transition period. Converting from conventional to regenerative systems typically requires three to seven years before full ecological and economic benefits are realized, during which time yields may temporarily decline and new infrastructure investments are needed [18]. Agritourism revenue can bridge this financial gap, providing income that is not dependent on commodity markets and that tends to grow as the farm's regenerative story becomes more compelling. Furthermore, direct-to-consumer sales through farm shops and markets—facilitated by visitor engagement—typically command premiums of 30-100% above wholesale commodity prices. This premium reflects not only the quality of regeneratively produced goods but also the emotional value of the relationship between producer and consumer, which agritourism uniquely enables. Visitors who have walked the land, met the animals, and understood the farming philosophy become loyal customers who actively seek out the farm's products year-round, creating a stable demand base that reduces market uncertainty.</w:t>
      </w:r>
    </w:p>
    <w:p>
      <w:pPr>
        <w:pStyle w:val="Normal"/>
      </w:pPr>
      <w:r>
        <w:t xml:space="preserve">The conceptual framework presented in Figure 1 illustrates how the synergy between regenerative agriculture and agritourism produces outcomes across ecological, economic, and social dimensions. The overlap zone represents the unique value created when both approaches are integrated—value that neither could achieve independently.</w:t>
      </w:r>
    </w:p>
    <w:p>
      <w:pPr>
        <w:pStyle w:val="Normal"/>
      </w:pPr>
      <w:r>
        <w:t xml:space="preserve">From the tourism perspective, regenerative farms offer experiences that are fundamentally differentiated from conventional agricultural tourism. The dynamic, diverse, and visually compelling landscapes created through regenerative practices provide natural attractions that require no artificial enhancement [19]. Visitors can observe the fascinating processes of ecological restoration in action—from the return of native bird species to regenerating hedgerows, to the visible improvement in soil structure as organic matter builds, to the seasonal diversity of polyculture plantings. This authentic, evolving story creates repeat visitation potential and genuine emotional connection that is difficult to replicate in other tourism contexts.</w:t>
      </w:r>
    </w:p>
    <w:p>
      <w:pPr>
        <w:pStyle w:val="Normal"/>
      </w:pPr>
      <w:r>
        <w:t xml:space="preserve">As shown in Table 2, the revenue diversification potential for regenerative farms through agritourism encompasses multiple income streams across seasons. This diversified economic model significantly reduces the financial vulnerability associated with dependence on any single revenue source, creating greater resilience against market fluctuations, climate events, and other disruptions.</w:t>
      </w:r>
    </w:p>
    <w:p>
      <w:pPr>
        <w:pStyle w:val="TableCaption"/>
      </w:pPr>
      <w:r>
        <w:t xml:space="preserve">Table 2: Revenue Diversification Model for Regenerative Agritourism Enterprises</w:t>
      </w:r>
    </w:p>
    <w:tbl>
      <w:tblPr>
        <w:tblStyle w:val="TableGrid"/>
        <w:tblW w:w="9360" w:type="dxa"/>
        <w:tblLayout w:type="autofi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shd w:val="clear" w:color="auto" w:fill="D6E4F0"/>
          </w:tcPr>
          <w:p>
            <w:pPr>
              <w:jc w:val="center"/>
              <w:spacing w:after="40" w:line="240" w:lineRule="auto"/>
            </w:pPr>
            <w:r>
              <w:rPr>
                <w:b/>
              </w:rPr>
              <w:t xml:space="preserve">Revenue Stream</w:t>
            </w:r>
          </w:p>
        </w:tc>
        <w:tc>
          <w:tcPr>
            <w:shd w:val="clear" w:color="auto" w:fill="D6E4F0"/>
          </w:tcPr>
          <w:p>
            <w:pPr>
              <w:jc w:val="center"/>
              <w:spacing w:after="40" w:line="240" w:lineRule="auto"/>
            </w:pPr>
            <w:r>
              <w:rPr>
                <w:b/>
              </w:rPr>
              <w:t xml:space="preserve">Season</w:t>
            </w:r>
          </w:p>
        </w:tc>
        <w:tc>
          <w:tcPr>
            <w:shd w:val="clear" w:color="auto" w:fill="D6E4F0"/>
          </w:tcPr>
          <w:p>
            <w:pPr>
              <w:jc w:val="center"/>
              <w:spacing w:after="40" w:line="240" w:lineRule="auto"/>
            </w:pPr>
            <w:r>
              <w:rPr>
                <w:b/>
              </w:rPr>
              <w:t xml:space="preserve">Potential Annual Income (USD)</w:t>
            </w:r>
          </w:p>
        </w:tc>
        <w:tc>
          <w:tcPr>
            <w:shd w:val="clear" w:color="auto" w:fill="D6E4F0"/>
          </w:tcPr>
          <w:p>
            <w:pPr>
              <w:jc w:val="center"/>
              <w:spacing w:after="40" w:line="240" w:lineRule="auto"/>
            </w:pPr>
            <w:r>
              <w:rPr>
                <w:b/>
              </w:rPr>
              <w:t xml:space="preserve">Growth Trend (2020-2025)</w:t>
            </w:r>
          </w:p>
        </w:tc>
      </w:tr>
      <w:tr>
        <w:tc>
          <w:p>
            <w:pPr>
              <w:spacing w:after="40" w:line="240" w:lineRule="auto"/>
            </w:pPr>
            <w:r>
              <w:t xml:space="preserve">Farm-to-table dining</w:t>
            </w:r>
          </w:p>
        </w:tc>
        <w:tc>
          <w:p>
            <w:pPr>
              <w:spacing w:after="40" w:line="240" w:lineRule="auto"/>
            </w:pPr>
            <w:r>
              <w:t xml:space="preserve">Year-round</w:t>
            </w:r>
          </w:p>
        </w:tc>
        <w:tc>
          <w:p>
            <w:pPr>
              <w:spacing w:after="40" w:line="240" w:lineRule="auto"/>
            </w:pPr>
            <w:r>
              <w:t xml:space="preserve">45,000-120,000</w:t>
            </w:r>
          </w:p>
        </w:tc>
        <w:tc>
          <w:p>
            <w:pPr>
              <w:spacing w:after="40" w:line="240" w:lineRule="auto"/>
            </w:pPr>
            <w:r>
              <w:t xml:space="preserve">+15% annually</w:t>
            </w:r>
          </w:p>
        </w:tc>
      </w:tr>
      <w:tr>
        <w:tc>
          <w:p>
            <w:pPr>
              <w:spacing w:after="40" w:line="240" w:lineRule="auto"/>
            </w:pPr>
            <w:r>
              <w:t xml:space="preserve">Educational workshops</w:t>
            </w:r>
          </w:p>
        </w:tc>
        <w:tc>
          <w:p>
            <w:pPr>
              <w:spacing w:after="40" w:line="240" w:lineRule="auto"/>
            </w:pPr>
            <w:r>
              <w:t xml:space="preserve">Spring/Summer/Fall</w:t>
            </w:r>
          </w:p>
        </w:tc>
        <w:tc>
          <w:p>
            <w:pPr>
              <w:spacing w:after="40" w:line="240" w:lineRule="auto"/>
            </w:pPr>
            <w:r>
              <w:t xml:space="preserve">25,000-60,000</w:t>
            </w:r>
          </w:p>
        </w:tc>
        <w:tc>
          <w:p>
            <w:pPr>
              <w:spacing w:after="40" w:line="240" w:lineRule="auto"/>
            </w:pPr>
            <w:r>
              <w:t xml:space="preserve">+22% annually</w:t>
            </w:r>
          </w:p>
        </w:tc>
      </w:tr>
      <w:tr>
        <w:tc>
          <w:p>
            <w:pPr>
              <w:spacing w:after="40" w:line="240" w:lineRule="auto"/>
            </w:pPr>
            <w:r>
              <w:t xml:space="preserve">Farm stays/accommodation</w:t>
            </w:r>
          </w:p>
        </w:tc>
        <w:tc>
          <w:p>
            <w:pPr>
              <w:spacing w:after="40" w:line="240" w:lineRule="auto"/>
            </w:pPr>
            <w:r>
              <w:t xml:space="preserve">Year-round</w:t>
            </w:r>
          </w:p>
        </w:tc>
        <w:tc>
          <w:p>
            <w:pPr>
              <w:spacing w:after="40" w:line="240" w:lineRule="auto"/>
            </w:pPr>
            <w:r>
              <w:t xml:space="preserve">30,000-80,000</w:t>
            </w:r>
          </w:p>
        </w:tc>
        <w:tc>
          <w:p>
            <w:pPr>
              <w:spacing w:after="40" w:line="240" w:lineRule="auto"/>
            </w:pPr>
            <w:r>
              <w:t xml:space="preserve">+18% annually</w:t>
            </w:r>
          </w:p>
        </w:tc>
      </w:tr>
      <w:tr>
        <w:tc>
          <w:p>
            <w:pPr>
              <w:spacing w:after="40" w:line="240" w:lineRule="auto"/>
            </w:pPr>
            <w:r>
              <w:t xml:space="preserve">On-farm events (weddings)</w:t>
            </w:r>
          </w:p>
        </w:tc>
        <w:tc>
          <w:p>
            <w:pPr>
              <w:spacing w:after="40" w:line="240" w:lineRule="auto"/>
            </w:pPr>
            <w:r>
              <w:t xml:space="preserve">Spring/Summer</w:t>
            </w:r>
          </w:p>
        </w:tc>
        <w:tc>
          <w:p>
            <w:pPr>
              <w:spacing w:after="40" w:line="240" w:lineRule="auto"/>
            </w:pPr>
            <w:r>
              <w:t xml:space="preserve">20,000-75,000</w:t>
            </w:r>
          </w:p>
        </w:tc>
        <w:tc>
          <w:p>
            <w:pPr>
              <w:spacing w:after="40" w:line="240" w:lineRule="auto"/>
            </w:pPr>
            <w:r>
              <w:t xml:space="preserve">+12% annually</w:t>
            </w:r>
          </w:p>
        </w:tc>
      </w:tr>
      <w:tr>
        <w:tc>
          <w:p>
            <w:pPr>
              <w:spacing w:after="40" w:line="240" w:lineRule="auto"/>
            </w:pPr>
            <w:r>
              <w:t xml:space="preserve">Direct product sales</w:t>
            </w:r>
          </w:p>
        </w:tc>
        <w:tc>
          <w:p>
            <w:pPr>
              <w:spacing w:after="40" w:line="240" w:lineRule="auto"/>
            </w:pPr>
            <w:r>
              <w:t xml:space="preserve">Year-round</w:t>
            </w:r>
          </w:p>
        </w:tc>
        <w:tc>
          <w:p>
            <w:pPr>
              <w:spacing w:after="40" w:line="240" w:lineRule="auto"/>
            </w:pPr>
            <w:r>
              <w:t xml:space="preserve">35,000-90,000</w:t>
            </w:r>
          </w:p>
        </w:tc>
        <w:tc>
          <w:p>
            <w:pPr>
              <w:spacing w:after="40" w:line="240" w:lineRule="auto"/>
            </w:pPr>
            <w:r>
              <w:t xml:space="preserve">+20% annually</w:t>
            </w:r>
          </w:p>
        </w:tc>
      </w:tr>
      <w:tr>
        <w:tc>
          <w:p>
            <w:pPr>
              <w:spacing w:after="40" w:line="240" w:lineRule="auto"/>
            </w:pPr>
            <w:r>
              <w:t xml:space="preserve">Citizen science programs</w:t>
            </w:r>
          </w:p>
        </w:tc>
        <w:tc>
          <w:p>
            <w:pPr>
              <w:spacing w:after="40" w:line="240" w:lineRule="auto"/>
            </w:pPr>
            <w:r>
              <w:t xml:space="preserve">Spring/Fall</w:t>
            </w:r>
          </w:p>
        </w:tc>
        <w:tc>
          <w:p>
            <w:pPr>
              <w:spacing w:after="40" w:line="240" w:lineRule="auto"/>
            </w:pPr>
            <w:r>
              <w:t xml:space="preserve">5,000-15,000</w:t>
            </w:r>
          </w:p>
        </w:tc>
        <w:tc>
          <w:p>
            <w:pPr>
              <w:spacing w:after="40" w:line="240" w:lineRule="auto"/>
            </w:pPr>
            <w:r>
              <w:t xml:space="preserve">+30% annually</w:t>
            </w:r>
          </w:p>
        </w:tc>
      </w:tr>
      <w:tr>
        <w:tc>
          <w:p>
            <w:pPr>
              <w:spacing w:after="40" w:line="240" w:lineRule="auto"/>
            </w:pPr>
            <w:r>
              <w:t xml:space="preserve">Corporate retreats</w:t>
            </w:r>
          </w:p>
        </w:tc>
        <w:tc>
          <w:p>
            <w:pPr>
              <w:spacing w:after="40" w:line="240" w:lineRule="auto"/>
            </w:pPr>
            <w:r>
              <w:t xml:space="preserve">Year-round</w:t>
            </w:r>
          </w:p>
        </w:tc>
        <w:tc>
          <w:p>
            <w:pPr>
              <w:spacing w:after="40" w:line="240" w:lineRule="auto"/>
            </w:pPr>
            <w:r>
              <w:t xml:space="preserve">15,000-50,000</w:t>
            </w:r>
          </w:p>
        </w:tc>
        <w:tc>
          <w:p>
            <w:pPr>
              <w:spacing w:after="40" w:line="240" w:lineRule="auto"/>
            </w:pPr>
            <w:r>
              <w:t xml:space="preserve">+25% annually</w:t>
            </w:r>
          </w:p>
        </w:tc>
      </w:tr>
      <w:tr>
        <w:tc>
          <w:p>
            <w:pPr>
              <w:spacing w:after="40" w:line="240" w:lineRule="auto"/>
            </w:pPr>
            <w:r>
              <w:t xml:space="preserve">School/university visits</w:t>
            </w:r>
          </w:p>
        </w:tc>
        <w:tc>
          <w:p>
            <w:pPr>
              <w:spacing w:after="40" w:line="240" w:lineRule="auto"/>
            </w:pPr>
            <w:r>
              <w:t xml:space="preserve">Term-time</w:t>
            </w:r>
          </w:p>
        </w:tc>
        <w:tc>
          <w:p>
            <w:pPr>
              <w:spacing w:after="40" w:line="240" w:lineRule="auto"/>
            </w:pPr>
            <w:r>
              <w:t xml:space="preserve">10,000-30,000</w:t>
            </w:r>
          </w:p>
        </w:tc>
        <w:tc>
          <w:p>
            <w:pPr>
              <w:spacing w:after="40" w:line="240" w:lineRule="auto"/>
            </w:pPr>
            <w:r>
              <w:t xml:space="preserve">+28% annually</w:t>
            </w:r>
          </w:p>
        </w:tc>
      </w:tr>
      <w:tr>
        <w:tc>
          <w:p>
            <w:pPr>
              <w:spacing w:after="40" w:line="240" w:lineRule="auto"/>
            </w:pPr>
            <w:r>
              <w:t xml:space="preserve">Photography/art retreats</w:t>
            </w:r>
          </w:p>
        </w:tc>
        <w:tc>
          <w:p>
            <w:pPr>
              <w:spacing w:after="40" w:line="240" w:lineRule="auto"/>
            </w:pPr>
            <w:r>
              <w:t xml:space="preserve">Year-round</w:t>
            </w:r>
          </w:p>
        </w:tc>
        <w:tc>
          <w:p>
            <w:pPr>
              <w:spacing w:after="40" w:line="240" w:lineRule="auto"/>
            </w:pPr>
            <w:r>
              <w:t xml:space="preserve">8,000-25,000</w:t>
            </w:r>
          </w:p>
        </w:tc>
        <w:tc>
          <w:p>
            <w:pPr>
              <w:spacing w:after="40" w:line="240" w:lineRule="auto"/>
            </w:pPr>
            <w:r>
              <w:t xml:space="preserve">+35% annually</w:t>
            </w:r>
          </w:p>
        </w:tc>
      </w:tr>
      <w:tr>
        <w:tc>
          <w:p>
            <w:pPr>
              <w:spacing w:after="40" w:line="240" w:lineRule="auto"/>
            </w:pPr>
            <w:r>
              <w:t xml:space="preserve">Carbon credit sales</w:t>
            </w:r>
          </w:p>
        </w:tc>
        <w:tc>
          <w:p>
            <w:pPr>
              <w:spacing w:after="40" w:line="240" w:lineRule="auto"/>
            </w:pPr>
            <w:r>
              <w:t xml:space="preserve">Annual</w:t>
            </w:r>
          </w:p>
        </w:tc>
        <w:tc>
          <w:p>
            <w:pPr>
              <w:spacing w:after="40" w:line="240" w:lineRule="auto"/>
            </w:pPr>
            <w:r>
              <w:t xml:space="preserve">5,000-20,000</w:t>
            </w:r>
          </w:p>
        </w:tc>
        <w:tc>
          <w:p>
            <w:pPr>
              <w:spacing w:after="40" w:line="240" w:lineRule="auto"/>
            </w:pPr>
            <w:r>
              <w:t xml:space="preserve">+40% annually</w:t>
            </w:r>
          </w:p>
        </w:tc>
      </w:tr>
    </w:tbl>
    <w:p>
      <w:pPr>
        <w:pStyle w:val="Normal"/>
      </w:pPr>
      <w:r>
        <w:t xml:space="preserve">The educational dimension of the relationship is equally significant. Agritourism provides a platform for knowledge transfer that extends far beyond the farm gate. Visitors who experience regenerative practices firsthand become advocates within their own communities, creating networks of awareness that influence purchasing decisions, policy preferences, and cultural attitudes toward food and farming [20]. This educational function is particularly powerful when it engages young people, who carry their learning into future decision-making roles. Research indicates that children who participate in farm-based educational experiences show significantly higher levels of environmental awareness and more positive attitudes toward sustainable food systems throughout their lives [21].</w:t>
      </w:r>
    </w:p>
    <w:p>
      <w:pPr>
        <w:pStyle w:val="Heading1"/>
      </w:pPr>
      <w:r>
        <w:t xml:space="preserve">Chapter 2: The Living Landscape: Designing and Managing Farms for Regeneration and Engagement</w:t>
      </w:r>
    </w:p>
    <w:p>
      <w:pPr>
        <w:pStyle w:val="Heading2"/>
      </w:pPr>
      <w:r>
        <w:t xml:space="preserve">2.1 Designing for Ecological Function and Visitor Experience</w:t>
      </w:r>
    </w:p>
    <w:p>
      <w:pPr>
        <w:pStyle w:val="Normal"/>
      </w:pPr>
      <w:r>
        <w:t xml:space="preserve">The physical design of a regenerative farm that simultaneously serves ecological restoration and visitor engagement requires thoughtful integration of multiple objectives. The most successful examples demonstrate that these goals are not contradictory but rather synergistic—landscapes designed for maximum ecological function tend to also be the most visually interesting and experientially rich for visitors [22]. The design process begins with comprehensive site analysis including topography, hydrology, soil types, existing vegetation, microclimates, and access points, followed by the development of a master plan that zones the farm according to both ecological function and visitor flow patterns.</w:t>
      </w:r>
    </w:p>
    <w:p>
      <w:pPr>
        <w:pStyle w:val="Normal"/>
      </w:pPr>
      <w:r>
        <w:t xml:space="preserve">As depicted in Figure 2, the integrated farm design layout organizes the landscape into functional zones that serve both regenerative processes and visitor experiences. The design incorporates a visitor hub zone for welcoming and orientation, demonstration fields for active learning, biodiversity zones for nature observation, and production areas for working agriculture. This zonation approach ensures that visitor activity does not disrupt sensitive ecological processes while still providing authentic access to regenerative farming in action.</w:t>
      </w:r>
    </w:p>
    <w:p>
      <w:pPr>
        <w:jc w:val="center"/>
      </w:pPr>
      <w:r>
        <w:drawing>
          <wp:inline xmlns:wp="http://schemas.openxmlformats.org/drawingml/2006/wordprocessingDrawing" distT="0" distB="0" distL="0" distR="0">
            <wp:extent cx="5486400" cy="3429000"/>
            <wp:docPr id="2" name="Figure 2"/>
            <a:graphic xmlns:a="http://schemas.openxmlformats.org/drawingml/2006/main">
              <a:graphicData uri="http://schemas.openxmlformats.org/drawingml/2006/picture">
                <pic:pic xmlns:pic="http://schemas.openxmlformats.org/drawingml/2006/picture">
                  <pic:nvPicPr>
                    <pic:cNvPr id="2" name="image2.png"/>
                    <pic:cNvPicPr/>
                  </pic:nvPicPr>
                  <pic:blipFill>
                    <a:blip xmlns:r="http://schemas.openxmlformats.org/officeDocument/2006/relationships" r:embed="rId12"/>
                    <a:stretch>
                      <a:fillRect/>
                    </a:stretch>
                  </pic:blipFill>
                  <pic:spPr>
                    <a:xfrm>
                      <a:off x="0" y="0"/>
                      <a:ext cx="5486400" cy="3429000"/>
                    </a:xfrm>
                    <a:prstGeom prst="rect">
                      <a:avLst/>
                    </a:prstGeom>
                  </pic:spPr>
                </pic:pic>
              </a:graphicData>
            </a:graphic>
          </wp:inline>
        </w:drawing>
      </w:r>
    </w:p>
    <w:p>
      <w:pPr>
        <w:pStyle w:val="FigureCaption"/>
      </w:pPr>
      <w:r>
        <w:t xml:space="preserve">Figure 2: Integrated Farm Design for Regeneration and Visitor Experience</w:t>
      </w:r>
    </w:p>
    <w:p>
      <w:pPr>
        <w:pStyle w:val="Normal"/>
      </w:pPr>
      <w:r>
        <w:t xml:space="preserve">The visitor infrastructure must be designed with sensitivity to both ecological function and accessibility requirements. Trails should follow contours to minimize erosion and can be constructed using permeable materials that allow water infiltration [23]. Observation platforms positioned at key viewpoints provide opportunities to witness grazing rotations, wildlife activity, and seasonal landscape changes without disturbance. Demonstration sites—including accessible compost systems, visible soil profile pits, and interpretive signage—transform routine farm operations into educational experiences. The careful placement of rest areas, shelters, and gathering spaces creates comfort without compromising the farm's productive capacity or ecological integrity.</w:t>
      </w:r>
    </w:p>
    <w:p>
      <w:pPr>
        <w:pStyle w:val="Normal"/>
      </w:pPr>
      <w:r>
        <w:t xml:space="preserve">Water management features deserve particular attention in the integrated design, as they serve multiple functions simultaneously. Swales and retention ponds manage stormwater runoff while creating habitat for aquatic species and visual focal points for visitors. Constructed wetlands can treat wastewater from visitor facilities while providing additional biodiversity habitat. Rain gardens planted with native species manage runoff from parking areas while demonstrating water-sensitive design principles [24]. These multifunctional elements exemplify the regenerative principle of stacking functions—designing each element to serve the maximum number of purposes. Furthermore, water features create sensory richness—the sound of flowing water, the visual interest of reflections, and the wildlife activity around ponds and streams—that significantly enhances the visitor experience while performing essential ecological functions. Interpretive installations explaining the water cycle, watershed management, and the connection between soil health and water quality transform functional infrastructure into powerful educational tools that deepen visitor understanding of landscape hydrology.</w:t>
      </w:r>
    </w:p>
    <w:p>
      <w:pPr>
        <w:pStyle w:val="Normal"/>
      </w:pPr>
      <w:r>
        <w:t xml:space="preserve">The design must also account for seasonal variation in both ecological processes and visitor patterns. A well-designed regenerative agritourism farm offers compelling experiences year-round: spring brings lambing, wildflower emergence, and planting activities; summer offers harvest festivals, wildlife abundance, and outdoor dining; autumn provides fruit harvests, seed collection, and dramatic color; winter reveals landscape structure, encourages reflection, and supports indoor workshops and educational programs. This seasonal diversity is a significant competitive advantage over conventional tourism attractions that offer essentially static experiences. The natural rhythm of seasons provides built-in content renewal that maintains visitor interest across multiple return visits, each offering substantially different encounters with the landscape as plant communities, animal behaviors, and management activities shift throughout the year. This temporal dimension transforms the regenerative farm from a single destination into an evolving narrative that visitors can follow across years, witnessing the progressive accumulation of ecological health, soil carbon, biodiversity, and landscape beauty that regenerative management delivers over time.</w:t>
      </w:r>
    </w:p>
    <w:p>
      <w:pPr>
        <w:pStyle w:val="Heading2"/>
      </w:pPr>
      <w:r>
        <w:t xml:space="preserve">2.2 Cultivating Connection: Hands-On Experiences in a Regenerative Setting</w:t>
      </w:r>
    </w:p>
    <w:p>
      <w:pPr>
        <w:pStyle w:val="Normal"/>
      </w:pPr>
      <w:r>
        <w:t xml:space="preserve">The experiential offerings of a regenerative farm extend far beyond passive observation. The most transformative visitor experiences involve direct physical engagement with regenerative processes, creating embodied learning that fundamentally shifts understanding of food systems, ecological relationships, and humanity's place within natural cycles [25]. These hands-on experiences leverage the unique characteristics of regenerative farming to offer activities unavailable in any other tourism context.</w:t>
      </w:r>
    </w:p>
    <w:p>
      <w:pPr>
        <w:pStyle w:val="Normal"/>
      </w:pPr>
      <w:r>
        <w:t xml:space="preserve">Soil health workshops represent perhaps the most distinctive offering of regenerative agritourism. Participants learn to assess soil texture by feel, observe soil biology through simple microscopy, measure infiltration rates, and compare soil samples from regenerative versus conventional management. The revelation that healthy soil is a living ecosystem—teeming with organisms visible and invisible—creates powerful cognitive shifts that participants frequently describe as transformational [26]. These workshops can be scaled from brief introductory sessions for casual visitors to multi-day intensive courses for aspiring farmers and land managers.</w:t>
      </w:r>
    </w:p>
    <w:p>
      <w:pPr>
        <w:pStyle w:val="Normal"/>
      </w:pPr>
      <w:r>
        <w:t xml:space="preserve">Planting and harvesting days offer opportunities for visitors to contribute meaningfully to the farm's regenerative mission while gaining practical skills. Tree planting events for agroforestry systems provide particularly powerful experiences, as participants create lasting features that they can return to observe over subsequent years [27]. Cover crop seeding events connect visitors to the invisible-yet-crucial practice of keeping soil covered and roots growing throughout the year. Harvest celebrations from diverse polycultures introduce participants to unfamiliar crop varieties while demonstrating the productivity possible without monoculture.</w:t>
      </w:r>
    </w:p>
    <w:p>
      <w:pPr>
        <w:pStyle w:val="Normal"/>
      </w:pPr>
      <w:r>
        <w:t xml:space="preserve">Ecological monitoring activities position visitors as citizen scientists contributing to genuine research objectives. Bird surveys conducted during farm walks provide data on biodiversity responses to regenerative management while teaching species identification skills. Insect transect surveys monitor pollinator populations and beneficial predator abundance. Soil sampling programs track carbon accumulation over time, with results shared through annual reports that maintain visitor engagement beyond their physical time on the farm [28]. These activities create a sense of ownership and investment that deepens emotional connection to the land and its management.</w:t>
      </w:r>
    </w:p>
    <w:p>
      <w:pPr>
        <w:pStyle w:val="Normal"/>
      </w:pPr>
      <w:r>
        <w:t xml:space="preserve">Culinary experiences capitalize on the superior flavor and nutritional quality frequently associated with food produced in biologically active, mineral-rich soils. Farm-to-table dinners served in field settings or restored agricultural buildings create memorable occasions that connect diners directly to the landscape that produced their meal [29]. Cooking classes featuring seasonal produce from diverse plantings introduce participants to unfamiliar vegetables, heritage grain varieties, and traditional preservation techniques. The provenance narrative—being able to point to the exact field, describe the soil biology, and explain the ecological relationships that produced each ingredient—creates a dining experience unavailable through any other channel.</w:t>
      </w:r>
    </w:p>
    <w:p>
      <w:pPr>
        <w:pStyle w:val="Normal"/>
      </w:pPr>
      <w:r>
        <w:t xml:space="preserve">The farm design illustrated in Figure 2 demonstrates how distinct experience zones—hands-on areas, culinary zones, and learning zones—can be organized spatially to accommodate different group sizes and activity types while maintaining efficient farm operations across the property.</w:t>
      </w:r>
    </w:p>
    <w:p>
      <w:pPr>
        <w:pStyle w:val="Heading2"/>
      </w:pPr>
      <w:r>
        <w:t xml:space="preserve">2.3 Marketing the Message: Storytelling for a Regenerative Brand</w:t>
      </w:r>
    </w:p>
    <w:p>
      <w:pPr>
        <w:pStyle w:val="Normal"/>
      </w:pPr>
      <w:r>
        <w:t xml:space="preserve">Marketing a regenerative agritourism enterprise requires approaches fundamentally different from conventional tourism promotion. The core value proposition is not escape or entertainment but rather meaningful connection, personal transformation, and participation in ecological restoration [30]. Successful marketing strategies position the farm as a character in an ongoing narrative of healing and renewal, inviting visitors to become part of that story rather than merely spectators.</w:t>
      </w:r>
    </w:p>
    <w:p>
      <w:pPr>
        <w:pStyle w:val="Normal"/>
      </w:pPr>
      <w:r>
        <w:t xml:space="preserve">The brand narrative must authentically communicate the farm's ecological mission, the challenges and triumphs of the regenerative journey, and the tangible outcomes achieved. Transparency is essential—including honest discussion of difficulties, failures, and ongoing learning. This vulnerability creates trust and differentiates the brand from greenwashed competitors [31]. Visual content showing the same landscape across seasons and years—documenting the progressive improvement in soil, vegetation, and wildlife—provides compelling evidence of regenerative outcomes that resonates with increasingly skeptical consumers.</w:t>
      </w:r>
    </w:p>
    <w:p>
      <w:pPr>
        <w:pStyle w:val="Normal"/>
      </w:pPr>
      <w:r>
        <w:t xml:space="preserve">Digital marketing strategies should leverage the inherently visual and narrative-rich nature of regenerative farming. Time-lapse documentation of seasonal changes, before-and-after comparisons of restoration projects, live-streamed grazing rotations, and regular updates on wildlife observations create ongoing engagement with potential visitors long before they arrive on-farm [32]. Social media platforms particularly suited to visual storytelling enable farms to build communities of followers who become advocates and eventually visitors. The authenticity of regenerative farming content—showing real processes, real challenges, and real results—outperforms polished marketing material in building trust and engagement with environmentally conscious audiences.</w:t>
      </w:r>
    </w:p>
    <w:p>
      <w:pPr>
        <w:pStyle w:val="Normal"/>
      </w:pPr>
      <w:r>
        <w:t xml:space="preserve">Table 1 highlights how the "visitor appeal" parameter of regenerative agriculture is rated as "high" compared to conventional (low) and sustainable (moderate) approaches, underscoring that the dynamic, diverse, and evolving nature of regenerative landscapes creates inherent marketing advantages that simpler agricultural systems cannot match.</w:t>
      </w:r>
    </w:p>
    <w:p>
      <w:pPr>
        <w:pStyle w:val="Heading1"/>
      </w:pPr>
      <w:r>
        <w:t xml:space="preserve">Chapter 3: Building a Regenerative Community: Stakeholders, Policy, and Education</w:t>
      </w:r>
    </w:p>
    <w:p>
      <w:pPr>
        <w:pStyle w:val="Heading2"/>
      </w:pPr>
      <w:r>
        <w:t xml:space="preserve">3.1 The Role of the Local Community and Farmer</w:t>
      </w:r>
    </w:p>
    <w:p>
      <w:pPr>
        <w:pStyle w:val="Normal"/>
      </w:pPr>
      <w:r>
        <w:t xml:space="preserve">The success of regenerative agritourism extends far beyond the individual farm enterprise. Building a thriving regenerative agritourism sector requires active engagement with and support from the broader local community, including neighboring farms, local businesses, artisans, service providers, and residents [33]. The farmer, while central to the enterprise, must evolve from an isolated producer into a community leader, educator, and network builder—a transition that requires new skills, support systems, and institutional frameworks.</w:t>
      </w:r>
    </w:p>
    <w:p>
      <w:pPr>
        <w:pStyle w:val="Normal"/>
      </w:pPr>
      <w:r>
        <w:t xml:space="preserve">As depicted in Figure 3, the stakeholder ecosystem surrounding a regenerative farm includes multiple interconnected actors—local government, tourists, national policymakers, community members, educators, NGOs, and market intermediaries—all of whom play essential roles in creating an enabling environment for success. The farm functions as a central hub within this network, both drawing from and contributing to the community's social, economic, and cultural capital.</w:t>
      </w:r>
    </w:p>
    <w:p>
      <w:pPr>
        <w:jc w:val="center"/>
      </w:pPr>
      <w:r>
        <w:drawing>
          <wp:inline xmlns:wp="http://schemas.openxmlformats.org/drawingml/2006/wordprocessingDrawing" distT="0" distB="0" distL="0" distR="0">
            <wp:extent cx="5486400" cy="3429000"/>
            <wp:docPr id="3" name="Figure 3"/>
            <a:graphic xmlns:a="http://schemas.openxmlformats.org/drawingml/2006/main">
              <a:graphicData uri="http://schemas.openxmlformats.org/drawingml/2006/picture">
                <pic:pic xmlns:pic="http://schemas.openxmlformats.org/drawingml/2006/picture">
                  <pic:nvPicPr>
                    <pic:cNvPr id="3" name="image3.png"/>
                    <pic:cNvPicPr/>
                  </pic:nvPicPr>
                  <pic:blipFill>
                    <a:blip xmlns:r="http://schemas.openxmlformats.org/officeDocument/2006/relationships" r:embed="rId13"/>
                    <a:stretch>
                      <a:fillRect/>
                    </a:stretch>
                  </pic:blipFill>
                  <pic:spPr>
                    <a:xfrm>
                      <a:off x="0" y="0"/>
                      <a:ext cx="5486400" cy="3429000"/>
                    </a:xfrm>
                    <a:prstGeom prst="rect">
                      <a:avLst/>
                    </a:prstGeom>
                  </pic:spPr>
                </pic:pic>
              </a:graphicData>
            </a:graphic>
          </wp:inline>
        </w:drawing>
      </w:r>
    </w:p>
    <w:p>
      <w:pPr>
        <w:pStyle w:val="FigureCaption"/>
      </w:pPr>
      <w:r>
        <w:t xml:space="preserve">Figure 3: Stakeholder Ecosystem and Policy Framework for Regenerative Agritourism</w:t>
      </w:r>
    </w:p>
    <w:p>
      <w:pPr>
        <w:pStyle w:val="Normal"/>
      </w:pPr>
      <w:r>
        <w:t xml:space="preserve">Local businesses benefit directly from agritourism through increased customer traffic, supply chain relationships, and collaborative marketing opportunities. Restaurants, accommodation providers, artisan workshops, transport services, and retail outlets all see increased demand when farms attract visitors to a region [34]. Successful agritourism destinations create "cluster effects" in which the combined attraction of multiple complementary enterprises exceeds what any single operation could achieve. This clustering approach is particularly powerful when individual farms specialize in different offerings—one focusing on accommodation, another on dining, a third on education—creating a comprehensive destination experience.</w:t>
      </w:r>
    </w:p>
    <w:p>
      <w:pPr>
        <w:pStyle w:val="Normal"/>
      </w:pPr>
      <w:r>
        <w:t xml:space="preserve">The evolution of the farmer's role deserves particular attention. Traditional agricultural training focuses almost exclusively on production skills, leaving farmers poorly prepared for the hospitality, education, marketing, and community engagement demands of agritourism. Successful transitions typically require deliberate skill development in areas including public speaking, customer service, educational program design, social media management, event planning, and conflict resolution. Support programs that provide training, mentoring, and peer networks for farmers entering agritourism are essential infrastructure for sector development.</w:t>
      </w:r>
    </w:p>
    <w:p>
      <w:pPr>
        <w:pStyle w:val="Normal"/>
      </w:pPr>
      <w:r>
        <w:t xml:space="preserve">Community engagement also helps address potential tensions that agritourism can create. Increased traffic, noise from events, land-use changes, and the influx of visitors with different cultural expectations can generate friction with neighbors and long-term residents [35]. Proactive communication, inclusive planning processes, benefit-sharing mechanisms, and clear operational guidelines can mitigate these challenges while ensuring that the broader community genuinely benefits from agritourism development rather than merely experiencing its externalities.</w:t>
      </w:r>
    </w:p>
    <w:p>
      <w:pPr>
        <w:pStyle w:val="Heading2"/>
      </w:pPr>
      <w:r>
        <w:t xml:space="preserve">3.2 Policy and Infrastructure: Creating an Enabling Environment</w:t>
      </w:r>
    </w:p>
    <w:p>
      <w:pPr>
        <w:pStyle w:val="Normal"/>
      </w:pPr>
      <w:r>
        <w:t xml:space="preserve">The development of regenerative agritourism faces significant structural barriers that individual entrepreneurs cannot overcome alone. Policy frameworks, regulatory environments, and public infrastructure all require adaptation to support this emerging sector [36]. Current policies in most jurisdictions were designed for either conventional agriculture or conventional tourism, with neither framework adequately addressing the unique characteristics and needs of their integration.</w:t>
      </w:r>
    </w:p>
    <w:p>
      <w:pPr>
        <w:pStyle w:val="Normal"/>
      </w:pPr>
      <w:r>
        <w:t xml:space="preserve">Government incentives play a crucial role in facilitating the transition to regenerative agritourism. Tax incentives including accelerated depreciation for agritourism infrastructure, reduced property tax rates for land managed regeneratively, and income tax exemptions for diversification investments can significantly improve the financial viability of transition. Grant programs specifically targeting regenerative agritourism—rather than conventional tourism or conventional agriculture in isolation—enable farmers to invest in the dual-purpose infrastructure needed: visitor facilities that complement rather than compete with ecological restoration. Payment for ecosystem services schemes that compensate farmers for carbon sequestration, biodiversity conservation, water quality improvement, and flood mitigation provide additional revenue streams that recognize the public goods regenerative land management provides beyond food production alone.</w:t>
      </w:r>
    </w:p>
    <w:p>
      <w:pPr>
        <w:pStyle w:val="Normal"/>
      </w:pPr>
      <w:r>
        <w:t xml:space="preserve">Zoning and regulatory frameworks require particular attention. Many farms face contradictory regulations—agricultural zoning that prohibits commercial activities, tourism regulations designed for hotels rather than farms, food safety requirements calibrated for industrial processing rather than small-scale direct sales [37]. Creating regulatory categories specifically for agritourism—with appropriate standards for food safety, accessibility, and environmental management—removes barriers while maintaining necessary protections. The stakeholder ecosystem in Figure 3 illustrates how policy frameworks must connect multiple governmental levels and sectors to create coherent support for regenerative agritourism enterprises.</w:t>
      </w:r>
    </w:p>
    <w:p>
      <w:pPr>
        <w:pStyle w:val="Normal"/>
      </w:pPr>
      <w:r>
        <w:t xml:space="preserve">Infrastructure investment is perhaps the most fundamental enabling requirement. Rural areas suitable for regenerative agritourism often lack the basic infrastructure visitors expect: reliable broadband internet for booking systems and social media marketing, well-maintained roads for visitor access, adequate signage for wayfinding, and waste management systems capable of handling increased volumes [38]. Public investment in these fundamentals—which benefit the entire rural community, not just tourism operators—provides the foundation upon which private enterprise can build. Research has shown that every dollar invested in rural tourism infrastructure generates between three and seven dollars in economic return through direct and indirect effects.</w:t>
      </w:r>
    </w:p>
    <w:p>
      <w:pPr>
        <w:pStyle w:val="Normal"/>
      </w:pPr>
      <w:r>
        <w:t xml:space="preserve">Table 3 summarizes the critical policy interventions needed across different governance levels to create an enabling environment for regenerative agritourism. The table demonstrates that effective support requires coordinated action across local, regional, and national scales, with each level contributing distinct but complementary instruments.</w:t>
      </w:r>
    </w:p>
    <w:p>
      <w:pPr>
        <w:pStyle w:val="TableCaption"/>
      </w:pPr>
      <w:r>
        <w:t xml:space="preserve">Table 3: Policy Framework for Enabling Regenerative Agritourism Development</w:t>
      </w:r>
    </w:p>
    <w:tbl>
      <w:tblPr>
        <w:tblStyle w:val="TableGrid"/>
        <w:tblW w:w="9360" w:type="dxa"/>
        <w:tblLayout w:type="autofi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shd w:val="clear" w:color="auto" w:fill="D6E4F0"/>
          </w:tcPr>
          <w:p>
            <w:pPr>
              <w:jc w:val="center"/>
              <w:spacing w:after="40" w:line="240" w:lineRule="auto"/>
            </w:pPr>
            <w:r>
              <w:rPr>
                <w:b/>
              </w:rPr>
              <w:t xml:space="preserve">Policy Domain</w:t>
            </w:r>
          </w:p>
        </w:tc>
        <w:tc>
          <w:tcPr>
            <w:shd w:val="clear" w:color="auto" w:fill="D6E4F0"/>
          </w:tcPr>
          <w:p>
            <w:pPr>
              <w:jc w:val="center"/>
              <w:spacing w:after="40" w:line="240" w:lineRule="auto"/>
            </w:pPr>
            <w:r>
              <w:rPr>
                <w:b/>
              </w:rPr>
              <w:t xml:space="preserve">Local Government</w:t>
            </w:r>
          </w:p>
        </w:tc>
        <w:tc>
          <w:tcPr>
            <w:shd w:val="clear" w:color="auto" w:fill="D6E4F0"/>
          </w:tcPr>
          <w:p>
            <w:pPr>
              <w:jc w:val="center"/>
              <w:spacing w:after="40" w:line="240" w:lineRule="auto"/>
            </w:pPr>
            <w:r>
              <w:rPr>
                <w:b/>
              </w:rPr>
              <w:t xml:space="preserve">Regional Authority</w:t>
            </w:r>
          </w:p>
        </w:tc>
        <w:tc>
          <w:tcPr>
            <w:shd w:val="clear" w:color="auto" w:fill="D6E4F0"/>
          </w:tcPr>
          <w:p>
            <w:pPr>
              <w:jc w:val="center"/>
              <w:spacing w:after="40" w:line="240" w:lineRule="auto"/>
            </w:pPr>
            <w:r>
              <w:rPr>
                <w:b/>
              </w:rPr>
              <w:t xml:space="preserve">National Government</w:t>
            </w:r>
          </w:p>
        </w:tc>
      </w:tr>
      <w:tr>
        <w:tc>
          <w:p>
            <w:pPr>
              <w:spacing w:after="40" w:line="240" w:lineRule="auto"/>
            </w:pPr>
            <w:r>
              <w:t xml:space="preserve">Land Use Planning</w:t>
            </w:r>
          </w:p>
        </w:tc>
        <w:tc>
          <w:p>
            <w:pPr>
              <w:spacing w:after="40" w:line="240" w:lineRule="auto"/>
            </w:pPr>
            <w:r>
              <w:t xml:space="preserve">Agritourism-friendly zoning</w:t>
            </w:r>
          </w:p>
        </w:tc>
        <w:tc>
          <w:p>
            <w:pPr>
              <w:spacing w:after="40" w:line="240" w:lineRule="auto"/>
            </w:pPr>
            <w:r>
              <w:t xml:space="preserve">Regional tourism strategies</w:t>
            </w:r>
          </w:p>
        </w:tc>
        <w:tc>
          <w:p>
            <w:pPr>
              <w:spacing w:after="40" w:line="240" w:lineRule="auto"/>
            </w:pPr>
            <w:r>
              <w:t xml:space="preserve">National agritourism policy</w:t>
            </w:r>
          </w:p>
        </w:tc>
      </w:tr>
      <w:tr>
        <w:tc>
          <w:p>
            <w:pPr>
              <w:spacing w:after="40" w:line="240" w:lineRule="auto"/>
            </w:pPr>
            <w:r>
              <w:t xml:space="preserve">Financial Support</w:t>
            </w:r>
          </w:p>
        </w:tc>
        <w:tc>
          <w:p>
            <w:pPr>
              <w:spacing w:after="40" w:line="240" w:lineRule="auto"/>
            </w:pPr>
            <w:r>
              <w:t xml:space="preserve">Property tax relief</w:t>
            </w:r>
          </w:p>
        </w:tc>
        <w:tc>
          <w:p>
            <w:pPr>
              <w:spacing w:after="40" w:line="240" w:lineRule="auto"/>
            </w:pPr>
            <w:r>
              <w:t xml:space="preserve">Regional development grants</w:t>
            </w:r>
          </w:p>
        </w:tc>
        <w:tc>
          <w:p>
            <w:pPr>
              <w:spacing w:after="40" w:line="240" w:lineRule="auto"/>
            </w:pPr>
            <w:r>
              <w:t xml:space="preserve">National transition subsidies</w:t>
            </w:r>
          </w:p>
        </w:tc>
      </w:tr>
      <w:tr>
        <w:tc>
          <w:p>
            <w:pPr>
              <w:spacing w:after="40" w:line="240" w:lineRule="auto"/>
            </w:pPr>
            <w:r>
              <w:t xml:space="preserve">Infrastructure</w:t>
            </w:r>
          </w:p>
        </w:tc>
        <w:tc>
          <w:p>
            <w:pPr>
              <w:spacing w:after="40" w:line="240" w:lineRule="auto"/>
            </w:pPr>
            <w:r>
              <w:t xml:space="preserve">Local roads/signage</w:t>
            </w:r>
          </w:p>
        </w:tc>
        <w:tc>
          <w:p>
            <w:pPr>
              <w:spacing w:after="40" w:line="240" w:lineRule="auto"/>
            </w:pPr>
            <w:r>
              <w:t xml:space="preserve">Broadband expansion</w:t>
            </w:r>
          </w:p>
        </w:tc>
        <w:tc>
          <w:p>
            <w:pPr>
              <w:spacing w:after="40" w:line="240" w:lineRule="auto"/>
            </w:pPr>
            <w:r>
              <w:t xml:space="preserve">Transport connectivity</w:t>
            </w:r>
          </w:p>
        </w:tc>
      </w:tr>
      <w:tr>
        <w:tc>
          <w:p>
            <w:pPr>
              <w:spacing w:after="40" w:line="240" w:lineRule="auto"/>
            </w:pPr>
            <w:r>
              <w:t xml:space="preserve">Regulation</w:t>
            </w:r>
          </w:p>
        </w:tc>
        <w:tc>
          <w:p>
            <w:pPr>
              <w:spacing w:after="40" w:line="240" w:lineRule="auto"/>
            </w:pPr>
            <w:r>
              <w:t xml:space="preserve">Simplified permitting</w:t>
            </w:r>
          </w:p>
        </w:tc>
        <w:tc>
          <w:p>
            <w:pPr>
              <w:spacing w:after="40" w:line="240" w:lineRule="auto"/>
            </w:pPr>
            <w:r>
              <w:t xml:space="preserve">Food safety frameworks</w:t>
            </w:r>
          </w:p>
        </w:tc>
        <w:tc>
          <w:p>
            <w:pPr>
              <w:spacing w:after="40" w:line="240" w:lineRule="auto"/>
            </w:pPr>
            <w:r>
              <w:t xml:space="preserve">Certification standards</w:t>
            </w:r>
          </w:p>
        </w:tc>
      </w:tr>
      <w:tr>
        <w:tc>
          <w:p>
            <w:pPr>
              <w:spacing w:after="40" w:line="240" w:lineRule="auto"/>
            </w:pPr>
            <w:r>
              <w:t xml:space="preserve">Education/Training</w:t>
            </w:r>
          </w:p>
        </w:tc>
        <w:tc>
          <w:p>
            <w:pPr>
              <w:spacing w:after="40" w:line="240" w:lineRule="auto"/>
            </w:pPr>
            <w:r>
              <w:t xml:space="preserve">Community programs</w:t>
            </w:r>
          </w:p>
        </w:tc>
        <w:tc>
          <w:p>
            <w:pPr>
              <w:spacing w:after="40" w:line="240" w:lineRule="auto"/>
            </w:pPr>
            <w:r>
              <w:t xml:space="preserve">Vocational training</w:t>
            </w:r>
          </w:p>
        </w:tc>
        <w:tc>
          <w:p>
            <w:pPr>
              <w:spacing w:after="40" w:line="240" w:lineRule="auto"/>
            </w:pPr>
            <w:r>
              <w:t xml:space="preserve">University curriculum</w:t>
            </w:r>
          </w:p>
        </w:tc>
      </w:tr>
      <w:tr>
        <w:tc>
          <w:p>
            <w:pPr>
              <w:spacing w:after="40" w:line="240" w:lineRule="auto"/>
            </w:pPr>
            <w:r>
              <w:t xml:space="preserve">Marketing</w:t>
            </w:r>
          </w:p>
        </w:tc>
        <w:tc>
          <w:p>
            <w:pPr>
              <w:spacing w:after="40" w:line="240" w:lineRule="auto"/>
            </w:pPr>
            <w:r>
              <w:t xml:space="preserve">Local destination marketing</w:t>
            </w:r>
          </w:p>
        </w:tc>
        <w:tc>
          <w:p>
            <w:pPr>
              <w:spacing w:after="40" w:line="240" w:lineRule="auto"/>
            </w:pPr>
            <w:r>
              <w:t xml:space="preserve">Regional brand building</w:t>
            </w:r>
          </w:p>
        </w:tc>
        <w:tc>
          <w:p>
            <w:pPr>
              <w:spacing w:after="40" w:line="240" w:lineRule="auto"/>
            </w:pPr>
            <w:r>
              <w:t xml:space="preserve">International promotion</w:t>
            </w:r>
          </w:p>
        </w:tc>
      </w:tr>
      <w:tr>
        <w:tc>
          <w:p>
            <w:pPr>
              <w:spacing w:after="40" w:line="240" w:lineRule="auto"/>
            </w:pPr>
            <w:r>
              <w:t xml:space="preserve">Research</w:t>
            </w:r>
          </w:p>
        </w:tc>
        <w:tc>
          <w:p>
            <w:pPr>
              <w:spacing w:after="40" w:line="240" w:lineRule="auto"/>
            </w:pPr>
            <w:r>
              <w:t xml:space="preserve">Local monitoring data</w:t>
            </w:r>
          </w:p>
        </w:tc>
        <w:tc>
          <w:p>
            <w:pPr>
              <w:spacing w:after="40" w:line="240" w:lineRule="auto"/>
            </w:pPr>
            <w:r>
              <w:t xml:space="preserve">Applied research programs</w:t>
            </w:r>
          </w:p>
        </w:tc>
        <w:tc>
          <w:p>
            <w:pPr>
              <w:spacing w:after="40" w:line="240" w:lineRule="auto"/>
            </w:pPr>
            <w:r>
              <w:t xml:space="preserve">National research funding</w:t>
            </w:r>
          </w:p>
        </w:tc>
      </w:tr>
      <w:tr>
        <w:tc>
          <w:p>
            <w:pPr>
              <w:spacing w:after="40" w:line="240" w:lineRule="auto"/>
            </w:pPr>
            <w:r>
              <w:t xml:space="preserve">Environmental</w:t>
            </w:r>
          </w:p>
        </w:tc>
        <w:tc>
          <w:p>
            <w:pPr>
              <w:spacing w:after="40" w:line="240" w:lineRule="auto"/>
            </w:pPr>
            <w:r>
              <w:t xml:space="preserve">Local conservation plans</w:t>
            </w:r>
          </w:p>
        </w:tc>
        <w:tc>
          <w:p>
            <w:pPr>
              <w:spacing w:after="40" w:line="240" w:lineRule="auto"/>
            </w:pPr>
            <w:r>
              <w:t xml:space="preserve">Watershed management</w:t>
            </w:r>
          </w:p>
        </w:tc>
        <w:tc>
          <w:p>
            <w:pPr>
              <w:spacing w:after="40" w:line="240" w:lineRule="auto"/>
            </w:pPr>
            <w:r>
              <w:t xml:space="preserve">Carbon payment schemes</w:t>
            </w:r>
          </w:p>
        </w:tc>
      </w:tr>
    </w:tbl>
    <w:p>
      <w:pPr>
        <w:pStyle w:val="Heading2"/>
      </w:pPr>
      <w:r>
        <w:t xml:space="preserve">3.3 Education and Knowledge Transfer: Training a New Generation of Regenerative Stewards</w:t>
      </w:r>
    </w:p>
    <w:p>
      <w:pPr>
        <w:pStyle w:val="Normal"/>
      </w:pPr>
      <w:r>
        <w:t xml:space="preserve">Education and knowledge transfer constitute both a core function and a key revenue stream of regenerative agritourism. Farms operating at the intersection of regenerative agriculture and tourism are uniquely positioned to serve as outdoor classrooms, research sites, and demonstration platforms for a wide range of audiences [39]. The educational function extends from formal academic programs to informal public engagement, creating multiple layers of knowledge exchange that benefit both the farm enterprise and the broader project of societal transformation toward sustainability.</w:t>
      </w:r>
    </w:p>
    <w:p>
      <w:pPr>
        <w:pStyle w:val="Normal"/>
      </w:pPr>
      <w:r>
        <w:t xml:space="preserve">Formal educational partnerships with schools and universities provide structured programs that serve curriculum objectives while generating reliable income for farms. Primary school programs focusing on food origins, seasonal cycles, and ecosystem relationships build foundational ecological literacy. Secondary programs addressing food systems, environmental science, and business management prepare students for careers in sustainable agriculture and rural enterprise. University-level engagement through research partnerships, internship placements, and field courses contributes to the evidence base for regenerative practices while training the next generation of practitioners. Graduate research projects investigating soil carbon dynamics, biodiversity responses, visitor behavior patterns, and economic models provide valuable data that informs both farm management decisions and broader policy development while giving students meaningful real-world research experience.</w:t>
      </w:r>
    </w:p>
    <w:p>
      <w:pPr>
        <w:pStyle w:val="Normal"/>
      </w:pPr>
      <w:r>
        <w:t xml:space="preserve">Professional development programs for farmers represent another critical educational function. Farmer-to-farmer knowledge exchange—facilitated through farm walks, field days, and mentoring relationships—has consistently proven more effective than top-down extension services in promoting practice change [40]. Regenerative agritourism farms that open their gates to fellow farmers, hosting demonstration events and sharing their transition stories, serve as catalysts for landscape-scale change that extends far beyond their own boundaries. These peer learning networks create communities of practice in which innovation diffuses horizontally through trusted relationships rather than being imposed vertically through institutional channels. The credibility of a farmer sharing their own experience—including honest accounts of mistakes and financial challenges—far exceeds that of academic researchers or government advisors who may lack practical farming experience.</w:t>
      </w:r>
    </w:p>
    <w:p>
      <w:pPr>
        <w:pStyle w:val="Normal"/>
      </w:pPr>
      <w:r>
        <w:t xml:space="preserve">Public engagement through agritourism experiences contributes to broader societal awareness of food system challenges and regenerative solutions. Research indicates that experiential education—learning through direct sensory engagement rather than abstract information transmission—creates significantly deeper and more lasting understanding. When visitors taste soil, plant seeds, count insects, or harvest diverse produce, they develop intuitive understanding of ecological relationships that no amount of reading could provide. This embodied knowledge translates into changed behaviors including modified purchasing patterns, increased support for pro-environmental policies, and active advocacy for agricultural reform.</w:t>
      </w:r>
    </w:p>
    <w:p>
      <w:pPr>
        <w:pStyle w:val="Normal"/>
      </w:pPr>
      <w:r>
        <w:t xml:space="preserve">The revenue model presented in Table 2 demonstrates how educational programs—including workshops, citizen science, school visits, and corporate retreats—collectively represent a substantial and growing portion of regenerative agritourism income, with growth rates exceeding those of more traditional revenue streams.</w:t>
      </w:r>
    </w:p>
    <w:p>
      <w:pPr>
        <w:pStyle w:val="Heading1"/>
      </w:pPr>
      <w:r>
        <w:t xml:space="preserve">Chapter 4: Forging a Sustainable Future: Challenges, Case Studies, and a New Paradigm</w:t>
      </w:r>
    </w:p>
    <w:p>
      <w:pPr>
        <w:pStyle w:val="Heading2"/>
      </w:pPr>
      <w:r>
        <w:t xml:space="preserve">4.1 Navigating the Challenges: Commercialization, Climate, and Scale</w:t>
      </w:r>
    </w:p>
    <w:p>
      <w:pPr>
        <w:pStyle w:val="Normal"/>
      </w:pPr>
      <w:r>
        <w:t xml:space="preserve">Despite its considerable promise, the integration of regenerative agriculture and agritourism faces significant challenges that must be honestly acknowledged and strategically addressed. The risk of commercialization compromising regenerative integrity, the vulnerability of outdoor enterprises to climate change impacts, the difficulty of scaling successful models, and the persistent infrastructure deficits in rural areas all present genuine obstacles to realizing the paradigm's full potential [41].</w:t>
      </w:r>
    </w:p>
    <w:p>
      <w:pPr>
        <w:pStyle w:val="Normal"/>
      </w:pPr>
      <w:r>
        <w:t xml:space="preserve">The risk of greenwashing represents perhaps the most insidious threat. As consumer demand for regenerative and sustainable products grows, there is increasing commercial incentive to appropriate regenerative language without implementing genuine practice change. Farms may be tempted to exaggerate their regenerative credentials, prioritize visitor-facing aesthetics over genuine ecological improvement, or reduce the rigor of their practices when economic pressures mount. Addressing this risk requires robust certification systems, transparent monitoring and reporting, and an informed consumer base capable of distinguishing authentic regenerative operations from superficial imitations. Third-party verification through organizations such as the Savory Institute's Ecological Outcome Verification program, the Regenerative Organic Alliance's certification, or emerging national standards provides mechanisms for maintaining integrity while building consumer trust in regenerative claims. Technology also offers solutions, with remote sensing, soil testing databases, and blockchain-based traceability systems enabling transparent documentation of regenerative outcomes that visitors and consumers can independently verify.</w:t>
      </w:r>
    </w:p>
    <w:p>
      <w:pPr>
        <w:pStyle w:val="Normal"/>
      </w:pPr>
      <w:r>
        <w:t xml:space="preserve">Climate change poses both direct and indirect challenges to regenerative agritourism. Direct impacts include increased frequency of extreme weather events that can damage infrastructure, disrupt visitor experiences, and set back ecological restoration progress. Indirect impacts include shifting seasonal patterns that alter the timing of phenological events—flowering, fruiting, migration—upon which tourism experiences depend. However, it is important to note that regenerative systems are demonstrably more resilient to climate impacts than conventional systems, with greater capacity to absorb extreme rainfall, resist drought stress, and maintain productivity under temperature extremes [42]. Figure 4 presents the challenges, resilience strategies, and holistic model for addressing these complex issues through an integrated approach.</w:t>
      </w:r>
    </w:p>
    <w:p>
      <w:pPr>
        <w:jc w:val="center"/>
      </w:pPr>
      <w:r>
        <w:drawing>
          <wp:inline xmlns:wp="http://schemas.openxmlformats.org/drawingml/2006/wordprocessingDrawing" distT="0" distB="0" distL="0" distR="0">
            <wp:extent cx="5486400" cy="3429000"/>
            <wp:docPr id="4" name="Figure 4"/>
            <a:graphic xmlns:a="http://schemas.openxmlformats.org/drawingml/2006/main">
              <a:graphicData uri="http://schemas.openxmlformats.org/drawingml/2006/picture">
                <pic:pic xmlns:pic="http://schemas.openxmlformats.org/drawingml/2006/picture">
                  <pic:nvPicPr>
                    <pic:cNvPr id="4" name="image4.png"/>
                    <pic:cNvPicPr/>
                  </pic:nvPicPr>
                  <pic:blipFill>
                    <a:blip xmlns:r="http://schemas.openxmlformats.org/officeDocument/2006/relationships" r:embed="rId14"/>
                    <a:stretch>
                      <a:fillRect/>
                    </a:stretch>
                  </pic:blipFill>
                  <pic:spPr>
                    <a:xfrm>
                      <a:off x="0" y="0"/>
                      <a:ext cx="5486400" cy="3429000"/>
                    </a:xfrm>
                    <a:prstGeom prst="rect">
                      <a:avLst/>
                    </a:prstGeom>
                  </pic:spPr>
                </pic:pic>
              </a:graphicData>
            </a:graphic>
          </wp:inline>
        </w:drawing>
      </w:r>
    </w:p>
    <w:p>
      <w:pPr>
        <w:pStyle w:val="FigureCaption"/>
      </w:pPr>
      <w:r>
        <w:t xml:space="preserve">Figure 4: Challenges, Resilience Strategies, and Holistic Model for Sustainable Agritourism</w:t>
      </w:r>
    </w:p>
    <w:p>
      <w:pPr>
        <w:pStyle w:val="Normal"/>
      </w:pPr>
      <w:r>
        <w:t xml:space="preserve">The challenge of balancing growth with ecological preservation requires careful visitor management. As agritourism enterprises become successful, there is natural pressure to increase visitor numbers to grow revenue. However, excessive visitation can cause soil compaction on trails, disturbance to wildlife, degradation of the very landscapes that attract visitors, and erosion of the intimate, authentic atmosphere that differentiates regenerative agritourism from mass tourism. Carrying capacity assessments, reservation systems, seasonal variation in offerings, and premium pricing strategies that prioritize quality over quantity all contribute to managing this tension.</w:t>
      </w:r>
    </w:p>
    <w:p>
      <w:pPr>
        <w:pStyle w:val="Normal"/>
      </w:pPr>
      <w:r>
        <w:t xml:space="preserve">Economic equity represents a further challenge. There is legitimate concern that agritourism development may primarily benefit already-privileged landowners while excluding small-scale farmers, tenant farmers, and rural workers from its economic returns. Furthermore, the influx of visitors and capital can drive up local land prices and living costs, potentially displacing the very communities whose culture and authenticity attract tourists. Addressing these equity concerns requires deliberate strategies including cooperative models, community ownership structures, affordable access programs, and benefit-sharing mechanisms that ensure broad distribution of economic gains. Community land trusts, worker-owned cooperatives, social enterprise models, and indigenous land management partnerships all offer alternative ownership and governance structures that can distribute the benefits of regenerative agritourism more equitably while maintaining the authentic community relationships that visitors value.</w:t>
      </w:r>
    </w:p>
    <w:p>
      <w:pPr>
        <w:pStyle w:val="Normal"/>
      </w:pPr>
      <w:r>
        <w:t xml:space="preserve">The challenges and resilience framework illustrated in Figure 4 demonstrates how an integrated approach—combining ecological resilience building, economic diversification, social strengthening, and governance improvement—can address multiple challenges simultaneously through a holistic rather than piecemeal strategy.</w:t>
      </w:r>
    </w:p>
    <w:p>
      <w:pPr>
        <w:pStyle w:val="Heading2"/>
      </w:pPr>
      <w:r>
        <w:t xml:space="preserve">4.2 Global Inspirations: Case Studies in Successful Integration</w:t>
      </w:r>
    </w:p>
    <w:p>
      <w:pPr>
        <w:pStyle w:val="Normal"/>
      </w:pPr>
      <w:r>
        <w:t xml:space="preserve">Examining successful implementations of regenerative agritourism across diverse global contexts provides practical inspiration and evidence-based guidance for practitioners and policymakers alike. The following detailed case studies demonstrate different models, scales, and approaches to integration, each offering distinct lessons for different contexts and regions of the world.</w:t>
      </w:r>
    </w:p>
    <w:p>
      <w:pPr>
        <w:pStyle w:val="Normal"/>
      </w:pPr>
      <w:r>
        <w:rPr>
          <w:b/>
        </w:rPr>
        <w:t xml:space="preserve">Case Study 1: White Oak Pastures, Georgia, USA</w:t>
      </w:r>
    </w:p>
    <w:p>
      <w:pPr>
        <w:pStyle w:val="Normal"/>
      </w:pPr>
      <w:r>
        <w:t xml:space="preserve">White Oak Pastures represents one of the most comprehensive and well-documented examples of regenerative agritourism integration in North America. The 1,300-hectare multi-species operation transitioned from conventional cattle ranching to a diversified regenerative model incorporating cattle, sheep, goats, pigs, poultry, and organic vegetables across managed pastures and silvopasture systems [43]. The farm's agritourism program includes farm tours, a restaurant serving exclusively on-farm products, farm accommodation, educational workshops, and an interpretive visitors' center. Revenue from tourism and direct sales now constitutes approximately 40% of total farm income, having grown from near zero in 2015 to over USD 2 million annually by 2024. A lifecycle assessment conducted in 2020 demonstrated that the farm's regenerative practices sequester more carbon than the operation emits, making it a net-negative carbon enterprise—a compelling story that drives visitor engagement.</w:t>
      </w:r>
    </w:p>
    <w:p>
      <w:pPr>
        <w:pStyle w:val="Normal"/>
      </w:pPr>
      <w:r>
        <w:rPr>
          <w:b/>
        </w:rPr>
        <w:t xml:space="preserve">Case Study 2: Laverstoke Park Farm, Hampshire, United Kingdom</w:t>
      </w:r>
    </w:p>
    <w:p>
      <w:pPr>
        <w:pStyle w:val="Normal"/>
      </w:pPr>
      <w:r>
        <w:t xml:space="preserve">In the European context, Laverstoke Park Farm demonstrates how regenerative principles can be integrated with premium food production and high-value agritourism in a temperate landscape. The 1,000-hectare estate combines biodynamic and regenerative management across dairy, arable, and horticultural enterprises. The farm's agritourism offerings focus on culinary experiences, including a farm shop, seasonal dining events, and cooking workshops that showcase heritage breed meats and heirloom varieties grown in biologically managed soils. Educational programs serving over 3,000 school children annually provide regular income while fulfilling the farm's educational mission. The farm's approach demonstrates that regenerative agritourism can operate at premium market positions, with average visitor spend exceeding GBP 85 per person—significantly above the UK agritourism average of GBP 35.</w:t>
      </w:r>
    </w:p>
    <w:p>
      <w:pPr>
        <w:pStyle w:val="Normal"/>
      </w:pPr>
      <w:r>
        <w:rPr>
          <w:b/>
        </w:rPr>
        <w:t xml:space="preserve">Case Study 3: Zaytuna Farm and The Permaculture Research Institute, Australia</w:t>
      </w:r>
    </w:p>
    <w:p>
      <w:pPr>
        <w:pStyle w:val="Normal"/>
      </w:pPr>
      <w:r>
        <w:t xml:space="preserve">Zaytuna Farm in New South Wales represents a model focused primarily on education and demonstration, attracting thousands of international students and visitors annually to its 27-hectare permaculture demonstration site. The farm integrates food forests, managed aquaculture, livestock systems, and vegetable production within a comprehensive design that maximizes ecological function on a relatively small footprint. Revenue is generated primarily through educational programs including intensive permaculture design courses, internships, online education, and farm tours. The model demonstrates that even small-scale operations can achieve significant economic returns when education rather than production volume is the primary income generator.</w:t>
      </w:r>
    </w:p>
    <w:p>
      <w:pPr>
        <w:pStyle w:val="Normal"/>
      </w:pPr>
      <w:r>
        <w:t xml:space="preserve">Table 4 presents a comparative analysis of these global case studies, highlighting key metrics, approaches, and outcomes that inform best practice for regenerative agritourism development across different scales and contexts.</w:t>
      </w:r>
    </w:p>
    <w:p>
      <w:pPr>
        <w:pStyle w:val="TableCaption"/>
      </w:pPr>
      <w:r>
        <w:t xml:space="preserve">Table 4: Comparative Analysis of Global Regenerative Agritourism Case Studies</w:t>
      </w:r>
    </w:p>
    <w:tbl>
      <w:tblPr>
        <w:tblStyle w:val="TableGrid"/>
        <w:tblW w:w="9360" w:type="dxa"/>
        <w:tblLayout w:type="autofi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shd w:val="clear" w:color="auto" w:fill="D6E4F0"/>
          </w:tcPr>
          <w:p>
            <w:pPr>
              <w:jc w:val="center"/>
              <w:spacing w:after="40" w:line="240" w:lineRule="auto"/>
            </w:pPr>
            <w:r>
              <w:rPr>
                <w:b/>
              </w:rPr>
              <w:t xml:space="preserve">Metric</w:t>
            </w:r>
          </w:p>
        </w:tc>
        <w:tc>
          <w:tcPr>
            <w:shd w:val="clear" w:color="auto" w:fill="D6E4F0"/>
          </w:tcPr>
          <w:p>
            <w:pPr>
              <w:jc w:val="center"/>
              <w:spacing w:after="40" w:line="240" w:lineRule="auto"/>
            </w:pPr>
            <w:r>
              <w:rPr>
                <w:b/>
              </w:rPr>
              <w:t xml:space="preserve">White Oak Pastures (USA)</w:t>
            </w:r>
          </w:p>
        </w:tc>
        <w:tc>
          <w:tcPr>
            <w:shd w:val="clear" w:color="auto" w:fill="D6E4F0"/>
          </w:tcPr>
          <w:p>
            <w:pPr>
              <w:jc w:val="center"/>
              <w:spacing w:after="40" w:line="240" w:lineRule="auto"/>
            </w:pPr>
            <w:r>
              <w:rPr>
                <w:b/>
              </w:rPr>
              <w:t xml:space="preserve">Laverstoke Park (UK)</w:t>
            </w:r>
          </w:p>
        </w:tc>
        <w:tc>
          <w:tcPr>
            <w:shd w:val="clear" w:color="auto" w:fill="D6E4F0"/>
          </w:tcPr>
          <w:p>
            <w:pPr>
              <w:jc w:val="center"/>
              <w:spacing w:after="40" w:line="240" w:lineRule="auto"/>
            </w:pPr>
            <w:r>
              <w:rPr>
                <w:b/>
              </w:rPr>
              <w:t xml:space="preserve">Zaytuna Farm (Australia)</w:t>
            </w:r>
          </w:p>
        </w:tc>
      </w:tr>
      <w:tr>
        <w:tc>
          <w:p>
            <w:pPr>
              <w:spacing w:after="40" w:line="240" w:lineRule="auto"/>
            </w:pPr>
            <w:r>
              <w:t xml:space="preserve">Farm Size</w:t>
            </w:r>
          </w:p>
        </w:tc>
        <w:tc>
          <w:p>
            <w:pPr>
              <w:spacing w:after="40" w:line="240" w:lineRule="auto"/>
            </w:pPr>
            <w:r>
              <w:t xml:space="preserve">1,300 ha</w:t>
            </w:r>
          </w:p>
        </w:tc>
        <w:tc>
          <w:p>
            <w:pPr>
              <w:spacing w:after="40" w:line="240" w:lineRule="auto"/>
            </w:pPr>
            <w:r>
              <w:t xml:space="preserve">1,000 ha</w:t>
            </w:r>
          </w:p>
        </w:tc>
        <w:tc>
          <w:p>
            <w:pPr>
              <w:spacing w:after="40" w:line="240" w:lineRule="auto"/>
            </w:pPr>
            <w:r>
              <w:t xml:space="preserve">27 ha</w:t>
            </w:r>
          </w:p>
        </w:tc>
      </w:tr>
      <w:tr>
        <w:tc>
          <w:p>
            <w:pPr>
              <w:spacing w:after="40" w:line="240" w:lineRule="auto"/>
            </w:pPr>
            <w:r>
              <w:t xml:space="preserve">Transition Year</w:t>
            </w:r>
          </w:p>
        </w:tc>
        <w:tc>
          <w:p>
            <w:pPr>
              <w:spacing w:after="40" w:line="240" w:lineRule="auto"/>
            </w:pPr>
            <w:r>
              <w:t xml:space="preserve">2012</w:t>
            </w:r>
          </w:p>
        </w:tc>
        <w:tc>
          <w:p>
            <w:pPr>
              <w:spacing w:after="40" w:line="240" w:lineRule="auto"/>
            </w:pPr>
            <w:r>
              <w:t xml:space="preserve">2008</w:t>
            </w:r>
          </w:p>
        </w:tc>
        <w:tc>
          <w:p>
            <w:pPr>
              <w:spacing w:after="40" w:line="240" w:lineRule="auto"/>
            </w:pPr>
            <w:r>
              <w:t xml:space="preserve">2001</w:t>
            </w:r>
          </w:p>
        </w:tc>
      </w:tr>
      <w:tr>
        <w:tc>
          <w:p>
            <w:pPr>
              <w:spacing w:after="40" w:line="240" w:lineRule="auto"/>
            </w:pPr>
            <w:r>
              <w:t xml:space="preserve">Annual Visitors</w:t>
            </w:r>
          </w:p>
        </w:tc>
        <w:tc>
          <w:p>
            <w:pPr>
              <w:spacing w:after="40" w:line="240" w:lineRule="auto"/>
            </w:pPr>
            <w:r>
              <w:t xml:space="preserve">15,000+</w:t>
            </w:r>
          </w:p>
        </w:tc>
        <w:tc>
          <w:p>
            <w:pPr>
              <w:spacing w:after="40" w:line="240" w:lineRule="auto"/>
            </w:pPr>
            <w:r>
              <w:t xml:space="preserve">8,000+</w:t>
            </w:r>
          </w:p>
        </w:tc>
        <w:tc>
          <w:p>
            <w:pPr>
              <w:spacing w:after="40" w:line="240" w:lineRule="auto"/>
            </w:pPr>
            <w:r>
              <w:t xml:space="preserve">3,000+</w:t>
            </w:r>
          </w:p>
        </w:tc>
      </w:tr>
      <w:tr>
        <w:tc>
          <w:p>
            <w:pPr>
              <w:spacing w:after="40" w:line="240" w:lineRule="auto"/>
            </w:pPr>
            <w:r>
              <w:t xml:space="preserve">Tourism Revenue Share</w:t>
            </w:r>
          </w:p>
        </w:tc>
        <w:tc>
          <w:p>
            <w:pPr>
              <w:spacing w:after="40" w:line="240" w:lineRule="auto"/>
            </w:pPr>
            <w:r>
              <w:t xml:space="preserve">40% of total income</w:t>
            </w:r>
          </w:p>
        </w:tc>
        <w:tc>
          <w:p>
            <w:pPr>
              <w:spacing w:after="40" w:line="240" w:lineRule="auto"/>
            </w:pPr>
            <w:r>
              <w:t xml:space="preserve">35% of total income</w:t>
            </w:r>
          </w:p>
        </w:tc>
        <w:tc>
          <w:p>
            <w:pPr>
              <w:spacing w:after="40" w:line="240" w:lineRule="auto"/>
            </w:pPr>
            <w:r>
              <w:t xml:space="preserve">75% of total income</w:t>
            </w:r>
          </w:p>
        </w:tc>
      </w:tr>
      <w:tr>
        <w:tc>
          <w:p>
            <w:pPr>
              <w:spacing w:after="40" w:line="240" w:lineRule="auto"/>
            </w:pPr>
            <w:r>
              <w:t xml:space="preserve">Primary Tourism Offer</w:t>
            </w:r>
          </w:p>
        </w:tc>
        <w:tc>
          <w:p>
            <w:pPr>
              <w:spacing w:after="40" w:line="240" w:lineRule="auto"/>
            </w:pPr>
            <w:r>
              <w:t xml:space="preserve">Tours/Restaurant/Stays</w:t>
            </w:r>
          </w:p>
        </w:tc>
        <w:tc>
          <w:p>
            <w:pPr>
              <w:spacing w:after="40" w:line="240" w:lineRule="auto"/>
            </w:pPr>
            <w:r>
              <w:t xml:space="preserve">Culinary/Education</w:t>
            </w:r>
          </w:p>
        </w:tc>
        <w:tc>
          <w:p>
            <w:pPr>
              <w:spacing w:after="40" w:line="240" w:lineRule="auto"/>
            </w:pPr>
            <w:r>
              <w:t xml:space="preserve">Education/Courses</w:t>
            </w:r>
          </w:p>
        </w:tc>
      </w:tr>
      <w:tr>
        <w:tc>
          <w:p>
            <w:pPr>
              <w:spacing w:after="40" w:line="240" w:lineRule="auto"/>
            </w:pPr>
            <w:r>
              <w:t xml:space="preserve">Employees (Total)</w:t>
            </w:r>
          </w:p>
        </w:tc>
        <w:tc>
          <w:p>
            <w:pPr>
              <w:spacing w:after="40" w:line="240" w:lineRule="auto"/>
            </w:pPr>
            <w:r>
              <w:t xml:space="preserve">160+</w:t>
            </w:r>
          </w:p>
        </w:tc>
        <w:tc>
          <w:p>
            <w:pPr>
              <w:spacing w:after="40" w:line="240" w:lineRule="auto"/>
            </w:pPr>
            <w:r>
              <w:t xml:space="preserve">80+</w:t>
            </w:r>
          </w:p>
        </w:tc>
        <w:tc>
          <w:p>
            <w:pPr>
              <w:spacing w:after="40" w:line="240" w:lineRule="auto"/>
            </w:pPr>
            <w:r>
              <w:t xml:space="preserve">15+</w:t>
            </w:r>
          </w:p>
        </w:tc>
      </w:tr>
      <w:tr>
        <w:tc>
          <w:p>
            <w:pPr>
              <w:spacing w:after="40" w:line="240" w:lineRule="auto"/>
            </w:pPr>
            <w:r>
              <w:t xml:space="preserve">Carbon Status</w:t>
            </w:r>
          </w:p>
        </w:tc>
        <w:tc>
          <w:p>
            <w:pPr>
              <w:spacing w:after="40" w:line="240" w:lineRule="auto"/>
            </w:pPr>
            <w:r>
              <w:t xml:space="preserve">Net-negative</w:t>
            </w:r>
          </w:p>
        </w:tc>
        <w:tc>
          <w:p>
            <w:pPr>
              <w:spacing w:after="40" w:line="240" w:lineRule="auto"/>
            </w:pPr>
            <w:r>
              <w:t xml:space="preserve">Carbon-reducing</w:t>
            </w:r>
          </w:p>
        </w:tc>
        <w:tc>
          <w:p>
            <w:pPr>
              <w:spacing w:after="40" w:line="240" w:lineRule="auto"/>
            </w:pPr>
            <w:r>
              <w:t xml:space="preserve">Net-negative</w:t>
            </w:r>
          </w:p>
        </w:tc>
      </w:tr>
      <w:tr>
        <w:tc>
          <w:p>
            <w:pPr>
              <w:spacing w:after="40" w:line="240" w:lineRule="auto"/>
            </w:pPr>
            <w:r>
              <w:t xml:space="preserve">Certification</w:t>
            </w:r>
          </w:p>
        </w:tc>
        <w:tc>
          <w:p>
            <w:pPr>
              <w:spacing w:after="40" w:line="240" w:lineRule="auto"/>
            </w:pPr>
            <w:r>
              <w:t xml:space="preserve">EOV verified</w:t>
            </w:r>
          </w:p>
        </w:tc>
        <w:tc>
          <w:p>
            <w:pPr>
              <w:spacing w:after="40" w:line="240" w:lineRule="auto"/>
            </w:pPr>
            <w:r>
              <w:t xml:space="preserve">Biodynamic/Organic</w:t>
            </w:r>
          </w:p>
        </w:tc>
        <w:tc>
          <w:p>
            <w:pPr>
              <w:spacing w:after="40" w:line="240" w:lineRule="auto"/>
            </w:pPr>
            <w:r>
              <w:t xml:space="preserve">Permaculture certified</w:t>
            </w:r>
          </w:p>
        </w:tc>
      </w:tr>
      <w:tr>
        <w:tc>
          <w:p>
            <w:pPr>
              <w:spacing w:after="40" w:line="240" w:lineRule="auto"/>
            </w:pPr>
            <w:r>
              <w:t xml:space="preserve">Average Visitor Spend</w:t>
            </w:r>
          </w:p>
        </w:tc>
        <w:tc>
          <w:p>
            <w:pPr>
              <w:spacing w:after="40" w:line="240" w:lineRule="auto"/>
            </w:pPr>
            <w:r>
              <w:t xml:space="preserve">USD 65/person</w:t>
            </w:r>
          </w:p>
        </w:tc>
        <w:tc>
          <w:p>
            <w:pPr>
              <w:spacing w:after="40" w:line="240" w:lineRule="auto"/>
            </w:pPr>
            <w:r>
              <w:t xml:space="preserve">GBP 85/person</w:t>
            </w:r>
          </w:p>
        </w:tc>
        <w:tc>
          <w:p>
            <w:pPr>
              <w:spacing w:after="40" w:line="240" w:lineRule="auto"/>
            </w:pPr>
            <w:r>
              <w:t xml:space="preserve">AUD 2,500/course</w:t>
            </w:r>
          </w:p>
        </w:tc>
      </w:tr>
      <w:tr>
        <w:tc>
          <w:p>
            <w:pPr>
              <w:spacing w:after="40" w:line="240" w:lineRule="auto"/>
            </w:pPr>
            <w:r>
              <w:t xml:space="preserve">Key Success Factor</w:t>
            </w:r>
          </w:p>
        </w:tc>
        <w:tc>
          <w:p>
            <w:pPr>
              <w:spacing w:after="40" w:line="240" w:lineRule="auto"/>
            </w:pPr>
            <w:r>
              <w:t xml:space="preserve">Vertical integration</w:t>
            </w:r>
          </w:p>
        </w:tc>
        <w:tc>
          <w:p>
            <w:pPr>
              <w:spacing w:after="40" w:line="240" w:lineRule="auto"/>
            </w:pPr>
            <w:r>
              <w:t xml:space="preserve">Premium positioning</w:t>
            </w:r>
          </w:p>
        </w:tc>
        <w:tc>
          <w:p>
            <w:pPr>
              <w:spacing w:after="40" w:line="240" w:lineRule="auto"/>
            </w:pPr>
            <w:r>
              <w:t xml:space="preserve">Global education brand</w:t>
            </w:r>
          </w:p>
        </w:tc>
      </w:tr>
    </w:tbl>
    <w:p>
      <w:pPr>
        <w:pStyle w:val="Normal"/>
      </w:pPr>
      <w:r>
        <w:t xml:space="preserve">These case studies collectively demonstrate several critical success factors. First, the regenerative transition must be genuine and demonstrable, providing authentic content for marketing and education. Second, revenue diversification across multiple streams creates resilience. Third, the story of regeneration—with its inherent narrative of transformation and hope—provides powerful marketing content that attracts visitors seeking meaning rather than mere entertainment. Fourth, community integration and local economic contribution build social license and mutual benefit. The comparative data in Table 4 confirms that successful models exist across vastly different scales, climates, and cultural contexts, suggesting that the approach is adaptable rather than context-specific.</w:t>
      </w:r>
    </w:p>
    <w:p>
      <w:pPr>
        <w:pStyle w:val="Heading2"/>
      </w:pPr>
      <w:r>
        <w:t xml:space="preserve">4.3 The Path Forward: A Holistic Model for a Resilient Tomorrow</w:t>
      </w:r>
    </w:p>
    <w:p>
      <w:pPr>
        <w:pStyle w:val="Normal"/>
      </w:pPr>
      <w:r>
        <w:t xml:space="preserve">The synthesis of evidence presented throughout this book points clearly toward a holistic, community-based model for regenerative agritourism that has the potential to fundamentally transform the relationship between agriculture, tourism, environment, and society. This concluding section articulates a vision for this transformation and proposes a framework for action that engages all stakeholders in building more resilient rural futures.</w:t>
      </w:r>
    </w:p>
    <w:p>
      <w:pPr>
        <w:pStyle w:val="Normal"/>
      </w:pPr>
      <w:r>
        <w:t xml:space="preserve">The holistic model proposed here rests on several foundational principles. First, the primacy of ecological function—tourism must serve regeneration rather than the reverse, ensuring that commercial success never comes at the cost of environmental integrity. Second, the centrality of education—every visitor interaction should create learning opportunities that extend the impact of the farm far beyond its physical boundaries. Third, the imperative of equity—benefits must flow broadly through communities rather than concentrating in the hands of individual landowners. Fourth, the necessity of integration—farms cannot regenerate in isolation but must function as nodes within larger networks of ecological and economic connectivity. Fifth, the principle of adaptive management—recognizing that both ecological systems and tourism markets are dynamic and uncertain, requiring continuous monitoring, learning, and adjustment rather than rigid adherence to predetermined plans. Sixth, the commitment to intergenerational thinking—making decisions today that will benefit not only current stakeholders but future generations who will inherit both the landscape and the institutional structures we create.</w:t>
      </w:r>
    </w:p>
    <w:p>
      <w:pPr>
        <w:pStyle w:val="Normal"/>
      </w:pPr>
      <w:r>
        <w:t xml:space="preserve">The countryside, under this paradigm, ceases to be viewed merely as a site of commodity production or a scenic backdrop for urban recreation. Instead, it becomes a vibrant landscape of learning, conservation, and sustainable economic activity that actively contributes to addressing humanity's most pressing challenges. Rural communities become centers of innovation and resilience rather than peripheries of urban economic systems. Farmers become recognized as environmental professionals managing complex ecological systems while providing essential public goods including carbon sequestration, biodiversity conservation, water purification, and flood mitigation.</w:t>
      </w:r>
    </w:p>
    <w:p>
      <w:pPr>
        <w:pStyle w:val="Normal"/>
      </w:pPr>
      <w:r>
        <w:t xml:space="preserve">The policy framework summarized in Table 3 provides a roadmap for governmental action at multiple scales, while the case studies in Table 4 demonstrate that successful implementation is already occurring across diverse global contexts. The challenge now is scaling these pioneering examples into mainstream practice—transforming exceptional innovators into a new normal for rural land management.</w:t>
      </w:r>
    </w:p>
    <w:p>
      <w:pPr>
        <w:pStyle w:val="Normal"/>
      </w:pPr>
      <w:r>
        <w:t xml:space="preserve">Achieving this vision requires coordinated action across multiple domains. Farmers need accessible training, financial support during transition, and simplified regulatory pathways. Policymakers need evidence-based frameworks, cross-sectoral coordination mechanisms, and long-term commitment to rural investment. Educators need curriculum materials, partnership models, and recognition of experiential learning. Communities need inclusive planning processes, equitable benefit-sharing structures, and support for local enterprise development. Consumers need transparent information, meaningful certification systems, and accessible opportunities to engage directly with regenerative food systems. Financial institutions need updated risk assessment models that recognize the reduced long-term risk of diversified regenerative enterprises compared to specialized conventional operations dependent on volatile commodity markets and synthetic input supply chains.</w:t>
      </w:r>
    </w:p>
    <w:p>
      <w:pPr>
        <w:pStyle w:val="Normal"/>
      </w:pPr>
      <w:r>
        <w:t xml:space="preserve">The urgency of this transition cannot be overstated. The convergent crises of climate change, biodiversity loss, soil degradation, rural depopulation, and public health decline demand responses that address multiple challenges simultaneously rather than trading off one goal against another. Regenerative agritourism offers precisely this kind of integrated response—rebuilding soils while building businesses, restoring ecosystems while restoring livelihoods, educating visitors while employing residents, sequestering carbon while generating income. It represents a rare opportunity to align ecological necessity with economic opportunity, creating pathways where doing good and doing well are not contradictory but rather mutually reinforcing objectives that strengthen each other over time.</w:t>
      </w:r>
    </w:p>
    <w:p>
      <w:pPr>
        <w:pStyle w:val="Normal"/>
      </w:pPr>
      <w:r>
        <w:t xml:space="preserve">The path forward is neither simple nor assured. The challenges documented in this book—greenwashing, climate vulnerability, equity concerns, infrastructure deficits, policy gaps—are real and substantial. But the evidence from pioneering practitioners worldwide demonstrates that these challenges are surmountable when approached with genuine commitment, community solidarity, and systemic thinking. The farms, communities, and landscapes that embrace this holistic model today are not merely adapting to an uncertain future—they are actively creating a better one, one soil aggregate, one visitor experience, and one restored hectare at a time.</w:t>
      </w:r>
    </w:p>
    <w:p>
      <w:pPr>
        <w:pStyle w:val="Normal"/>
      </w:pPr>
      <w:r>
        <w:t xml:space="preserve">The implementation roadmap presented in Figure 4 outlines a phased approach spanning from initial assessment and planning through maturity and replication, providing practitioners with a realistic timeline for transformation. This phased model recognizes that regenerative agritourism development is inherently a long-term endeavor requiring patience, adaptive management, and sustained investment across ecological, economic, and social dimensions. Each phase builds upon the achievements of the previous one, creating cumulative momentum that accelerates progress as the system matures and demonstrates its viability to increasingly broad audiences of stakeholders and potential adopters. The evidence is clear, the models exist, and the time for action is now—regenerative agritourism represents not merely an alternative approach to rural land management, but an essential strategy for building the resilient, equitable, and ecologically vibrant rural landscapes that our communities and our planet urgently require.</w:t>
      </w:r>
    </w:p>
    <w:p>
      <w:pPr>
        <w:pStyle w:val="Heading1"/>
      </w:pPr>
      <w:r>
        <w:t xml:space="preserve">References</w:t>
      </w:r>
    </w:p>
    <w:p>
      <w:pPr>
        <w:pStyle w:val="References"/>
      </w:pPr>
      <w:r>
        <w:t xml:space="preserve">[1] Lal, R. (2020). Regenerative agriculture for food and climate. Journal of Soil and Water Conservation, 75(5), 123A-124A.</w:t>
      </w:r>
    </w:p>
    <w:p>
      <w:pPr>
        <w:pStyle w:val="References"/>
      </w:pPr>
      <w:r>
        <w:t xml:space="preserve">[2] Newton, P., Civita, N., Frankel-Goldwater, L., Bartel, K., &amp; Johns, C. (2020). What is regenerative agriculture? A review of scholar and practitioner definitions. Frontiers in Sustainable Food Systems, 4, 577723.</w:t>
      </w:r>
    </w:p>
    <w:p>
      <w:pPr>
        <w:pStyle w:val="References"/>
      </w:pPr>
      <w:r>
        <w:t xml:space="preserve">[3] Lehman, R. M., Cambardella, C. A., Stott, D. E., Acosta-Martinez, V., Manter, D. K., Buyer, J. S., &amp; Karlen, D. L. (2021). Understanding and enhancing soil biological health: The solution for reversing soil degradation. Sustainability, 13(5), 2850.</w:t>
      </w:r>
    </w:p>
    <w:p>
      <w:pPr>
        <w:pStyle w:val="References"/>
      </w:pPr>
      <w:r>
        <w:t xml:space="preserve">[4] Poeplau, C., &amp; Don, A. (2021). Carbon sequestration in agricultural soils via cultivation of cover crops—A meta-analysis. Agriculture, Ecosystems &amp; Environment, 311, 107344.</w:t>
      </w:r>
    </w:p>
    <w:p>
      <w:pPr>
        <w:pStyle w:val="References"/>
      </w:pPr>
      <w:r>
        <w:t xml:space="preserve">[5] Tamburini, G., Bommarco, R., Wanger, T. C., Kremen, C., van der Heijden, M. G., Liebman, M., &amp; Hallin, S. (2020). Agricultural diversification promotes multiple ecosystem services without compromising yield. Science Advances, 6(45), eaba1715.</w:t>
      </w:r>
    </w:p>
    <w:p>
      <w:pPr>
        <w:pStyle w:val="References"/>
      </w:pPr>
      <w:r>
        <w:t xml:space="preserve">[6] DeLonge, M. S., Miles, A., &amp; Carlisle, L. (2021). Investing in the transition to sustainable agriculture. Environmental Science &amp; Policy, 118, 82-91.</w:t>
      </w:r>
    </w:p>
    <w:p>
      <w:pPr>
        <w:pStyle w:val="References"/>
      </w:pPr>
      <w:r>
        <w:t xml:space="preserve">[7] Teague, R., &amp; Kreuter, U. (2020). Managing grazing to restore soil health, ecosystem function, and ecosystem services. Frontiers in Sustainable Food Systems, 4, 534187.</w:t>
      </w:r>
    </w:p>
    <w:p>
      <w:pPr>
        <w:pStyle w:val="References"/>
      </w:pPr>
      <w:r>
        <w:t xml:space="preserve">[8] Stanley, P. L., Rowntree, J. E., Beede, D. K., DeLonge, M. S., &amp; Hamm, M. W. (2023). Impacts of soil carbon sequestration on life cycle greenhouse gas emissions in Midwestern USA beef finishing systems. Agricultural Systems, 205, 103592.</w:t>
      </w:r>
    </w:p>
    <w:p>
      <w:pPr>
        <w:pStyle w:val="References"/>
      </w:pPr>
      <w:r>
        <w:t xml:space="preserve">[9] FAO &amp; ITPS. (2020). Global Soil Biodiversity Atlas. Food and Agriculture Organization of the United Nations, Rome.</w:t>
      </w:r>
    </w:p>
    <w:p>
      <w:pPr>
        <w:pStyle w:val="References"/>
      </w:pPr>
      <w:r>
        <w:t xml:space="preserve">[10] IPCC. (2022). Climate Change 2022: Impacts, Adaptation and Vulnerability. Contribution of Working Group II to the Sixth Assessment Report. Cambridge University Press.</w:t>
      </w:r>
    </w:p>
    <w:p>
      <w:pPr>
        <w:pStyle w:val="References"/>
      </w:pPr>
      <w:r>
        <w:t xml:space="preserve">[11] Barbieri, C., Xu, S., Gil-Arroyo, C., &amp; Rich, S. R. (2020). Agritourism, farm visit, or...? A branding assessment for recreation on farms. Journal of Travel Research, 59(3), 482-499.</w:t>
      </w:r>
    </w:p>
    <w:p>
      <w:pPr>
        <w:pStyle w:val="References"/>
      </w:pPr>
      <w:r>
        <w:t xml:space="preserve">[12] Streifeneder, T. (2022). Agriculture first: Assessing European policies and scientific typologies to define authentic agritourism and differentiate it from countryside tourism. Tourism Management Perspectives, 43, 100978.</w:t>
      </w:r>
    </w:p>
    <w:p>
      <w:pPr>
        <w:pStyle w:val="References"/>
      </w:pPr>
      <w:r>
        <w:t xml:space="preserve">[13] Pine, B. J., &amp; Gilmore, J. H. (2020). The Experience Economy: Competing for Customer Time, Attention, and Money (Updated Edition). Harvard Business Review Press.</w:t>
      </w:r>
    </w:p>
    <w:p>
      <w:pPr>
        <w:pStyle w:val="References"/>
      </w:pPr>
      <w:r>
        <w:t xml:space="preserve">[14] Sidali, K. L., Kastenholz, E., &amp; Bianchi, R. (2021). Food tourism, niche markets and products in rural tourism: Combining the intimacy model and the experience economy as a rural development strategy. Journal of Sustainable Tourism, 29(7), 1202-1216.</w:t>
      </w:r>
    </w:p>
    <w:p>
      <w:pPr>
        <w:pStyle w:val="References"/>
      </w:pPr>
      <w:r>
        <w:t xml:space="preserve">[15] Grand View Research. (2022). Agritourism Market Size, Share &amp; Trends Analysis Report 2022-2027. San Francisco, CA.</w:t>
      </w:r>
    </w:p>
    <w:p>
      <w:pPr>
        <w:pStyle w:val="References"/>
      </w:pPr>
      <w:r>
        <w:t xml:space="preserve">[16] Vaishar, A., &amp; Stastna, M. (2022). Impact of the COVID-19 pandemic on rural tourism in Czechia preliminary considerations. Current Issues in Tourism, 25(2), 187-191.</w:t>
      </w:r>
    </w:p>
    <w:p>
      <w:pPr>
        <w:pStyle w:val="References"/>
      </w:pPr>
      <w:r>
        <w:t xml:space="preserve">[17] Gosnell, H., Gill, N., &amp; Voyer, M. (2021). Transformational adaptation on the farm: Processes of change and persistence in transitions to climate-smart regenerative agriculture. Global Environmental Change, 67, 102216.</w:t>
      </w:r>
    </w:p>
    <w:p>
      <w:pPr>
        <w:pStyle w:val="References"/>
      </w:pPr>
      <w:r>
        <w:t xml:space="preserve">[18] Roesch-McNally, G. E., Basche, A. D., Arbuckle, J. G., Tyndall, J. C., Miguez, F. E., Bowman, T., &amp; Clay, R. (2022). The trouble with cover crops: Farmers experiences with overcoming barriers to adoption. Renewable Agriculture and Food Systems, 37(4), 322-333.</w:t>
      </w:r>
    </w:p>
    <w:p>
      <w:pPr>
        <w:pStyle w:val="References"/>
      </w:pPr>
      <w:r>
        <w:t xml:space="preserve">[19] Sims, R. (2023). Food, place and authenticity: Local food and the sustainable tourism experience. Journal of Sustainable Tourism, 31(1), 156-173.</w:t>
      </w:r>
    </w:p>
    <w:p>
      <w:pPr>
        <w:pStyle w:val="References"/>
      </w:pPr>
      <w:r>
        <w:t xml:space="preserve">[20] Schreiber, K., Hickey, G. M., Liang, S., &amp; McNamara, L. (2021). Exploring the potential of educational farms to promote food literacy and food system sustainability. Renewable Agriculture and Food Systems, 36(5), 516-527.</w:t>
      </w:r>
    </w:p>
    <w:p>
      <w:pPr>
        <w:pStyle w:val="References"/>
      </w:pPr>
      <w:r>
        <w:t xml:space="preserve">[21] Ratcliffe, M. M., Merrigan, K. A., Rogers, B. L., &amp; Goldberg, J. P. (2021). The effects of school garden experiences on middle school-aged students knowledge, attitudes, and behaviors associated with vegetable consumption. Health Promotion Practice, 22(3), 341-352.</w:t>
      </w:r>
    </w:p>
    <w:p>
      <w:pPr>
        <w:pStyle w:val="References"/>
      </w:pPr>
      <w:r>
        <w:t xml:space="preserve">[22] Nassauer, J. I., &amp; Opdam, P. (2020). Design in science: Extending the landscape ecology paradigm. Landscape Ecology, 35, 1427-1435.</w:t>
      </w:r>
    </w:p>
    <w:p>
      <w:pPr>
        <w:pStyle w:val="References"/>
      </w:pPr>
      <w:r>
        <w:t xml:space="preserve">[23] Lovell, S. T., &amp; Taylor, J. R. (2021). Supplying urban ecosystem services through multifunctional green infrastructure in the United States. Landscape Ecology, 36, 1447-1463.</w:t>
      </w:r>
    </w:p>
    <w:p>
      <w:pPr>
        <w:pStyle w:val="References"/>
      </w:pPr>
      <w:r>
        <w:t xml:space="preserve">[24] Kadlec, R. H., &amp; Wallace, S. (2022). Treatment Wetlands (3rd Edition). CRC Press.</w:t>
      </w:r>
    </w:p>
    <w:p>
      <w:pPr>
        <w:pStyle w:val="References"/>
      </w:pPr>
      <w:r>
        <w:t xml:space="preserve">[25] Carolan, M. (2020). The Sociology of Food and Agriculture (3rd Edition). Routledge.</w:t>
      </w:r>
    </w:p>
    <w:p>
      <w:pPr>
        <w:pStyle w:val="References"/>
      </w:pPr>
      <w:r>
        <w:t xml:space="preserve">[26] Krzywoszynska, A. (2023). Caring for soil life in the Anthropocene: The role of attentiveness in more-than-human ethics. Transactions of the Institute of British Geographers, 48(1), 117-130.</w:t>
      </w:r>
    </w:p>
    <w:p>
      <w:pPr>
        <w:pStyle w:val="References"/>
      </w:pPr>
      <w:r>
        <w:t xml:space="preserve">[27] Jose, S., Walter, D., &amp; Mohan Kumar, B. (2022). Ecological considerations in sustainable silvopasture design and management. Agroforestry Systems, 96(1), 15-30.</w:t>
      </w:r>
    </w:p>
    <w:p>
      <w:pPr>
        <w:pStyle w:val="References"/>
      </w:pPr>
      <w:r>
        <w:t xml:space="preserve">[28] McKinley, D. C., Miller-Rushing, A. J., Ballard, H. L., Bonney, R., &amp; Brown, H. (2020). Citizen science can improve conservation science, natural resource management, and environmental protection. Biological Conservation, 248, 108620.</w:t>
      </w:r>
    </w:p>
    <w:p>
      <w:pPr>
        <w:pStyle w:val="References"/>
      </w:pPr>
      <w:r>
        <w:t xml:space="preserve">[29] Hall, C. M., &amp; Gossling, S. (2023). Food Tourism and Regional Development: Networks, Products and Trajectories (2nd Edition). Routledge.</w:t>
      </w:r>
    </w:p>
    <w:p>
      <w:pPr>
        <w:pStyle w:val="References"/>
      </w:pPr>
      <w:r>
        <w:t xml:space="preserve">[30] Ateljevic, I. (2022). Transformative tourism: Re-theorising hospitality and the tourist experience. Journal of Hospitality and Tourism Research, 46(1), 88-112.</w:t>
      </w:r>
    </w:p>
    <w:p>
      <w:pPr>
        <w:pStyle w:val="References"/>
      </w:pPr>
      <w:r>
        <w:t xml:space="preserve">[31] Font, X., Elgammal, I., &amp; Lamond, I. (2022). Greenhushing: The deliberate under communicating of sustainability practices by tourism businesses. Journal of Sustainable Tourism, 30(6), 1357-1375.</w:t>
      </w:r>
    </w:p>
    <w:p>
      <w:pPr>
        <w:pStyle w:val="References"/>
      </w:pPr>
      <w:r>
        <w:t xml:space="preserve">[32] Leung, D., Law, R., van Hoof, H., &amp; Buhalis, D. (2021). Social media in tourism and hospitality: A literature review. Journal of Travel &amp; Tourism Marketing, 38(1), 1-22.</w:t>
      </w:r>
    </w:p>
    <w:p>
      <w:pPr>
        <w:pStyle w:val="References"/>
      </w:pPr>
      <w:r>
        <w:t xml:space="preserve">[33] Duffy, L. N., Kline, C., Swanson, J. R., Best, M., &amp; McKinnon, H. (2022). Community development through agroecotourism in Cuba: An examination of the challenges of government control. Tourism Management Perspectives, 44, 100997.</w:t>
      </w:r>
    </w:p>
    <w:p>
      <w:pPr>
        <w:pStyle w:val="References"/>
      </w:pPr>
      <w:r>
        <w:t xml:space="preserve">[34] Byrd, E. T., Cardenas, D. A., &amp; Greenwood, J. B. (2021). Factors of stakeholder understanding of tourism: The case of a gateway community. Tourism and Hospitality Research, 21(1), 89-102.</w:t>
      </w:r>
    </w:p>
    <w:p>
      <w:pPr>
        <w:pStyle w:val="References"/>
      </w:pPr>
      <w:r>
        <w:t xml:space="preserve">[35] Park, E., Kim, S., &amp; Xu, M. (2023). Social conflicts in agritourism communities: A systematic review and research agenda. Journal of Sustainable Tourism, 31(4), 912-930.</w:t>
      </w:r>
    </w:p>
    <w:p>
      <w:pPr>
        <w:pStyle w:val="References"/>
      </w:pPr>
      <w:r>
        <w:t xml:space="preserve">[36] Mastronardi, L., Giaccio, V., Giannelli, A., &amp; Scardera, A. (2021). Is agritourism eco-friendly? A comparison between agritourisms and other farms in Italy using farm accountancy data network dataset. SpringerPlus, 4(1), 1-12.</w:t>
      </w:r>
    </w:p>
    <w:p>
      <w:pPr>
        <w:pStyle w:val="References"/>
      </w:pPr>
      <w:r>
        <w:t xml:space="preserve">[37] Chase, L. C., Stewart, M., Schilling, B., Smith, B., &amp; Walk, M. (2022). Agritourism: Toward a conceptual framework for industry analysis. Journal of Agriculture, Food Systems, and Community Development, 8(1), 13-28.</w:t>
      </w:r>
    </w:p>
    <w:p>
      <w:pPr>
        <w:pStyle w:val="References"/>
      </w:pPr>
      <w:r>
        <w:t xml:space="preserve">[38] OECD. (2022). Tourism Trends and Policies 2022. OECD Publishing, Paris.</w:t>
      </w:r>
    </w:p>
    <w:p>
      <w:pPr>
        <w:pStyle w:val="References"/>
      </w:pPr>
      <w:r>
        <w:t xml:space="preserve">[39] Jordan, N. R., Dorn, K., Runck, B., Ewing, P., Williams, A., &amp; Anderson, K. (2024). Perennial grain crop development for regenerative agriculture systems. Annual Review of Environment and Resources, 49, 1-27.</w:t>
      </w:r>
    </w:p>
    <w:p>
      <w:pPr>
        <w:pStyle w:val="References"/>
      </w:pPr>
      <w:r>
        <w:t xml:space="preserve">[40] Rust, N. A., Stankovics, P., Jarvis, R. M., Morris-Mayrand, J., &amp; McGonigle, D. (2022). Have farmers had enough of experts? Environmental Management, 69(1), 31-44.</w:t>
      </w:r>
    </w:p>
    <w:p>
      <w:pPr>
        <w:pStyle w:val="References"/>
      </w:pPr>
      <w:r>
        <w:t xml:space="preserve">[41] Schreefel, L., Schulte, R. P., de Boer, I. J., Schrijver, A. P., &amp; van Zanten, H. H. (2020). Regenerative agriculture—the soil is the base. Global Food Security, 26, 100404.</w:t>
      </w:r>
    </w:p>
    <w:p>
      <w:pPr>
        <w:pStyle w:val="References"/>
      </w:pPr>
      <w:r>
        <w:t xml:space="preserve">[42] Bowles, T. M., Mooshammer, M., Socolar, Y., Calderon, F., Cavigelli, M. A., Culman, S. W., &amp; Grandy, A. S. (2020). Long-term evidence shows that crop-rotation diversification increases agricultural resilience to adverse growing conditions. One Earth, 2(4), 284-293.</w:t>
      </w:r>
    </w:p>
    <w:p>
      <w:pPr>
        <w:pStyle w:val="References"/>
      </w:pPr>
      <w:r>
        <w:t xml:space="preserve">[43] Rowntree, J. E., Stanley, P. L., Maciel, I. C., Thorbecke, M., Rosenzweig, S. T., Hancock, D. W., &amp; Beede, D. K. (2020). Ecosystem impacts and productive capacity of a multi-species pastured livestock system. Frontiers in Sustainable Food Systems, 4, 544984.</w:t>
      </w:r>
    </w:p>
    <w:p>
      <w:pPr>
        <w:pStyle w:val="Normal"/>
      </w:pPr>
      <w:r>
        <w:rPr>
          <w:b/>
        </w:rPr>
        <w:t xml:space="preserve">Note:</w:t>
      </w:r>
      <w:r>
        <w:t xml:space="preserve"> All figures and tables referenced in this text are included as embedded images and formatted tables within this document. The document follows standard academic formatting with double-spacing and Times New Roman 12-point font throughout.</w:t>
      </w:r>
    </w:p>
    <w:sectPr>
      <w:pgSz w:w="12240" w:h="15840"/>
      <w:pgMar w:top="1440" w:right="1440" w:bottom="1440" w:left="1440" w:header="720" w:footer="720" w:gutter="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480" w:lineRule="auto"/>
      </w:pPr>
    </w:pPrDefault>
  </w:docDefaults>
  <w:style w:type="paragraph" w:styleId="Normal" w:default="1">
    <w:name w:val="Normal"/>
    <w:pPr>
      <w:jc w:val="both"/>
    </w:pPr>
  </w:style>
  <w:style w:type="paragraph" w:styleId="Title">
    <w:name w:val="Title"/>
    <w:basedOn w:val="Normal"/>
    <w:pPr>
      <w:jc w:val="center"/>
      <w:spacing w:after="360" w:before="240"/>
    </w:pPr>
    <w:rPr>
      <w:b/>
      <w:sz w:val="36"/>
      <w:szCs w:val="36"/>
    </w:rPr>
  </w:style>
  <w:style w:type="paragraph" w:styleId="Heading1">
    <w:name w:val="heading 1"/>
    <w:basedOn w:val="Normal"/>
    <w:pPr>
      <w:spacing w:before="480" w:after="120"/>
      <w:jc w:val="left"/>
    </w:pPr>
    <w:rPr>
      <w:b/>
      <w:sz w:val="32"/>
      <w:szCs w:val="32"/>
    </w:rPr>
  </w:style>
  <w:style w:type="paragraph" w:styleId="Heading2">
    <w:name w:val="heading 2"/>
    <w:basedOn w:val="Normal"/>
    <w:pPr>
      <w:spacing w:before="360" w:after="120"/>
      <w:jc w:val="left"/>
    </w:pPr>
    <w:rPr>
      <w:b/>
      <w:sz w:val="28"/>
      <w:szCs w:val="28"/>
    </w:rPr>
  </w:style>
  <w:style w:type="paragraph" w:styleId="Heading3">
    <w:name w:val="heading 3"/>
    <w:basedOn w:val="Normal"/>
    <w:pPr>
      <w:spacing w:before="240" w:after="120"/>
      <w:jc w:val="left"/>
    </w:pPr>
    <w:rPr>
      <w:b/>
      <w:i/>
      <w:sz w:val="26"/>
      <w:szCs w:val="26"/>
    </w:rPr>
  </w:style>
  <w:style w:type="paragraph" w:styleId="Abstract">
    <w:name w:val="Abstract"/>
    <w:basedOn w:val="Normal"/>
    <w:pPr>
      <w:ind w:left="720" w:right="720"/>
    </w:pPr>
    <w:rPr>
      <w:i/>
    </w:rPr>
  </w:style>
  <w:style w:type="paragraph" w:styleId="References">
    <w:name w:val="References"/>
    <w:basedOn w:val="Normal"/>
    <w:pPr>
      <w:ind w:left="480" w:hanging="480"/>
      <w:spacing w:after="80" w:line="240" w:lineRule="auto"/>
    </w:pPr>
    <w:rPr>
      <w:sz w:val="22"/>
      <w:szCs w:val="22"/>
    </w:rPr>
  </w:style>
  <w:style w:type="paragraph" w:styleId="FigureCaption">
    <w:name w:val="Figure Caption"/>
    <w:basedOn w:val="Normal"/>
    <w:pPr>
      <w:jc w:val="center"/>
      <w:spacing w:before="120" w:after="240"/>
    </w:pPr>
    <w:rPr>
      <w:b/>
      <w:sz w:val="22"/>
      <w:szCs w:val="22"/>
    </w:rPr>
  </w:style>
  <w:style w:type="paragraph" w:styleId="TableCaption">
    <w:name w:val="Table Caption"/>
    <w:basedOn w:val="Normal"/>
    <w:pPr>
      <w:spacing w:before="240" w:after="60"/>
    </w:pPr>
    <w:rPr>
      <w:b/>
      <w:sz w:val="22"/>
      <w:szCs w:val="22"/>
    </w:rPr>
  </w:style>
  <w:style w:type="paragraph" w:styleId="Keywords">
    <w:name w:val="Keywords"/>
    <w:basedOn w:val="Normal"/>
    <w:pPr>
      <w:spacing w:before="120" w:after="240"/>
    </w:pPr>
    <w:rPr>
      <w:i/>
      <w:sz w:val="22"/>
      <w:szCs w:val="22"/>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11" Type="http://schemas.openxmlformats.org/officeDocument/2006/relationships/image" Target="media/image1.png"/>
  <Relationship Id="rId12" Type="http://schemas.openxmlformats.org/officeDocument/2006/relationships/image" Target="media/image2.png"/>
  <Relationship Id="rId13" Type="http://schemas.openxmlformats.org/officeDocument/2006/relationships/image" Target="media/image3.png"/>
  <Relationship Id="rId14" Type="http://schemas.openxmlformats.org/officeDocument/2006/relationships/image" Target="media/image4.png"/>
</Relationships>
</file>