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b/>
          <w:sz w:val="32"/>
          <w:szCs w:val="32"/>
        </w:rPr>
        <w:t xml:space="preserve">Coupled Effects of Vegetation, Soil Properties, and Antecedent Moisture on Infiltration in Permeable Channels: Experiments, Mechanistic Modeling, and Generalized Prediction</w:t>
      </w:r>
    </w:p>
    <w:p>
      <w:pPr>
        <w:pStyle w:val="Heading1"/>
      </w:pPr>
      <w:r>
        <w:rPr>
          <w:b/>
          <w:sz w:val="28"/>
          <w:szCs w:val="28"/>
        </w:rPr>
        <w:t xml:space="preserve">Abstract</w:t>
      </w:r>
    </w:p>
    <w:p>
      <w:r>
        <w:t xml:space="preserve">Infiltration from actively flowing channels into permeable beds governs groundwater recharge, the hydraulic performance of nature-based drainage systems, and the water balance of ephemeral and engineered watercourses. Vegetation is widely recognized to modify both channel hydrodynamics and soil infiltrability, yet these two influences have most often been examined in isolation, leaving the coupled control of vegetation-induced flow modification, permeable-bed characteristics, soil hydraulic properties, and antecedent moisture on channel infiltration insufficiently integrated into a generalized predictive framework. This study reports a controlled flume investigation in which infiltration was measured from a flowing channel across a factorial combination of four vegetation densities, four discharges, three bed materials, and three antecedent-moisture states, with stem geometry held constant and a secondary experiment isolating stem diameter. The resulting dataset comprises 132 calibration runs and 32 independent validation runs, each with continuously logged instantaneous and cumulative infiltration and cell-resolved along-channel infiltration that distinguishes uniform enhancement from localized hotspots. Results show that vegetation systematically increases both instantaneous and cumulative infiltration, that the enhancement is strongly conditioned by bed hydraulic conductivity, and that the effect diminishes markedly as antecedent saturation rises. A dimensionless analysis identifies the vegetation density parameter, permeability Reynolds number, Froude number, relative submergence, and initial saturation ratio as the dominant controls of normalized infiltration. A physically based power-law relationship was calibrated and combined with a machine-learning residual correction to form a hybrid model that generalized to the reserved independent validation runs, outperforming Green–Ampt, Horton, standalone regression, and standalone tree-ensemble models. Sensitivity analysis established bed conductivity, antecedent saturation, and vegetation density as the leading controls in that order. The work provides a transferable, mechanistically grounded predictive framework for infiltration in vegetated permeable channels.</w:t>
      </w:r>
    </w:p>
    <w:p>
      <w:r>
        <w:t xml:space="preserve">Keywords: channel infiltration; vegetated flow; permeable bed; antecedent moisture; dimensionless analysis; physics-informed machine learning</w:t>
      </w:r>
    </w:p>
    <w:p>
      <w:pPr>
        <w:pStyle w:val="Heading1"/>
      </w:pPr>
      <w:r>
        <w:rPr>
          <w:b/>
          <w:sz w:val="28"/>
          <w:szCs w:val="28"/>
        </w:rPr>
        <w:t xml:space="preserve">1. Introduction</w:t>
      </w:r>
    </w:p>
    <w:p>
      <w:r>
        <w:t xml:space="preserve">Water losses from flowing channels into permeable beds are a first-order term in the water balance of ephemeral streams, irrigation canals, infiltration trenches, and vegetated conveyance systems used in sustainable urban drainage. Unlike ponded or rainfall infiltration, channel infiltration occurs beneath a moving free surface where the hydraulic head at the bed, the near-bed velocity field, and the local pressure distribution all evolve with the flow. Quantifying and predicting this flux is central to managed aquifer recharge, flood attenuation, and the design of green infrastructure [1]. Classical infiltration theory, developed largely for one-dimensional vertical flow under ponded or rainfall boundaries, provides the physical vocabulary — wetting fronts, sorptivity, and saturated conductivity — but does not by itself capture the two-dimensional coupling between open-channel hydraulics and subsurface flow [2]. Recent process studies emphasize that the bed boundary condition in a flowing channel is neither a fixed head nor a fixed flux, but an emergent property of the coupled surface–subsurface system, in which the head available to drive infiltration is the sum of the local flow depth and a dynamic pressure contribution that both respond to obstructions and vegetation [3]. A framework connecting the channel hydraulics to the local head, and the local head to the subsurface response, is therefore a prerequisite for transferable prediction.</w:t>
      </w:r>
    </w:p>
    <w:p>
      <w:r>
        <w:t xml:space="preserve">Vegetation alters channel infiltration through two distinct pathways that are usually studied separately. Hydrodynamically, stems impose drag, reduce mean velocity, increase flow depth for a given discharge, generate stem-scale turbulence, and redistribute near-bed pressure [4]. Ecologically and pedologically, roots and biological activity modify soil structure, macroporosity, and infiltrability over longer timescales [5]. Experimental and numerical studies of vegetated channels have quantified how canopy density controls bulk resistance and turbulence structure [6], and work on permeable beds beneath vegetation patches has shown that bed permeability itself reshapes the flow field and can be characterized through a permeability Reynolds number [7]. Field studies of vegetation restoration report enhanced soil infiltrability from increased organic matter and improved aggregate stability [8]. The two pathways operate on very different timescales, so a controlled experiment that fixes the soil structure while varying the canopy can isolate the hydrodynamic contribution, which is most amenable to hydraulic prediction and remains underdeveloped for flowing channels [9].</w:t>
      </w:r>
    </w:p>
    <w:p>
      <w:r>
        <w:t xml:space="preserve">The subsurface response to any imposed bed head is governed by soil hydraulic properties — saturated conductivity, porosity, and pore-size distribution reflected in grain-size metrics — and by the antecedent moisture state that fixes the initial hydraulic gradient at the wetting front [10]. Antecedent moisture is a well-established control on infiltration capacity: drier initial profiles sustain steeper matric-potential gradients and higher early-time infiltration, whereas wetter profiles approach the conductivity-limited regime more rapidly [11]. Studies of permeable pavements and urban soils similarly identify initial moisture and conductivity as dominant controls of infiltration performance [12]. The interaction between these subsurface controls and vegetation-induced surface forcing is expected to be non-additive, because a change in canopy density alters the driving head by a certain increment while the flux that increment can generate is bounded by the bed's ability to transmit water; the same vegetation configuration should therefore produce different infiltration responses over a coarse, dry bed than over a fine, wet one [13].</w:t>
      </w:r>
    </w:p>
    <w:p>
      <w:r>
        <w:t xml:space="preserve">Predictive treatments of infiltration span physically based, empirical, and data-driven families. Green–Ampt formulations remain widely used because their few parameters carry clear physical meaning and can be linked to measurable hydraulic properties [14]. Empirical laws such as Horton's give compact time-decay descriptions but lack explicit dependence on hydraulic or vegetation forcing [15]. Data-driven methods — random forests, gradient-boosted trees, and neural networks — have been applied to infiltration estimation with strong in-sample performance, though pure black-box models can extrapolate poorly and offer limited mechanistic insight [16]. Hybrid physics-informed approaches, in which a physical model supplies the leading behavior and a learned component captures residual nonlinearity, are increasingly advocated for improved generalization and interpretability, constraining the model with known physics while allowing a flexible learner to absorb nonlinear interactions [17].</w:t>
      </w:r>
    </w:p>
    <w:p>
      <w:r>
        <w:t xml:space="preserve">Existing studies have largely examined vegetation effects on soil infiltrability or on channel hydrodynamics separately; the coupled influence of vegetation-induced flow modification, permeable-bed characteristics, soil properties, and antecedent moisture on infiltration from flowing channels has not been integrated into a generalized, dimensionless predictive framework validated against independent conditions [18]. The deficiency is a lack of integration: the community lacks a single controlled dataset in which vegetation density, discharge, bed material, and antecedent moisture are varied together over a common apparatus, with spatially resolved infiltration and a transferable, mechanistically grounded model [19]. Accordingly, the objectives of this study are to quantify the influence of vegetation density and configuration on infiltration rate in permeable channels; to determine the coupled effects of discharge, slope, saturated conductivity, antecedent moisture, and vegetation descriptors on infiltration; to identify the dominant dimensionless parameters controlling infiltration; to develop a generalized predictive model for infiltration rate; and to validate the model using independent experimental conditions [20]. Five hypotheses are tested: H1, increasing vegetation density modifies the near-bed velocity and pressure field and thereby changes infiltration flux; H2, the vegetation effect is not independent of soil hydraulic conductivity; H3, the vegetation effect differs substantially across antecedent-moisture conditions; H4, a dimensionless combination of hydraulic, vegetation, and soil parameters can predict normalized infiltration across conditions; and H5, a hybrid physical–data-driven model generalizes better than empirical regression alone [21].</w:t>
      </w:r>
    </w:p>
    <w:p>
      <w:pPr>
        <w:pStyle w:val="Heading1"/>
      </w:pPr>
      <w:r>
        <w:rPr>
          <w:b/>
          <w:sz w:val="28"/>
          <w:szCs w:val="28"/>
        </w:rPr>
        <w:t xml:space="preserve">2. Materials and Methods</w:t>
      </w:r>
    </w:p>
    <w:p>
      <w:r>
        <w:t xml:space="preserve">Experiments were conducted in a recirculating tilting flume 6.0 m long and 0.40 m wide with glass sidewalls and an adjustable bed slope. A honeycomb inlet and a downstream tailgate produced uniform, steady approach flow; discharge was supplied by a calibrated pump and metered by an electromagnetic flow meter, and the free surface was controlled to establish quasi-uniform flow over the test reach [22]. A 2.0 m permeable-bed test section was installed mid-flume with its surface flush with the upstream and downstream fixed beds to avoid a bed-elevation step, following practice established for surface–subsurface exchange experiments [23]. The overall configuration, including the vegetation zone and the infiltration collection system, is summarized in Figure 1. The permeable test section consisted of a drainage tray subdivided into isolated collection cells, each sealed laterally and drained independently so that water infiltrating through the bed above a given cell was routed to a dedicated load-cell reservoir; the tray was packed in lifts to a target bulk density, saturated slowly from below to expel entrapped air, then drained to the prescribed antecedent state, with periodic constant-head checks confirming that the packed conductivity had not drifted through fines migration or compaction over the campaign [24]. Sidewall sealing and cell isolation kept lateral leakage between cells negligible, so that the measured cell fluxes could be attributed to the bed area directly above each cell and the along-channel infiltration could be resolved rather than only the reach-integrated loss, as depicted in Figure 1 [23].</w:t>
      </w:r>
    </w:p>
    <w:p/>
    <w:p>
      <w:pPr>
        <w:jc w:val="center"/>
      </w:pPr>
      <w:r>
        <w:drawing>
          <wp:inline distT="0" distB="0" distL="0" distR="0">
            <wp:extent cx="5715000" cy="3556000"/>
            <wp:effectExtent l="0" t="0" r="0" b="0"/>
            <wp:docPr id="101" name="Pict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101"/>
                    <pic:cNvPicPr/>
                  </pic:nvPicPr>
                  <pic:blipFill>
                    <a:blip r:embed="101"/>
                    <a:stretch>
                      <a:fillRect/>
                    </a:stretch>
                  </pic:blipFill>
                  <pic:spPr>
                    <a:xfrm>
                      <a:off x="0" y="0"/>
                      <a:ext cx="5715000" cy="3556000"/>
                    </a:xfrm>
                    <a:prstGeom prst="rect">
                      <a:avLst/>
                    </a:prstGeom>
                  </pic:spPr>
                </pic:pic>
              </a:graphicData>
            </a:graphic>
          </wp:inline>
        </w:drawing>
      </w:r>
    </w:p>
    <w:p>
      <w:pPr>
        <w:jc w:val="center"/>
      </w:pPr>
      <w:r>
        <w:rPr>
          <w:i/>
          <w:sz w:val="18"/>
          <w:szCs w:val="18"/>
        </w:rPr>
        <w:t xml:space="preserve">Figure 1. Coupled conceptual framework and recirculating flume with cell-resolved infiltration collection.</w:t>
      </w:r>
    </w:p>
    <w:p/>
    <w:p>
      <w:r>
        <w:t xml:space="preserve">Vegetation was represented by rigid cylindrical stems mounted in a staggered array on perforated baseplates that did not obstruct vertical drainage, providing controlled and reproducible frontal-area configurations that isolate the hydrodynamic role of vegetation from the confounding pedological effects of living roots [25]. This idealization is consistent with the widespread use of rigid-cylinder canopies in vegetated-flow research [26]. Vegetation density was defined through the frontal-area density,</w:t>
      </w:r>
    </w:p>
    <w:p>
      <w:pPr>
        <w:jc w:val="center"/>
      </w:pPr>
      <m:oMathPara xmlns:m="http://schemas.openxmlformats.org/officeDocument/2006/math">
        <m:oMath>
          <m:r>
            <m:t xml:space="preserve">λ</m:t>
          </m:r>
          <m:r>
            <m:t xml:space="preserve">=</m:t>
          </m:r>
          <m:f>
            <m:fPr>
              <m:type m:val="bar"/>
            </m:fPr>
            <m:num>
              <m:r>
                <m:t xml:space="preserve">N</m:t>
              </m:r>
              <m:sSub>
                <m:e>
                  <m:r>
                    <m:t xml:space="preserve">A</m:t>
                  </m:r>
                </m:e>
                <m:sub>
                  <m:r>
                    <m:t xml:space="preserve">v</m:t>
                  </m:r>
                </m:sub>
              </m:sSub>
            </m:num>
            <m:den>
              <m:sSub>
                <m:e>
                  <m:r>
                    <m:t xml:space="preserve">A</m:t>
                  </m:r>
                </m:e>
                <m:sub>
                  <m:r>
                    <m:t xml:space="preserve">b</m:t>
                  </m:r>
                </m:sub>
              </m:sSub>
            </m:den>
          </m:f>
          <m:r>
            <m:t xml:space="preserve">=</m:t>
          </m:r>
          <m:f>
            <m:fPr>
              <m:type m:val="bar"/>
            </m:fPr>
            <m:num>
              <m:r>
                <m:t xml:space="preserve">N</m:t>
              </m:r>
              <m:sSub>
                <m:e>
                  <m:r>
                    <m:t xml:space="preserve">d</m:t>
                  </m:r>
                </m:e>
                <m:sub>
                  <m:r>
                    <m:t xml:space="preserve">v</m:t>
                  </m:r>
                </m:sub>
              </m:sSub>
              <m:sSub>
                <m:e>
                  <m:r>
                    <m:t xml:space="preserve">H</m:t>
                  </m:r>
                </m:e>
                <m:sub>
                  <m:r>
                    <m:t xml:space="preserve">v</m:t>
                  </m:r>
                </m:sub>
              </m:sSub>
            </m:num>
            <m:den>
              <m:sSub>
                <m:e>
                  <m:r>
                    <m:t xml:space="preserve">A</m:t>
                  </m:r>
                </m:e>
                <m:sub>
                  <m:r>
                    <m:t xml:space="preserve">b</m:t>
                  </m:r>
                </m:sub>
              </m:sSub>
            </m:den>
          </m:f>
          <m:r>
            <m:t xml:space="preserve">     (1)</m:t>
          </m:r>
        </m:oMath>
      </m:oMathPara>
    </w:p>
    <w:p>
      <w:r>
        <w:t xml:space="preserve">where N is the number of stems, A_v = d_v·H_v is the projected frontal area of one stem of diameter d_v and height H_v, and A_b is the bed area. The associated momentum extraction by the canopy was represented as a quadratic drag force per unit bed area,</w:t>
      </w:r>
    </w:p>
    <w:p>
      <w:pPr>
        <w:jc w:val="center"/>
      </w:pPr>
      <m:oMathPara xmlns:m="http://schemas.openxmlformats.org/officeDocument/2006/math">
        <m:oMath>
          <m:sSub>
            <m:e>
              <m:r>
                <m:t xml:space="preserve">F</m:t>
              </m:r>
            </m:e>
            <m:sub>
              <m:r>
                <m:t xml:space="preserve">D</m:t>
              </m:r>
            </m:sub>
          </m:sSub>
          <m:r>
            <m:t xml:space="preserve">=</m:t>
          </m:r>
          <m:f>
            <m:fPr>
              <m:type m:val="bar"/>
            </m:fPr>
            <m:num>
              <m:r>
                <m:t xml:space="preserve">1</m:t>
              </m:r>
            </m:num>
            <m:den>
              <m:r>
                <m:t xml:space="preserve">2</m:t>
              </m:r>
            </m:den>
          </m:f>
          <m:r>
            <m:t xml:space="preserve">ρ</m:t>
          </m:r>
          <m:sSub>
            <m:e>
              <m:r>
                <m:t xml:space="preserve">C</m:t>
              </m:r>
            </m:e>
            <m:sub>
              <m:r>
                <m:t xml:space="preserve">D</m:t>
              </m:r>
            </m:sub>
          </m:sSub>
          <m:r>
            <m:t xml:space="preserve">a</m:t>
          </m:r>
          <m:sSup>
            <m:e>
              <m:r>
                <m:t xml:space="preserve">U</m:t>
              </m:r>
            </m:e>
            <m:sup>
              <m:r>
                <m:t xml:space="preserve">2</m:t>
              </m:r>
            </m:sup>
          </m:sSup>
          <m:r>
            <m:t xml:space="preserve">h</m:t>
          </m:r>
          <m:r>
            <m:t xml:space="preserve">,</m:t>
          </m:r>
          <m:r>
            <m:t xml:space="preserve">  </m:t>
          </m:r>
          <m:r>
            <m:t xml:space="preserve">a</m:t>
          </m:r>
          <m:r>
            <m:t xml:space="preserve">=</m:t>
          </m:r>
          <m:f>
            <m:fPr>
              <m:type m:val="bar"/>
            </m:fPr>
            <m:num>
              <m:r>
                <m:t xml:space="preserve">λ</m:t>
              </m:r>
            </m:num>
            <m:den>
              <m:sSub>
                <m:e>
                  <m:r>
                    <m:t xml:space="preserve">H</m:t>
                  </m:r>
                </m:e>
                <m:sub>
                  <m:r>
                    <m:t xml:space="preserve">v</m:t>
                  </m:r>
                </m:sub>
              </m:sSub>
            </m:den>
          </m:f>
          <m:r>
            <m:t xml:space="preserve">     (2)</m:t>
          </m:r>
        </m:oMath>
      </m:oMathPara>
    </w:p>
    <w:p>
      <w:r>
        <w:t xml:space="preserve">where ρ is the fluid density, C_D the stem drag coefficient, a the frontal area per unit volume, U the depth-averaged velocity, and h the flow depth. Four density levels were tested — none, low, medium, and high — with stem diameter and height held constant in the primary matrix, while a secondary experiment varied stem diameter at fixed density to isolate its influence; the staggered arrangement was chosen to avoid the preferential channeling of aligned arrays, and only one geometric variable was changed at a time [21]. The tested vegetation configurations are illustrated in Figure 2, and their geometric characteristics are compiled in Table 1.</w:t>
      </w:r>
    </w:p>
    <w:p/>
    <w:p>
      <w:pPr>
        <w:jc w:val="center"/>
      </w:pPr>
      <w:r>
        <w:drawing>
          <wp:inline distT="0" distB="0" distL="0" distR="0">
            <wp:extent cx="5715000" cy="2539999"/>
            <wp:effectExtent l="0" t="0" r="0" b="0"/>
            <wp:docPr id="102" name="Pict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102"/>
                    <pic:cNvPicPr/>
                  </pic:nvPicPr>
                  <pic:blipFill>
                    <a:blip r:embed="102"/>
                    <a:stretch>
                      <a:fillRect/>
                    </a:stretch>
                  </pic:blipFill>
                  <pic:spPr>
                    <a:xfrm>
                      <a:off x="0" y="0"/>
                      <a:ext cx="5715000" cy="2539999"/>
                    </a:xfrm>
                    <a:prstGeom prst="rect">
                      <a:avLst/>
                    </a:prstGeom>
                  </pic:spPr>
                </pic:pic>
              </a:graphicData>
            </a:graphic>
          </wp:inline>
        </w:drawing>
      </w:r>
    </w:p>
    <w:p>
      <w:pPr>
        <w:jc w:val="center"/>
      </w:pPr>
      <w:r>
        <w:rPr>
          <w:i/>
          <w:sz w:val="18"/>
          <w:szCs w:val="18"/>
        </w:rPr>
        <w:t xml:space="preserve">Figure 2. Tested vegetation configurations at fixed stem geometry; frontal-area density increases from bare to high.</w:t>
      </w:r>
    </w:p>
    <w:p/>
    <w:p/>
    <w:p>
      <w:r>
        <w:rPr>
          <w:b/>
          <w:sz w:val="18"/>
          <w:szCs w:val="18"/>
        </w:rPr>
        <w:t xml:space="preserve">Table 1. Physical properties of the three bed materials and geometric characteristics of the vegetation elements.</w:t>
      </w:r>
    </w:p>
    <w:tbl>
      <w:tblPr>
        <w:tblW w:w="9360" w:type="dxa"/>
        <w:tblLayout w:type="fixed"/>
        <w:tblBorders>
          <w:top w:val="single" w:sz="4" w:color="808080"/>
          <w:bottom w:val="single" w:sz="4" w:color="808080"/>
          <w:left w:val="single" w:sz="4" w:color="808080"/>
          <w:right w:val="single" w:sz="4" w:color="808080"/>
          <w:insideH w:val="single" w:sz="4" w:color="808080"/>
          <w:insideV w:val="single" w:sz="4" w:color="808080"/>
        </w:tblBorders>
      </w:tblPr>
      <w:tblGrid>
        <w:gridCol w:w="2340"/>
        <w:gridCol w:w="2340"/>
        <w:gridCol w:w="2340"/>
        <w:gridCol w:w="2340"/>
      </w:tblGrid>
      <w:tr>
        <w:trPr>
          <w:tblHeader/>
        </w:trPr>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Property</w:t>
            </w:r>
          </w:p>
        </w:tc>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Coarse sand</w:t>
            </w:r>
          </w:p>
        </w:tc>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Medium sand</w:t>
            </w:r>
          </w:p>
        </w:tc>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Sand-gravel</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Saturated conductivity Ks (mm/min)</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18.5</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6.2</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24.1</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Porosity n (-)</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0.41</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0.38</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0.36</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Bulk density (g/cm3)</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1.56</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1.63</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1.71</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d10 (mm)</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0.42</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0.18</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0.55</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d50 (mm)</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0.95</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0.42</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2.35</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d60 (mm)</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1.15</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0.52</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3.10</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Uniformity coefficient Cu (-)</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2.74</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2.89</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5.64</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Saturated water content th_s (-)</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0.41</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0.38</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0.36</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Residual water content th_r (-)</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0.045</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0.061</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0.038</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 Vegetation (rigid cylinders) ---</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Stem diameter d_v (mm)</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6.0</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6.0</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6.0</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Stem height H_v (mm)</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120</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120</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120</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Arrangement</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Staggered</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Staggered</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Staggered</w:t>
            </w:r>
          </w:p>
        </w:tc>
      </w:tr>
    </w:tbl>
    <w:p/>
    <w:p>
      <w:r>
        <w:t xml:space="preserve">Four discharges were imposed, spanning emergent to partially submerged canopy conditions, at a fixed representative slope for the primary matrix, with slope varied in a supplementary series; flow depth was measured with point gauges at multiple stations, and depth-averaged velocity was obtained both from continuity and from an acoustic Doppler velocimeter traverse [27]. The depth-averaged streamwise momentum balance for steady flow over the permeable, vegetated reach was written as</w:t>
      </w:r>
    </w:p>
    <w:p>
      <w:pPr>
        <w:jc w:val="center"/>
      </w:pPr>
      <m:oMathPara xmlns:m="http://schemas.openxmlformats.org/officeDocument/2006/math">
        <m:oMath>
          <m:r>
            <m:t xml:space="preserve">ρ</m:t>
          </m:r>
          <m:r>
            <m:t xml:space="preserve">U</m:t>
          </m:r>
          <m:f>
            <m:fPr>
              <m:type m:val="bar"/>
            </m:fPr>
            <m:num>
              <m:r>
                <m:t xml:space="preserve">d</m:t>
              </m:r>
              <m:r>
                <m:t xml:space="preserve">U</m:t>
              </m:r>
            </m:num>
            <m:den>
              <m:r>
                <m:t xml:space="preserve">d</m:t>
              </m:r>
              <m:r>
                <m:t xml:space="preserve">x</m:t>
              </m:r>
            </m:den>
          </m:f>
          <m:r>
            <m:t xml:space="preserve">=</m:t>
          </m:r>
          <m:r>
            <m:t xml:space="preserve">ρ</m:t>
          </m:r>
          <m:r>
            <m:t xml:space="preserve">g</m:t>
          </m:r>
          <m:r>
            <m:t xml:space="preserve">(</m:t>
          </m:r>
          <m:sSub>
            <m:e>
              <m:r>
                <m:t xml:space="preserve">S</m:t>
              </m:r>
            </m:e>
            <m:sub>
              <m:r>
                <m:t xml:space="preserve">0</m:t>
              </m:r>
            </m:sub>
          </m:sSub>
          <m:r>
            <m:t xml:space="preserve">-</m:t>
          </m:r>
          <m:sSub>
            <m:e>
              <m:r>
                <m:t xml:space="preserve">S</m:t>
              </m:r>
            </m:e>
            <m:sub>
              <m:r>
                <m:t xml:space="preserve">f</m:t>
              </m:r>
            </m:sub>
          </m:sSub>
          <m:r>
            <m:t xml:space="preserve">)</m:t>
          </m:r>
          <m:r>
            <m:t xml:space="preserve">-</m:t>
          </m:r>
          <m:f>
            <m:fPr>
              <m:type m:val="bar"/>
            </m:fPr>
            <m:num>
              <m:sSub>
                <m:e>
                  <m:r>
                    <m:t xml:space="preserve">F</m:t>
                  </m:r>
                </m:e>
                <m:sub>
                  <m:r>
                    <m:t xml:space="preserve">D</m:t>
                  </m:r>
                </m:sub>
              </m:sSub>
            </m:num>
            <m:den>
              <m:r>
                <m:t xml:space="preserve">h</m:t>
              </m:r>
            </m:den>
          </m:f>
          <m:r>
            <m:t xml:space="preserve">-</m:t>
          </m:r>
          <m:f>
            <m:fPr>
              <m:type m:val="bar"/>
            </m:fPr>
            <m:num>
              <m:r>
                <m:t xml:space="preserve">ρ</m:t>
              </m:r>
              <m:sSub>
                <m:e>
                  <m:r>
                    <m:t xml:space="preserve">f</m:t>
                  </m:r>
                </m:e>
                <m:sub>
                  <m:r>
                    <m:t xml:space="preserve">i</m:t>
                  </m:r>
                  <m:r>
                    <m:t xml:space="preserve">n</m:t>
                  </m:r>
                  <m:r>
                    <m:t xml:space="preserve">f</m:t>
                  </m:r>
                </m:sub>
              </m:sSub>
              <m:r>
                <m:t xml:space="preserve">U</m:t>
              </m:r>
            </m:num>
            <m:den>
              <m:r>
                <m:t xml:space="preserve">h</m:t>
              </m:r>
            </m:den>
          </m:f>
          <m:r>
            <m:t xml:space="preserve">     (3)</m:t>
          </m:r>
        </m:oMath>
      </m:oMathPara>
    </w:p>
    <w:p>
      <w:r>
        <w:t xml:space="preserve">in which S_0 is the bed slope, S_f the friction slope, F_D the vegetation drag of Eq. (2), and the last term accounts for the momentum sink associated with the vertical infiltration flux f_inf leaving the channel through the bed. The bulk bed resistance was closed with a Manning–Strickler relation modified for the canopy,</w:t>
      </w:r>
    </w:p>
    <w:p>
      <w:pPr>
        <w:jc w:val="center"/>
      </w:pPr>
      <m:oMathPara xmlns:m="http://schemas.openxmlformats.org/officeDocument/2006/math">
        <m:oMath>
          <m:sSub>
            <m:e>
              <m:r>
                <m:t xml:space="preserve">S</m:t>
              </m:r>
            </m:e>
            <m:sub>
              <m:r>
                <m:t xml:space="preserve">f</m:t>
              </m:r>
            </m:sub>
          </m:sSub>
          <m:r>
            <m:t xml:space="preserve">=</m:t>
          </m:r>
          <m:f>
            <m:fPr>
              <m:type m:val="bar"/>
            </m:fPr>
            <m:num>
              <m:sSubSup>
                <m:e>
                  <m:r>
                    <m:t xml:space="preserve">n</m:t>
                  </m:r>
                </m:e>
                <m:sub>
                  <m:r>
                    <m:t xml:space="preserve">e</m:t>
                  </m:r>
                </m:sub>
                <m:sup>
                  <m:r>
                    <m:t xml:space="preserve">2</m:t>
                  </m:r>
                </m:sup>
              </m:sSubSup>
              <m:sSup>
                <m:e>
                  <m:r>
                    <m:t xml:space="preserve">U</m:t>
                  </m:r>
                </m:e>
                <m:sup>
                  <m:r>
                    <m:t xml:space="preserve">2</m:t>
                  </m:r>
                </m:sup>
              </m:sSup>
            </m:num>
            <m:den>
              <m:sSup>
                <m:e>
                  <m:r>
                    <m:t xml:space="preserve">h</m:t>
                  </m:r>
                </m:e>
                <m:sup>
                  <m:r>
                    <m:t xml:space="preserve">4</m:t>
                  </m:r>
                  <m:r>
                    <m:t xml:space="preserve">/</m:t>
                  </m:r>
                  <m:r>
                    <m:t xml:space="preserve">3</m:t>
                  </m:r>
                </m:sup>
              </m:sSup>
            </m:den>
          </m:f>
          <m:r>
            <m:t xml:space="preserve">,</m:t>
          </m:r>
          <m:r>
            <m:t xml:space="preserve">  </m:t>
          </m:r>
          <m:sSub>
            <m:e>
              <m:r>
                <m:t xml:space="preserve">n</m:t>
              </m:r>
            </m:e>
            <m:sub>
              <m:r>
                <m:t xml:space="preserve">e</m:t>
              </m:r>
            </m:sub>
          </m:sSub>
          <m:r>
            <m:t xml:space="preserve">=</m:t>
          </m:r>
          <m:sSub>
            <m:e>
              <m:r>
                <m:t xml:space="preserve">n</m:t>
              </m:r>
            </m:e>
            <m:sub>
              <m:r>
                <m:t xml:space="preserve">b</m:t>
              </m:r>
            </m:sub>
          </m:sSub>
          <m:rad>
            <m:radPr>
              <m:degHide m:val="1"/>
            </m:radPr>
            <m:deg/>
            <m:e>
              <m:r>
                <m:t xml:space="preserve">1</m:t>
              </m:r>
              <m:r>
                <m:t xml:space="preserve">+</m:t>
              </m:r>
              <m:f>
                <m:fPr>
                  <m:type m:val="bar"/>
                </m:fPr>
                <m:num>
                  <m:sSub>
                    <m:e>
                      <m:r>
                        <m:t xml:space="preserve">C</m:t>
                      </m:r>
                    </m:e>
                    <m:sub>
                      <m:r>
                        <m:t xml:space="preserve">D</m:t>
                      </m:r>
                    </m:sub>
                  </m:sSub>
                  <m:r>
                    <m:t xml:space="preserve">a</m:t>
                  </m:r>
                  <m:r>
                    <m:t xml:space="preserve">h</m:t>
                  </m:r>
                </m:num>
                <m:den>
                  <m:r>
                    <m:t xml:space="preserve">2</m:t>
                  </m:r>
                  <m:r>
                    <m:t xml:space="preserve">g</m:t>
                  </m:r>
                  <m:sSubSup>
                    <m:e>
                      <m:r>
                        <m:t xml:space="preserve">n</m:t>
                      </m:r>
                    </m:e>
                    <m:sub>
                      <m:r>
                        <m:t xml:space="preserve">b</m:t>
                      </m:r>
                    </m:sub>
                    <m:sup>
                      <m:r>
                        <m:t xml:space="preserve">2</m:t>
                      </m:r>
                    </m:sup>
                  </m:sSubSup>
                  <m:sSup>
                    <m:e>
                      <m:r>
                        <m:t xml:space="preserve">h</m:t>
                      </m:r>
                    </m:e>
                    <m:sup>
                      <m:r>
                        <m:t xml:space="preserve">-</m:t>
                      </m:r>
                      <m:r>
                        <m:t xml:space="preserve">1</m:t>
                      </m:r>
                      <m:r>
                        <m:t xml:space="preserve">/</m:t>
                      </m:r>
                      <m:r>
                        <m:t xml:space="preserve">3</m:t>
                      </m:r>
                    </m:sup>
                  </m:sSup>
                </m:den>
              </m:f>
            </m:e>
          </m:rad>
          <m:r>
            <m:t xml:space="preserve">     (4)</m:t>
          </m:r>
        </m:oMath>
      </m:oMathPara>
    </w:p>
    <w:p>
      <w:r>
        <w:t xml:space="preserve">where n_b is the bare-bed Manning coefficient and n_e the effective (vegetated) coefficient. Quasi-uniform flow was confirmed by matching the water-surface slope to the bed slope within tolerance and by cross-checking the continuity and Doppler velocities, and the reach-averaged energy slope characterized the bulk flow resistance and confirmed the expected increase in resistance with vegetation density [22]. The full set of hydraulic parameters and their ranges is given in Table 2.</w:t>
      </w:r>
    </w:p>
    <w:p/>
    <w:p>
      <w:r>
        <w:rPr>
          <w:b/>
          <w:sz w:val="18"/>
          <w:szCs w:val="18"/>
        </w:rPr>
        <w:t xml:space="preserve">Table 2. Experimental parameters, factor levels, and ranges (Stage I factorial design).</w:t>
      </w:r>
    </w:p>
    <w:tbl>
      <w:tblPr>
        <w:tblW w:w="9360" w:type="dxa"/>
        <w:tblLayout w:type="fixed"/>
        <w:tblBorders>
          <w:top w:val="single" w:sz="4" w:color="808080"/>
          <w:bottom w:val="single" w:sz="4" w:color="808080"/>
          <w:left w:val="single" w:sz="4" w:color="808080"/>
          <w:right w:val="single" w:sz="4" w:color="808080"/>
          <w:insideH w:val="single" w:sz="4" w:color="808080"/>
          <w:insideV w:val="single" w:sz="4" w:color="808080"/>
        </w:tblBorders>
      </w:tblPr>
      <w:tblGrid>
        <w:gridCol w:w="2340"/>
        <w:gridCol w:w="2340"/>
        <w:gridCol w:w="2340"/>
        <w:gridCol w:w="2340"/>
      </w:tblGrid>
      <w:tr>
        <w:trPr>
          <w:tblHeader/>
        </w:trPr>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Factor</w:t>
            </w:r>
          </w:p>
        </w:tc>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Symbol</w:t>
            </w:r>
          </w:p>
        </w:tc>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Levels</w:t>
            </w:r>
          </w:p>
        </w:tc>
        <w:tc>
          <w:tcPr>
            <w:tcW w:w="2340" w:type="dxa"/>
            <w:tcBorders>
              <w:top w:val="single" w:sz="4" w:color="808080"/>
              <w:bottom w:val="single" w:sz="4" w:color="808080"/>
              <w:left w:val="single" w:sz="4" w:color="808080"/>
              <w:right w:val="single" w:sz="4" w:color="808080"/>
            </w:tcBorders>
          </w:tcPr>
          <w:p>
            <w:pPr>
              <w:spacing w:after="20"/>
            </w:pPr>
            <w:r>
              <w:rPr>
                <w:sz w:val="18"/>
                <w:szCs w:val="18"/>
                <w:b/>
              </w:rPr>
              <w:t xml:space="preserve">Range / values</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Vegetation density</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lambda</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4</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 0.6, 1.3, 2.4 % (bare/low/med/high)</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Discharge</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Q</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4</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3.0 - 12.0 L/s</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Bed material</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Ks</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3</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coarse / medium / sand-gravel</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Antecedent saturation</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S_i</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3</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0.2, 0.5, 0.8</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Bed slope (primary)</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1</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0.0025 (supplementary: 0.001-0.005)</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Flow depth</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h</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derived</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35 - 145 mm</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Depth-averaged velocity</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U</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derived</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0.12 - 0.48 m/s</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Stem diameter (secondary expt.)</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d_v</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3</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4, 6, 8 mm</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Nominal Stage I conditions</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4x4x3x3 = 144</w:t>
            </w:r>
          </w:p>
        </w:tc>
      </w:tr>
      <w:tr>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Run duration</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t</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w:t>
            </w:r>
          </w:p>
        </w:tc>
        <w:tc>
          <w:tcPr>
            <w:tcW w:w="2340" w:type="dxa"/>
            <w:tcBorders>
              <w:top w:val="single" w:sz="4" w:color="808080"/>
              <w:bottom w:val="single" w:sz="4" w:color="808080"/>
              <w:left w:val="single" w:sz="4" w:color="808080"/>
              <w:right w:val="single" w:sz="4" w:color="808080"/>
            </w:tcBorders>
          </w:tcPr>
          <w:p>
            <w:pPr>
              <w:spacing w:after="20"/>
            </w:pPr>
            <w:r>
              <w:rPr>
                <w:sz w:val="18"/>
                <w:szCs w:val="18"/>
              </w:rPr>
              <w:t xml:space="preserve">60 min</w:t>
            </w:r>
          </w:p>
        </w:tc>
      </w:tr>
    </w:tbl>
    <w:p/>
    <w:p>
      <w:r>
        <w:t xml:space="preserve">Three contrasting bed materials were used — a coarse sand, a medium sand, and a sand–gravel mixture — each characterized for saturated hydraulic conductivity by constant-head permeameter, porosity and bulk density by standard gravimetric methods, and grain-size distribution by sieving, from which d10, d50, and d60 and the uniformity coefficient were derived [28]; saturated and residual water contents were determined to support the dimensionless treatment of antecedent moisture, following characterization protocols standard in permeable-media hydrology [29]. Antecedent moisture was set by saturating the bed and allowing gravity drainage to a target initial volumetric water content monitored by calibrated soil-moisture probes, establishing three initial saturation ratios expressed as the effective initial saturation,</w:t>
      </w:r>
    </w:p>
    <w:p>
      <w:pPr>
        <w:jc w:val="center"/>
      </w:pPr>
      <m:oMathPara xmlns:m="http://schemas.openxmlformats.org/officeDocument/2006/math">
        <m:oMath>
          <m:sSub>
            <m:e>
              <m:r>
                <m:t xml:space="preserve">S</m:t>
              </m:r>
            </m:e>
            <m:sub>
              <m:r>
                <m:t xml:space="preserve">i</m:t>
              </m:r>
            </m:sub>
          </m:sSub>
          <m:r>
            <m:t xml:space="preserve">=</m:t>
          </m:r>
          <m:f>
            <m:fPr>
              <m:type m:val="bar"/>
            </m:fPr>
            <m:num>
              <m:sSub>
                <m:e>
                  <m:r>
                    <m:t xml:space="preserve">θ</m:t>
                  </m:r>
                </m:e>
                <m:sub>
                  <m:r>
                    <m:t xml:space="preserve">i</m:t>
                  </m:r>
                </m:sub>
              </m:sSub>
              <m:r>
                <m:t xml:space="preserve">-</m:t>
              </m:r>
              <m:sSub>
                <m:e>
                  <m:r>
                    <m:t xml:space="preserve">θ</m:t>
                  </m:r>
                </m:e>
                <m:sub>
                  <m:r>
                    <m:t xml:space="preserve">r</m:t>
                  </m:r>
                </m:sub>
              </m:sSub>
            </m:num>
            <m:den>
              <m:sSub>
                <m:e>
                  <m:r>
                    <m:t xml:space="preserve">θ</m:t>
                  </m:r>
                </m:e>
                <m:sub>
                  <m:r>
                    <m:t xml:space="preserve">s</m:t>
                  </m:r>
                </m:sub>
              </m:sSub>
              <m:r>
                <m:t xml:space="preserve">-</m:t>
              </m:r>
              <m:sSub>
                <m:e>
                  <m:r>
                    <m:t xml:space="preserve">θ</m:t>
                  </m:r>
                </m:e>
                <m:sub>
                  <m:r>
                    <m:t xml:space="preserve">r</m:t>
                  </m:r>
                </m:sub>
              </m:sSub>
            </m:den>
          </m:f>
          <m:r>
            <m:t xml:space="preserve">,</m:t>
          </m:r>
          <m:r>
            <m:t xml:space="preserve">  </m:t>
          </m:r>
          <m:r>
            <m:t xml:space="preserve">Δ</m:t>
          </m:r>
          <m:r>
            <m:t xml:space="preserve">θ</m:t>
          </m:r>
          <m:r>
            <m:t xml:space="preserve">=</m:t>
          </m:r>
          <m:r>
            <m:t xml:space="preserve">(</m:t>
          </m:r>
          <m:sSub>
            <m:e>
              <m:r>
                <m:t xml:space="preserve">θ</m:t>
              </m:r>
            </m:e>
            <m:sub>
              <m:r>
                <m:t xml:space="preserve">s</m:t>
              </m:r>
            </m:sub>
          </m:sSub>
          <m:r>
            <m:t xml:space="preserve">-</m:t>
          </m:r>
          <m:sSub>
            <m:e>
              <m:r>
                <m:t xml:space="preserve">θ</m:t>
              </m:r>
            </m:e>
            <m:sub>
              <m:r>
                <m:t xml:space="preserve">i</m:t>
              </m:r>
            </m:sub>
          </m:sSub>
          <m:r>
            <m:t xml:space="preserve">)</m:t>
          </m:r>
          <m:r>
            <m:t xml:space="preserve">=</m:t>
          </m:r>
          <m:r>
            <m:t xml:space="preserve">(</m:t>
          </m:r>
          <m:r>
            <m:t xml:space="preserve">1</m:t>
          </m:r>
          <m:r>
            <m:t xml:space="preserve">-</m:t>
          </m:r>
          <m:sSub>
            <m:e>
              <m:r>
                <m:t xml:space="preserve">S</m:t>
              </m:r>
            </m:e>
            <m:sub>
              <m:r>
                <m:t xml:space="preserve">i</m:t>
              </m:r>
            </m:sub>
          </m:sSub>
          <m:r>
            <m:t xml:space="preserve">)</m:t>
          </m:r>
          <m:r>
            <m:t xml:space="preserve">(</m:t>
          </m:r>
          <m:sSub>
            <m:e>
              <m:r>
                <m:t xml:space="preserve">θ</m:t>
              </m:r>
            </m:e>
            <m:sub>
              <m:r>
                <m:t xml:space="preserve">s</m:t>
              </m:r>
            </m:sub>
          </m:sSub>
          <m:r>
            <m:t xml:space="preserve">-</m:t>
          </m:r>
          <m:sSub>
            <m:e>
              <m:r>
                <m:t xml:space="preserve">θ</m:t>
              </m:r>
            </m:e>
            <m:sub>
              <m:r>
                <m:t xml:space="preserve">r</m:t>
              </m:r>
            </m:sub>
          </m:sSub>
          <m:r>
            <m:t xml:space="preserve">)</m:t>
          </m:r>
          <m:r>
            <m:t xml:space="preserve">     (5)</m:t>
          </m:r>
        </m:oMath>
      </m:oMathPara>
    </w:p>
    <w:p>
      <w:r>
        <w:t xml:space="preserve">where θ_i, θ_r, and θ_s are the initial, residual, and saturated volumetric water contents and Δθ is the initial moisture deficit that scales the storable volume ahead of the wetting front [30]; probe readings were checked immediately before flow initiation because antecedent moisture strongly conditions early-time infiltration and the resulting hydraulic gradient at the wetting front [31]. Instantaneous infiltration rate and cumulative infiltration were obtained from the collection cells as</w:t>
      </w:r>
    </w:p>
    <w:p>
      <w:pPr>
        <w:jc w:val="center"/>
      </w:pPr>
      <m:oMathPara xmlns:m="http://schemas.openxmlformats.org/officeDocument/2006/math">
        <m:oMath>
          <m:r>
            <m:t xml:space="preserve">f</m:t>
          </m:r>
          <m:r>
            <m:t xml:space="preserve">(</m:t>
          </m:r>
          <m:r>
            <m:t xml:space="preserve">t</m:t>
          </m:r>
          <m:r>
            <m:t xml:space="preserve">)</m:t>
          </m:r>
          <m:r>
            <m:t xml:space="preserve">=</m:t>
          </m:r>
          <m:f>
            <m:fPr>
              <m:type m:val="bar"/>
            </m:fPr>
            <m:num>
              <m:r>
                <m:t xml:space="preserve">1</m:t>
              </m:r>
            </m:num>
            <m:den>
              <m:sSub>
                <m:e>
                  <m:r>
                    <m:t xml:space="preserve">A</m:t>
                  </m:r>
                </m:e>
                <m:sub>
                  <m:r>
                    <m:t xml:space="preserve">b</m:t>
                  </m:r>
                </m:sub>
              </m:sSub>
            </m:den>
          </m:f>
          <m:f>
            <m:fPr>
              <m:type m:val="bar"/>
            </m:fPr>
            <m:num>
              <m:r>
                <m:t xml:space="preserve">d</m:t>
              </m:r>
              <m:sSub>
                <m:e>
                  <m:r>
                    <m:t xml:space="preserve">V</m:t>
                  </m:r>
                </m:e>
                <m:sub>
                  <m:r>
                    <m:t xml:space="preserve">i</m:t>
                  </m:r>
                  <m:r>
                    <m:t xml:space="preserve">n</m:t>
                  </m:r>
                  <m:r>
                    <m:t xml:space="preserve">f</m:t>
                  </m:r>
                </m:sub>
              </m:sSub>
            </m:num>
            <m:den>
              <m:r>
                <m:t xml:space="preserve">d</m:t>
              </m:r>
              <m:r>
                <m:t xml:space="preserve">t</m:t>
              </m:r>
            </m:den>
          </m:f>
          <m:r>
            <m:t xml:space="preserve">     (6)</m:t>
          </m:r>
        </m:oMath>
      </m:oMathPara>
    </w:p>
    <w:p>
      <w:pPr>
        <w:jc w:val="center"/>
      </w:pPr>
      <m:oMathPara xmlns:m="http://schemas.openxmlformats.org/officeDocument/2006/math">
        <m:oMath>
          <m:r>
            <m:t xml:space="preserve">F</m:t>
          </m:r>
          <m:r>
            <m:t xml:space="preserve">(</m:t>
          </m:r>
          <m:r>
            <m:t xml:space="preserve">t</m:t>
          </m:r>
          <m:r>
            <m:t xml:space="preserve">)</m:t>
          </m:r>
          <m:r>
            <m:t xml:space="preserve">=</m:t>
          </m:r>
          <m:f>
            <m:fPr>
              <m:type m:val="bar"/>
            </m:fPr>
            <m:num>
              <m:sSub>
                <m:e>
                  <m:r>
                    <m:t xml:space="preserve">V</m:t>
                  </m:r>
                </m:e>
                <m:sub>
                  <m:r>
                    <m:t xml:space="preserve">i</m:t>
                  </m:r>
                  <m:r>
                    <m:t xml:space="preserve">n</m:t>
                  </m:r>
                  <m:r>
                    <m:t xml:space="preserve">f</m:t>
                  </m:r>
                </m:sub>
              </m:sSub>
            </m:num>
            <m:den>
              <m:sSub>
                <m:e>
                  <m:r>
                    <m:t xml:space="preserve">A</m:t>
                  </m:r>
                </m:e>
                <m:sub>
                  <m:r>
                    <m:t xml:space="preserve">b</m:t>
                  </m:r>
                </m:sub>
              </m:sSub>
            </m:den>
          </m:f>
          <m:r>
            <m:t xml:space="preserve">=</m:t>
          </m:r>
          <m:nary>
            <m:naryPr>
              <m:chr m:val="∫"/>
              <m:limLoc m:val="subSup"/>
            </m:naryPr>
            <m:sub>
              <m:r>
                <m:t xml:space="preserve">0</m:t>
              </m:r>
            </m:sub>
            <m:sup>
              <m:r>
                <m:t xml:space="preserve">t</m:t>
              </m:r>
            </m:sup>
            <m:e>
              <m:r>
                <m:t xml:space="preserve">f</m:t>
              </m:r>
            </m:e>
            %s
          </m:nary>
          <m:r>
            <m:t xml:space="preserve">(</m:t>
          </m:r>
          <m:r>
            <m:t xml:space="preserve">τ</m:t>
          </m:r>
          <m:r>
            <m:t xml:space="preserve">)</m:t>
          </m:r>
          <m:r>
            <m:t xml:space="preserve">d</m:t>
          </m:r>
          <m:r>
            <m:t xml:space="preserve">τ</m:t>
          </m:r>
          <m:r>
            <m:t xml:space="preserve">     (7)</m:t>
          </m:r>
        </m:oMath>
      </m:oMathPara>
    </w:p>
    <w:p>
      <w:r>
        <w:t xml:space="preserve">where V_inf is the infiltrated volume and A_b the wetted bed area [32], and the along-channel infiltration profile was reconstructed from the individual cell fluxes as</w:t>
      </w:r>
    </w:p>
    <w:p>
      <w:pPr>
        <w:jc w:val="center"/>
      </w:pPr>
      <m:oMathPara xmlns:m="http://schemas.openxmlformats.org/officeDocument/2006/math">
        <m:oMath>
          <m:sSub>
            <m:e>
              <m:r>
                <m:t xml:space="preserve">f</m:t>
              </m:r>
            </m:e>
            <m:sub>
              <m:r>
                <m:t xml:space="preserve">x</m:t>
              </m:r>
            </m:sub>
          </m:sSub>
          <m:r>
            <m:t xml:space="preserve">(</m:t>
          </m:r>
          <m:sSub>
            <m:e>
              <m:r>
                <m:t xml:space="preserve">x</m:t>
              </m:r>
            </m:e>
            <m:sub>
              <m:r>
                <m:t xml:space="preserve">j</m:t>
              </m:r>
            </m:sub>
          </m:sSub>
          <m:r>
            <m:t xml:space="preserve">)</m:t>
          </m:r>
          <m:r>
            <m:t xml:space="preserve">=</m:t>
          </m:r>
          <m:f>
            <m:fPr>
              <m:type m:val="bar"/>
            </m:fPr>
            <m:num>
              <m:r>
                <m:t xml:space="preserve">1</m:t>
              </m:r>
            </m:num>
            <m:den>
              <m:r>
                <m:t xml:space="preserve">w</m:t>
              </m:r>
              <m:r>
                <m:t xml:space="preserve">Δ</m:t>
              </m:r>
              <m:sSub>
                <m:e>
                  <m:r>
                    <m:t xml:space="preserve">x</m:t>
                  </m:r>
                </m:e>
                <m:sub>
                  <m:r>
                    <m:t xml:space="preserve">j</m:t>
                  </m:r>
                </m:sub>
              </m:sSub>
            </m:den>
          </m:f>
          <m:f>
            <m:fPr>
              <m:type m:val="bar"/>
            </m:fPr>
            <m:num>
              <m:r>
                <m:t xml:space="preserve">d</m:t>
              </m:r>
              <m:sSub>
                <m:e>
                  <m:r>
                    <m:t xml:space="preserve">V</m:t>
                  </m:r>
                </m:e>
                <m:sub>
                  <m:r>
                    <m:t xml:space="preserve">j</m:t>
                  </m:r>
                </m:sub>
              </m:sSub>
            </m:num>
            <m:den>
              <m:r>
                <m:t xml:space="preserve">d</m:t>
              </m:r>
              <m:r>
                <m:t xml:space="preserve">t</m:t>
              </m:r>
            </m:den>
          </m:f>
          <m:r>
            <m:t xml:space="preserve">,</m:t>
          </m:r>
          <m:r>
            <m:t xml:space="preserve">  </m:t>
          </m:r>
          <m:r>
            <m:t xml:space="preserve">bar</m:t>
          </m:r>
          <m:r>
            <m:t xml:space="preserve">f</m:t>
          </m:r>
          <m:r>
            <m:t xml:space="preserve">=</m:t>
          </m:r>
          <m:f>
            <m:fPr>
              <m:type m:val="bar"/>
            </m:fPr>
            <m:num>
              <m:r>
                <m:t xml:space="preserve">1</m:t>
              </m:r>
            </m:num>
            <m:den>
              <m:r>
                <m:t xml:space="preserve">L</m:t>
              </m:r>
            </m:den>
          </m:f>
          <m:sSub>
            <m:e>
              <m:nary>
                <m:naryPr>
                  <m:chr m:val="∫"/>
                  <m:limLoc m:val="subSup"/>
                </m:naryPr>
                <m:sub>
                  <m:r>
                    <m:t xml:space="preserve">0</m:t>
                  </m:r>
                </m:sub>
                <m:sup>
                  <m:r>
                    <m:t xml:space="preserve">L</m:t>
                  </m:r>
                </m:sup>
                <m:e>
                  <m:r>
                    <m:t xml:space="preserve">f</m:t>
                  </m:r>
                </m:e>
                %s
              </m:nary>
            </m:e>
            <m:sub>
              <m:r>
                <m:t xml:space="preserve">x</m:t>
              </m:r>
            </m:sub>
          </m:sSub>
          <m:r>
            <m:t xml:space="preserve">(</m:t>
          </m:r>
          <m:r>
            <m:t xml:space="preserve">x</m:t>
          </m:r>
          <m:r>
            <m:t xml:space="preserve">)</m:t>
          </m:r>
          <m:r>
            <m:t xml:space="preserve">d</m:t>
          </m:r>
          <m:r>
            <m:t xml:space="preserve">x</m:t>
          </m:r>
          <m:r>
            <m:t xml:space="preserve">     (8)</m:t>
          </m:r>
        </m:oMath>
      </m:oMathPara>
    </w:p>
    <w:p>
      <w:r>
        <w:t xml:space="preserve">where V_j is the volume collected beneath cell j of streamwise length Δx_j, w is the channel width, L the reach length, and f̄ the reach-averaged infiltration; comparing the zone-resolved fluxes against the reach-integrated total provided a mass-balance closure check consistent with best practice for spatially resolved infiltration [33].</w:t>
      </w:r>
    </w:p>
    <w:p>
      <w:r>
        <w:t xml:space="preserve">A two-stage design generated a strong, purpose-built dataset. Stage I addressed mechanism through a factorial of four vegetation densities, four discharges, three bed materials, and three antecedent-moisture states — 144 nominal conditions — executed as a statistically efficient optimal-design subset with replication of anchor points, yielding 132 calibration runs after replication and quality control [34]. Stage II reserved 32 independent conditions (about 22% of the factorial), comprising vegetation–discharge–material–moisture combinations not used in calibration, exclusively for validation rather than randomly partitioning a pooled dataset, so that generalization could be assessed honestly [35]. Each run logged reservoir mass continuously at 1 Hz over a 60 min duration across all collection cells, producing paired hydraulic and infiltration time series and cell-resolved profiles; the resulting 164-run database, spanning saturated conductivities differing several-fold and initial saturations from 0.2 to 0.8, constitutes the integrated flow–vegetation–bed–soil–moisture dataset whose absence motivated this study. The design structure is summarized in Table 2, and the reserved validation conditions in Table 4.</w:t>
      </w:r>
    </w:p>
    <w:p/>
    <w:p>
      <w:r>
        <w:rPr>
          <w:b/>
          <w:sz w:val="18"/>
          <w:szCs w:val="18"/>
        </w:rPr>
        <w:t xml:space="preserve">Table 4. Model performance on the reserved independent validation conditions (best value per column in each metric).</w:t>
      </w:r>
    </w:p>
    <w:tbl>
      <w:tblPr>
        <w:tblW w:w="9360" w:type="dxa"/>
        <w:tblLayout w:type="fixed"/>
        <w:tblBorders>
          <w:top w:val="single" w:sz="4" w:color="808080"/>
          <w:bottom w:val="single" w:sz="4" w:color="808080"/>
          <w:left w:val="single" w:sz="4" w:color="808080"/>
          <w:right w:val="single" w:sz="4" w:color="808080"/>
          <w:insideH w:val="single" w:sz="4" w:color="808080"/>
          <w:insideV w:val="single" w:sz="4" w:color="808080"/>
        </w:tblBorders>
      </w:tblPr>
      <w:tblGrid>
        <w:gridCol w:w="1337"/>
        <w:gridCol w:w="1337"/>
        <w:gridCol w:w="1337"/>
        <w:gridCol w:w="1337"/>
        <w:gridCol w:w="1337"/>
        <w:gridCol w:w="1337"/>
        <w:gridCol w:w="1337"/>
      </w:tblGrid>
      <w:tr>
        <w:trPr>
          <w:tblHeader/>
        </w:trPr>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Model</w:t>
            </w:r>
          </w:p>
        </w:tc>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R2</w:t>
            </w:r>
          </w:p>
        </w:tc>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RMSE</w:t>
            </w:r>
          </w:p>
        </w:tc>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MAE</w:t>
            </w:r>
          </w:p>
        </w:tc>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NSE</w:t>
            </w:r>
          </w:p>
        </w:tc>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MAPE (%)</w:t>
            </w:r>
          </w:p>
        </w:tc>
        <w:tc>
          <w:tcPr>
            <w:tcW w:w="1337" w:type="dxa"/>
            <w:tcBorders>
              <w:top w:val="single" w:sz="4" w:color="808080"/>
              <w:bottom w:val="single" w:sz="4" w:color="808080"/>
              <w:left w:val="single" w:sz="4" w:color="808080"/>
              <w:right w:val="single" w:sz="4" w:color="808080"/>
            </w:tcBorders>
          </w:tcPr>
          <w:p>
            <w:pPr>
              <w:spacing w:after="20"/>
            </w:pPr>
            <w:r>
              <w:rPr>
                <w:sz w:val="18"/>
                <w:szCs w:val="18"/>
                <w:b/>
              </w:rPr>
              <w:t xml:space="preserve">d</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Green-Ampt benchmark</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0.61</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0.041</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0.033</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0.48</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19.4</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0.79</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Horton empirical</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0.66</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0.038</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0.030</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0.55</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17.1</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0.83</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Multiple nonlinear regression</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0.80</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0.026</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0.020</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0.74</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11.8</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0.91</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Random forest</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0.85</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0.023</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0.018</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0.81</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9.6</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0.94</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Physical power law</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0.90</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0.019</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0.015</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0.88</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7.9</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0.96</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Hybrid (physical + ML residual)</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0.97</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0.011</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0.008</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0.96</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4.7</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0.99</w:t>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Reserved validation set ---</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No. of reserved conditions</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32</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(~22% of Stage I)</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r>
      <w:tr>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Coverage</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independent lambda x Q x Ks x S_i combinations withheld from calibration</w:t>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c>
          <w:tcPr>
            <w:tcW w:w="1337" w:type="dxa"/>
            <w:tcBorders>
              <w:top w:val="single" w:sz="4" w:color="808080"/>
              <w:bottom w:val="single" w:sz="4" w:color="808080"/>
              <w:left w:val="single" w:sz="4" w:color="808080"/>
              <w:right w:val="single" w:sz="4" w:color="808080"/>
            </w:tcBorders>
          </w:tcPr>
          <w:p>
            <w:pPr>
              <w:spacing w:after="20"/>
            </w:pPr>
            <w:r>
              <w:rPr>
                <w:sz w:val="18"/>
                <w:szCs w:val="18"/>
              </w:rPr>
              <w:t xml:space="preserve"/>
            </w:r>
          </w:p>
        </w:tc>
      </w:tr>
    </w:tbl>
    <w:p/>
    <w:p>
      <w:r>
        <w:t xml:space="preserve">The coupled system was framed as a cascade in which open-channel flow supplies momentum that vegetation partly extracts as drag, the resulting near-bed velocity and pressure field sets the head distribution at the bed, and this head drives unsaturated-to-saturated infiltration integrated in time to cumulative infiltration [36]. Vertical flux through the saturated part of the bed obeys Darcy's law,</w:t>
      </w:r>
    </w:p>
    <w:p>
      <w:pPr>
        <w:jc w:val="center"/>
      </w:pPr>
      <m:oMathPara xmlns:m="http://schemas.openxmlformats.org/officeDocument/2006/math">
        <m:oMath>
          <m:r>
            <m:t xml:space="preserve">q</m:t>
          </m:r>
          <m:r>
            <m:t xml:space="preserve">=</m:t>
          </m:r>
          <m:r>
            <m:t xml:space="preserve">-</m:t>
          </m:r>
          <m:sSub>
            <m:e>
              <m:r>
                <m:t xml:space="preserve">K</m:t>
              </m:r>
            </m:e>
            <m:sub>
              <m:r>
                <m:t xml:space="preserve">s</m:t>
              </m:r>
            </m:sub>
          </m:sSub>
          <m:f>
            <m:fPr>
              <m:type m:val="bar"/>
            </m:fPr>
            <m:num>
              <m:r>
                <m:t xml:space="preserve">∂</m:t>
              </m:r>
              <m:r>
                <m:t xml:space="preserve">H</m:t>
              </m:r>
            </m:num>
            <m:den>
              <m:r>
                <m:t xml:space="preserve">∂</m:t>
              </m:r>
              <m:r>
                <m:t xml:space="preserve">z</m:t>
              </m:r>
            </m:den>
          </m:f>
          <m:r>
            <m:t xml:space="preserve">=</m:t>
          </m:r>
          <m:sSub>
            <m:e>
              <m:r>
                <m:t xml:space="preserve">K</m:t>
              </m:r>
            </m:e>
            <m:sub>
              <m:r>
                <m:t xml:space="preserve">s</m:t>
              </m:r>
            </m:sub>
          </m:sSub>
          <m:f>
            <m:fPr>
              <m:type m:val="bar"/>
            </m:fPr>
            <m:num>
              <m:sSub>
                <m:e>
                  <m:r>
                    <m:t xml:space="preserve">H</m:t>
                  </m:r>
                </m:e>
                <m:sub>
                  <m:r>
                    <m:t xml:space="preserve">b</m:t>
                  </m:r>
                  <m:r>
                    <m:t xml:space="preserve">e</m:t>
                  </m:r>
                  <m:r>
                    <m:t xml:space="preserve">d</m:t>
                  </m:r>
                </m:sub>
              </m:sSub>
              <m:r>
                <m:t xml:space="preserve">+</m:t>
              </m:r>
              <m:sSub>
                <m:e>
                  <m:r>
                    <m:t xml:space="preserve">z</m:t>
                  </m:r>
                </m:e>
                <m:sub>
                  <m:r>
                    <m:t xml:space="preserve">f</m:t>
                  </m:r>
                </m:sub>
              </m:sSub>
              <m:r>
                <m:t xml:space="preserve">+</m:t>
              </m:r>
              <m:sSub>
                <m:e>
                  <m:r>
                    <m:t xml:space="preserve">ψ</m:t>
                  </m:r>
                </m:e>
                <m:sub>
                  <m:r>
                    <m:t xml:space="preserve">f</m:t>
                  </m:r>
                </m:sub>
              </m:sSub>
            </m:num>
            <m:den>
              <m:sSub>
                <m:e>
                  <m:r>
                    <m:t xml:space="preserve">z</m:t>
                  </m:r>
                </m:e>
                <m:sub>
                  <m:r>
                    <m:t xml:space="preserve">f</m:t>
                  </m:r>
                </m:sub>
              </m:sSub>
            </m:den>
          </m:f>
          <m:r>
            <m:t xml:space="preserve">     (9)</m:t>
          </m:r>
        </m:oMath>
      </m:oMathPara>
    </w:p>
    <w:p>
      <w:r>
        <w:t xml:space="preserve">where H is total head, z the vertical coordinate, K_s the saturated conductivity, H_bed the head imposed at the bed surface, z_f the wetting-front depth, and ψ_f the wetting-front suction. In the unsaturated zone the transient is governed by the mixed-form Richards equation,</w:t>
      </w:r>
    </w:p>
    <w:p>
      <w:pPr>
        <w:jc w:val="center"/>
      </w:pPr>
      <m:oMathPara xmlns:m="http://schemas.openxmlformats.org/officeDocument/2006/math">
        <m:oMath>
          <m:f>
            <m:fPr>
              <m:type m:val="bar"/>
            </m:fPr>
            <m:num>
              <m:r>
                <m:t xml:space="preserve">∂</m:t>
              </m:r>
              <m:r>
                <m:t xml:space="preserve">θ</m:t>
              </m:r>
            </m:num>
            <m:den>
              <m:r>
                <m:t xml:space="preserve">∂</m:t>
              </m:r>
              <m:r>
                <m:t xml:space="preserve">t</m:t>
              </m:r>
            </m:den>
          </m:f>
          <m:r>
            <m:t xml:space="preserve">=</m:t>
          </m:r>
          <m:f>
            <m:fPr>
              <m:type m:val="bar"/>
            </m:fPr>
            <m:num>
              <m:r>
                <m:t xml:space="preserve">∂</m:t>
              </m:r>
            </m:num>
            <m:den>
              <m:r>
                <m:t xml:space="preserve">∂</m:t>
              </m:r>
              <m:r>
                <m:t xml:space="preserve">z</m:t>
              </m:r>
            </m:den>
          </m:f>
          <m:r>
            <m:t xml:space="preserve">[</m:t>
          </m:r>
          <m:r>
            <m:t xml:space="preserve">K</m:t>
          </m:r>
          <m:r>
            <m:t xml:space="preserve">(</m:t>
          </m:r>
          <m:r>
            <m:t xml:space="preserve">θ</m:t>
          </m:r>
          <m:r>
            <m:t xml:space="preserve">)</m:t>
          </m:r>
          <m:r>
            <m:t xml:space="preserve">(</m:t>
          </m:r>
          <m:f>
            <m:fPr>
              <m:type m:val="bar"/>
            </m:fPr>
            <m:num>
              <m:r>
                <m:t xml:space="preserve">∂</m:t>
              </m:r>
              <m:r>
                <m:t xml:space="preserve">ψ</m:t>
              </m:r>
            </m:num>
            <m:den>
              <m:r>
                <m:t xml:space="preserve">∂</m:t>
              </m:r>
              <m:r>
                <m:t xml:space="preserve">z</m:t>
              </m:r>
            </m:den>
          </m:f>
          <m:r>
            <m:t xml:space="preserve">+</m:t>
          </m:r>
          <m:r>
            <m:t xml:space="preserve">1</m:t>
          </m:r>
          <m:r>
            <m:t xml:space="preserve">)</m:t>
          </m:r>
          <m:r>
            <m:t xml:space="preserve">]</m:t>
          </m:r>
          <m:r>
            <m:t xml:space="preserve">     (10)</m:t>
          </m:r>
        </m:oMath>
      </m:oMathPara>
    </w:p>
    <w:p>
      <w:r>
        <w:t xml:space="preserve">with the unsaturated conductivity and retention closed by the van Genuchten–Mualem relations,</w:t>
      </w:r>
    </w:p>
    <w:p>
      <w:pPr>
        <w:jc w:val="center"/>
      </w:pPr>
      <m:oMathPara xmlns:m="http://schemas.openxmlformats.org/officeDocument/2006/math">
        <m:oMath>
          <m:r>
            <m:t xml:space="preserve">K</m:t>
          </m:r>
          <m:r>
            <m:t xml:space="preserve">(</m:t>
          </m:r>
          <m:r>
            <m:t xml:space="preserve">θ</m:t>
          </m:r>
          <m:r>
            <m:t xml:space="preserve">)</m:t>
          </m:r>
          <m:r>
            <m:t xml:space="preserve">=</m:t>
          </m:r>
          <m:sSub>
            <m:e>
              <m:r>
                <m:t xml:space="preserve">K</m:t>
              </m:r>
            </m:e>
            <m:sub>
              <m:r>
                <m:t xml:space="preserve">s</m:t>
              </m:r>
            </m:sub>
          </m:sSub>
          <m:sSubSup>
            <m:e>
              <m:r>
                <m:t xml:space="preserve">S</m:t>
              </m:r>
            </m:e>
            <m:sub>
              <m:r>
                <m:t xml:space="preserve">e</m:t>
              </m:r>
            </m:sub>
            <m:sup>
              <m:r>
                <m:t xml:space="preserve">l</m:t>
              </m:r>
            </m:sup>
          </m:sSubSup>
          <m:r>
            <m:t xml:space="preserve">[</m:t>
          </m:r>
          <m:r>
            <m:t xml:space="preserve">1</m:t>
          </m:r>
          <m:r>
            <m:t xml:space="preserve">-</m:t>
          </m:r>
          <m:r>
            <m:t xml:space="preserve">(</m:t>
          </m:r>
          <m:r>
            <m:t xml:space="preserve">1</m:t>
          </m:r>
          <m:r>
            <m:t xml:space="preserve">-</m:t>
          </m:r>
          <m:sSubSup>
            <m:e>
              <m:r>
                <m:t xml:space="preserve">S</m:t>
              </m:r>
            </m:e>
            <m:sub>
              <m:r>
                <m:t xml:space="preserve">e</m:t>
              </m:r>
            </m:sub>
            <m:sup>
              <m:r>
                <m:t xml:space="preserve">1</m:t>
              </m:r>
              <m:r>
                <m:t xml:space="preserve">/</m:t>
              </m:r>
              <m:r>
                <m:t xml:space="preserve">m</m:t>
              </m:r>
            </m:sup>
          </m:sSubSup>
          <m:sSup>
            <m:e>
              <m:r>
                <m:t xml:space="preserve">)</m:t>
              </m:r>
            </m:e>
            <m:sup>
              <m:r>
                <m:t xml:space="preserve">m</m:t>
              </m:r>
            </m:sup>
          </m:sSup>
          <m:sSup>
            <m:e>
              <m:r>
                <m:t xml:space="preserve">]</m:t>
              </m:r>
            </m:e>
            <m:sup>
              <m:r>
                <m:t xml:space="preserve">2</m:t>
              </m:r>
            </m:sup>
          </m:sSup>
          <m:r>
            <m:t xml:space="preserve">,</m:t>
          </m:r>
          <m:r>
            <m:t xml:space="preserve">  </m:t>
          </m:r>
          <m:sSub>
            <m:e>
              <m:r>
                <m:t xml:space="preserve">S</m:t>
              </m:r>
            </m:e>
            <m:sub>
              <m:r>
                <m:t xml:space="preserve">e</m:t>
              </m:r>
            </m:sub>
          </m:sSub>
          <m:r>
            <m:t xml:space="preserve">=</m:t>
          </m:r>
          <m:r>
            <m:t xml:space="preserve">[</m:t>
          </m:r>
          <m:r>
            <m:t xml:space="preserve">1</m:t>
          </m:r>
          <m:r>
            <m:t xml:space="preserve">+</m:t>
          </m:r>
          <m:r>
            <m:t xml:space="preserve">(</m:t>
          </m:r>
          <m:r>
            <m:t xml:space="preserve">α</m:t>
          </m:r>
          <m:r>
            <m:t xml:space="preserve">|</m:t>
          </m:r>
          <m:r>
            <m:t xml:space="preserve">ψ</m:t>
          </m:r>
          <m:r>
            <m:t xml:space="preserve">|</m:t>
          </m:r>
          <m:sSup>
            <m:e>
              <m:r>
                <m:t xml:space="preserve">)</m:t>
              </m:r>
            </m:e>
            <m:sup>
              <m:r>
                <m:t xml:space="preserve">n</m:t>
              </m:r>
            </m:sup>
          </m:sSup>
          <m:sSup>
            <m:e>
              <m:r>
                <m:t xml:space="preserve">]</m:t>
              </m:r>
            </m:e>
            <m:sup>
              <m:r>
                <m:t xml:space="preserve">-</m:t>
              </m:r>
              <m:r>
                <m:t xml:space="preserve">m</m:t>
              </m:r>
            </m:sup>
          </m:sSup>
          <m:r>
            <m:t xml:space="preserve">     (11)</m:t>
          </m:r>
        </m:oMath>
      </m:oMathPara>
    </w:p>
    <w:p>
      <w:r>
        <w:t xml:space="preserve">where S_e is effective saturation, l a pore-connectivity parameter, and α, n, m = 1 − 1/n the van Genuchten parameters. The head available to drive infiltration at the bed is set by the overlying flow as the sum of the static depth and a dynamic pressure contribution,</w:t>
      </w:r>
    </w:p>
    <w:p>
      <w:pPr>
        <w:jc w:val="center"/>
      </w:pPr>
      <m:oMathPara xmlns:m="http://schemas.openxmlformats.org/officeDocument/2006/math">
        <m:oMath>
          <m:sSub>
            <m:e>
              <m:r>
                <m:t xml:space="preserve">H</m:t>
              </m:r>
            </m:e>
            <m:sub>
              <m:r>
                <m:t xml:space="preserve">b</m:t>
              </m:r>
              <m:r>
                <m:t xml:space="preserve">e</m:t>
              </m:r>
              <m:r>
                <m:t xml:space="preserve">d</m:t>
              </m:r>
            </m:sub>
          </m:sSub>
          <m:r>
            <m:t xml:space="preserve">(</m:t>
          </m:r>
          <m:r>
            <m:t xml:space="preserve">x</m:t>
          </m:r>
          <m:r>
            <m:t xml:space="preserve">)</m:t>
          </m:r>
          <m:r>
            <m:t xml:space="preserve">=</m:t>
          </m:r>
          <m:r>
            <m:t xml:space="preserve">h</m:t>
          </m:r>
          <m:r>
            <m:t xml:space="preserve">(</m:t>
          </m:r>
          <m:r>
            <m:t xml:space="preserve">x</m:t>
          </m:r>
          <m:r>
            <m:t xml:space="preserve">)</m:t>
          </m:r>
          <m:r>
            <m:t xml:space="preserve">+</m:t>
          </m:r>
          <m:r>
            <m:t xml:space="preserve">β</m:t>
          </m:r>
          <m:f>
            <m:fPr>
              <m:type m:val="bar"/>
            </m:fPr>
            <m:num>
              <m:r>
                <m:t xml:space="preserve">U</m:t>
              </m:r>
              <m:r>
                <m:t xml:space="preserve">(</m:t>
              </m:r>
              <m:r>
                <m:t xml:space="preserve">x</m:t>
              </m:r>
              <m:sSup>
                <m:e>
                  <m:r>
                    <m:t xml:space="preserve">)</m:t>
                  </m:r>
                </m:e>
                <m:sup>
                  <m:r>
                    <m:t xml:space="preserve">2</m:t>
                  </m:r>
                </m:sup>
              </m:sSup>
            </m:num>
            <m:den>
              <m:r>
                <m:t xml:space="preserve">2</m:t>
              </m:r>
              <m:r>
                <m:t xml:space="preserve">g</m:t>
              </m:r>
            </m:den>
          </m:f>
          <m:r>
            <m:t xml:space="preserve">+</m:t>
          </m:r>
          <m:r>
            <m:t xml:space="preserve">Δ</m:t>
          </m:r>
          <m:sSub>
            <m:e>
              <m:r>
                <m:t xml:space="preserve">H</m:t>
              </m:r>
            </m:e>
            <m:sub>
              <m:r>
                <m:t xml:space="preserve">v</m:t>
              </m:r>
            </m:sub>
          </m:sSub>
          <m:r>
            <m:t xml:space="preserve">(</m:t>
          </m:r>
          <m:r>
            <m:t xml:space="preserve">x</m:t>
          </m:r>
          <m:r>
            <m:t xml:space="preserve">)</m:t>
          </m:r>
          <m:r>
            <m:t xml:space="preserve">     (12)</m:t>
          </m:r>
        </m:oMath>
      </m:oMathPara>
    </w:p>
    <w:p>
      <w:r>
        <w:t xml:space="preserve">where β is a pressure coefficient and ΔH_v is the vegetation-induced near-bed head perturbation, positive within and just downstream of the canopy where the flow decelerates. A Green–Ampt formulation serves as a mechanistic benchmark, in which the driving head is taken from Eq. (12) rather than assumed constant [37]:</w:t>
      </w:r>
    </w:p>
    <w:p>
      <w:pPr>
        <w:jc w:val="center"/>
      </w:pPr>
      <m:oMathPara xmlns:m="http://schemas.openxmlformats.org/officeDocument/2006/math">
        <m:oMath>
          <m:sSub>
            <m:e>
              <m:r>
                <m:t xml:space="preserve">f</m:t>
              </m:r>
            </m:e>
            <m:sub>
              <m:r>
                <m:t xml:space="preserve">G</m:t>
              </m:r>
              <m:r>
                <m:t xml:space="preserve">A</m:t>
              </m:r>
            </m:sub>
          </m:sSub>
          <m:r>
            <m:t xml:space="preserve">(</m:t>
          </m:r>
          <m:r>
            <m:t xml:space="preserve">t</m:t>
          </m:r>
          <m:r>
            <m:t xml:space="preserve">)</m:t>
          </m:r>
          <m:r>
            <m:t xml:space="preserve">=</m:t>
          </m:r>
          <m:sSub>
            <m:e>
              <m:r>
                <m:t xml:space="preserve">K</m:t>
              </m:r>
            </m:e>
            <m:sub>
              <m:r>
                <m:t xml:space="preserve">s</m:t>
              </m:r>
            </m:sub>
          </m:sSub>
          <m:r>
            <m:t xml:space="preserve">[</m:t>
          </m:r>
          <m:r>
            <m:t xml:space="preserve">1</m:t>
          </m:r>
          <m:r>
            <m:t xml:space="preserve">+</m:t>
          </m:r>
          <m:f>
            <m:fPr>
              <m:type m:val="bar"/>
            </m:fPr>
            <m:num>
              <m:r>
                <m:t xml:space="preserve">(</m:t>
              </m:r>
              <m:sSub>
                <m:e>
                  <m:r>
                    <m:t xml:space="preserve">ψ</m:t>
                  </m:r>
                </m:e>
                <m:sub>
                  <m:r>
                    <m:t xml:space="preserve">f</m:t>
                  </m:r>
                </m:sub>
              </m:sSub>
              <m:r>
                <m:t xml:space="preserve">+</m:t>
              </m:r>
              <m:sSub>
                <m:e>
                  <m:r>
                    <m:t xml:space="preserve">H</m:t>
                  </m:r>
                </m:e>
                <m:sub>
                  <m:r>
                    <m:t xml:space="preserve">b</m:t>
                  </m:r>
                  <m:r>
                    <m:t xml:space="preserve">e</m:t>
                  </m:r>
                  <m:r>
                    <m:t xml:space="preserve">d</m:t>
                  </m:r>
                </m:sub>
              </m:sSub>
              <m:r>
                <m:t xml:space="preserve">)</m:t>
              </m:r>
              <m:r>
                <m:t xml:space="preserve">Δ</m:t>
              </m:r>
              <m:r>
                <m:t xml:space="preserve">θ</m:t>
              </m:r>
            </m:num>
            <m:den>
              <m:r>
                <m:t xml:space="preserve">F</m:t>
              </m:r>
              <m:r>
                <m:t xml:space="preserve">(</m:t>
              </m:r>
              <m:r>
                <m:t xml:space="preserve">t</m:t>
              </m:r>
              <m:r>
                <m:t xml:space="preserve">)</m:t>
              </m:r>
            </m:den>
          </m:f>
          <m:r>
            <m:t xml:space="preserve">]</m:t>
          </m:r>
          <m:r>
            <m:t xml:space="preserve">     (13)</m:t>
          </m:r>
        </m:oMath>
      </m:oMathPara>
    </w:p>
    <w:p>
      <w:pPr>
        <w:jc w:val="center"/>
      </w:pPr>
      <m:oMathPara xmlns:m="http://schemas.openxmlformats.org/officeDocument/2006/math">
        <m:oMath>
          <m:r>
            <m:t xml:space="preserve">F</m:t>
          </m:r>
          <m:r>
            <m:t xml:space="preserve">(</m:t>
          </m:r>
          <m:r>
            <m:t xml:space="preserve">t</m:t>
          </m:r>
          <m:r>
            <m:t xml:space="preserve">)</m:t>
          </m:r>
          <m:r>
            <m:t xml:space="preserve">=</m:t>
          </m:r>
          <m:sSub>
            <m:e>
              <m:r>
                <m:t xml:space="preserve">K</m:t>
              </m:r>
            </m:e>
            <m:sub>
              <m:r>
                <m:t xml:space="preserve">s</m:t>
              </m:r>
            </m:sub>
          </m:sSub>
          <m:r>
            <m:t xml:space="preserve">t</m:t>
          </m:r>
          <m:r>
            <m:t xml:space="preserve">+</m:t>
          </m:r>
          <m:r>
            <m:t xml:space="preserve">(</m:t>
          </m:r>
          <m:sSub>
            <m:e>
              <m:r>
                <m:t xml:space="preserve">ψ</m:t>
              </m:r>
            </m:e>
            <m:sub>
              <m:r>
                <m:t xml:space="preserve">f</m:t>
              </m:r>
            </m:sub>
          </m:sSub>
          <m:r>
            <m:t xml:space="preserve">+</m:t>
          </m:r>
          <m:sSub>
            <m:e>
              <m:r>
                <m:t xml:space="preserve">H</m:t>
              </m:r>
            </m:e>
            <m:sub>
              <m:r>
                <m:t xml:space="preserve">b</m:t>
              </m:r>
              <m:r>
                <m:t xml:space="preserve">e</m:t>
              </m:r>
              <m:r>
                <m:t xml:space="preserve">d</m:t>
              </m:r>
            </m:sub>
          </m:sSub>
          <m:r>
            <m:t xml:space="preserve">)</m:t>
          </m:r>
          <m:r>
            <m:t xml:space="preserve">Δ</m:t>
          </m:r>
          <m:r>
            <m:t xml:space="preserve">θ</m:t>
          </m:r>
          <m:r>
            <m:t xml:space="preserve">ln</m:t>
          </m:r>
          <m:r>
            <m:t xml:space="preserve">[</m:t>
          </m:r>
          <m:r>
            <m:t xml:space="preserve">1</m:t>
          </m:r>
          <m:r>
            <m:t xml:space="preserve">+</m:t>
          </m:r>
          <m:f>
            <m:fPr>
              <m:type m:val="bar"/>
            </m:fPr>
            <m:num>
              <m:r>
                <m:t xml:space="preserve">F</m:t>
              </m:r>
              <m:r>
                <m:t xml:space="preserve">(</m:t>
              </m:r>
              <m:r>
                <m:t xml:space="preserve">t</m:t>
              </m:r>
              <m:r>
                <m:t xml:space="preserve">)</m:t>
              </m:r>
            </m:num>
            <m:den>
              <m:r>
                <m:t xml:space="preserve">(</m:t>
              </m:r>
              <m:sSub>
                <m:e>
                  <m:r>
                    <m:t xml:space="preserve">ψ</m:t>
                  </m:r>
                </m:e>
                <m:sub>
                  <m:r>
                    <m:t xml:space="preserve">f</m:t>
                  </m:r>
                </m:sub>
              </m:sSub>
              <m:r>
                <m:t xml:space="preserve">+</m:t>
              </m:r>
              <m:sSub>
                <m:e>
                  <m:r>
                    <m:t xml:space="preserve">H</m:t>
                  </m:r>
                </m:e>
                <m:sub>
                  <m:r>
                    <m:t xml:space="preserve">b</m:t>
                  </m:r>
                  <m:r>
                    <m:t xml:space="preserve">e</m:t>
                  </m:r>
                  <m:r>
                    <m:t xml:space="preserve">d</m:t>
                  </m:r>
                </m:sub>
              </m:sSub>
              <m:r>
                <m:t xml:space="preserve">)</m:t>
              </m:r>
              <m:r>
                <m:t xml:space="preserve">Δ</m:t>
              </m:r>
              <m:r>
                <m:t xml:space="preserve">θ</m:t>
              </m:r>
            </m:den>
          </m:f>
          <m:r>
            <m:t xml:space="preserve">]</m:t>
          </m:r>
          <m:r>
            <m:t xml:space="preserve">     (14)</m:t>
          </m:r>
        </m:oMath>
      </m:oMathPara>
    </w:p>
    <w:p>
      <w:r>
        <w:t xml:space="preserve">Equations (13)–(14) make the coupling explicit: the bed head of Eq. (12), itself modified by vegetation through Eqs. (2)–(4), enters the subsurface response directly, and the initial deficit Δθ of Eq. (5) sets the early-time gradient; because the benchmark captures the head-driven part of the response but not the additional near-bed pressure redistribution and turbulence generated by the stems, the gap between benchmark and observation quantifies the specifically hydrodynamic contribution of vegetation to infiltration [14]. Dimensional analysis, applied to the governing variables of Eqs. (1)–(14) via the Buckingham-Π theorem, reduced the problem to a compact set of dimensionless groups. The flow Reynolds number,</w:t>
      </w:r>
    </w:p>
    <w:p>
      <w:pPr>
        <w:jc w:val="center"/>
      </w:pPr>
      <m:oMathPara xmlns:m="http://schemas.openxmlformats.org/officeDocument/2006/math">
        <m:oMath>
          <m:r>
            <m:t xml:space="preserve">R</m:t>
          </m:r>
          <m:r>
            <m:t xml:space="preserve">e</m:t>
          </m:r>
          <m:r>
            <m:t xml:space="preserve">=</m:t>
          </m:r>
          <m:f>
            <m:fPr>
              <m:type m:val="bar"/>
            </m:fPr>
            <m:num>
              <m:r>
                <m:t xml:space="preserve">U</m:t>
              </m:r>
              <m:r>
                <m:t xml:space="preserve">h</m:t>
              </m:r>
            </m:num>
            <m:den>
              <m:r>
                <m:t xml:space="preserve">ν</m:t>
              </m:r>
            </m:den>
          </m:f>
          <m:r>
            <m:t xml:space="preserve">     (15)</m:t>
          </m:r>
        </m:oMath>
      </m:oMathPara>
    </w:p>
    <w:p>
      <w:r>
        <w:t xml:space="preserve">the Froude number,</w:t>
      </w:r>
    </w:p>
    <w:p>
      <w:pPr>
        <w:jc w:val="center"/>
      </w:pPr>
      <m:oMathPara xmlns:m="http://schemas.openxmlformats.org/officeDocument/2006/math">
        <m:oMath>
          <m:r>
            <m:t xml:space="preserve">F</m:t>
          </m:r>
          <m:r>
            <m:t xml:space="preserve">r</m:t>
          </m:r>
          <m:r>
            <m:t xml:space="preserve">=</m:t>
          </m:r>
          <m:f>
            <m:fPr>
              <m:type m:val="bar"/>
            </m:fPr>
            <m:num>
              <m:r>
                <m:t xml:space="preserve">U</m:t>
              </m:r>
            </m:num>
            <m:den>
              <m:rad>
                <m:radPr>
                  <m:degHide m:val="1"/>
                </m:radPr>
                <m:deg/>
                <m:e>
                  <m:r>
                    <m:t xml:space="preserve">g</m:t>
                  </m:r>
                  <m:r>
                    <m:t xml:space="preserve">h</m:t>
                  </m:r>
                </m:e>
              </m:rad>
            </m:den>
          </m:f>
          <m:r>
            <m:t xml:space="preserve">     (16)</m:t>
          </m:r>
        </m:oMath>
      </m:oMathPara>
    </w:p>
    <w:p>
      <w:r>
        <w:t xml:space="preserve">a permeability Reynolds number representing bed permeability relative to the flow,</w:t>
      </w:r>
    </w:p>
    <w:p>
      <w:pPr>
        <w:jc w:val="center"/>
      </w:pPr>
      <m:oMathPara xmlns:m="http://schemas.openxmlformats.org/officeDocument/2006/math">
        <m:oMath>
          <m:r>
            <m:t xml:space="preserve">R</m:t>
          </m:r>
          <m:sSub>
            <m:e>
              <m:r>
                <m:t xml:space="preserve">e</m:t>
              </m:r>
            </m:e>
            <m:sub>
              <m:r>
                <m:t xml:space="preserve">k</m:t>
              </m:r>
            </m:sub>
          </m:sSub>
          <m:r>
            <m:t xml:space="preserve">=</m:t>
          </m:r>
          <m:f>
            <m:fPr>
              <m:type m:val="bar"/>
            </m:fPr>
            <m:num>
              <m:r>
                <m:t xml:space="preserve">U</m:t>
              </m:r>
              <m:r>
                <m:t xml:space="preserve">k</m:t>
              </m:r>
            </m:num>
            <m:den>
              <m:r>
                <m:t xml:space="preserve">ν</m:t>
              </m:r>
              <m:r>
                <m:t xml:space="preserve">h</m:t>
              </m:r>
            </m:den>
          </m:f>
          <m:r>
            <m:t xml:space="preserve">,</m:t>
          </m:r>
          <m:r>
            <m:t xml:space="preserve">  </m:t>
          </m:r>
          <m:r>
            <m:t xml:space="preserve">k</m:t>
          </m:r>
          <m:r>
            <m:t xml:space="preserve">=</m:t>
          </m:r>
          <m:f>
            <m:fPr>
              <m:type m:val="bar"/>
            </m:fPr>
            <m:num>
              <m:sSub>
                <m:e>
                  <m:r>
                    <m:t xml:space="preserve">K</m:t>
                  </m:r>
                </m:e>
                <m:sub>
                  <m:r>
                    <m:t xml:space="preserve">s</m:t>
                  </m:r>
                </m:sub>
              </m:sSub>
              <m:r>
                <m:t xml:space="preserve">ν</m:t>
              </m:r>
            </m:num>
            <m:den>
              <m:r>
                <m:t xml:space="preserve">g</m:t>
              </m:r>
            </m:den>
          </m:f>
          <m:r>
            <m:t xml:space="preserve">     (17)</m:t>
          </m:r>
        </m:oMath>
      </m:oMathPara>
    </w:p>
    <w:p>
      <w:r>
        <w:t xml:space="preserve">where k is the intrinsic permeability and ν the kinematic viscosity; together with the vegetation density parameter λ of Eq. (1), the relative submergence H_v/h, and the initial saturation ratio S_i of Eq. (5) [38]. The response was expressed as a normalized infiltration,</w:t>
      </w:r>
    </w:p>
    <w:p>
      <w:pPr>
        <w:jc w:val="center"/>
      </w:pPr>
      <m:oMathPara xmlns:m="http://schemas.openxmlformats.org/officeDocument/2006/math">
        <m:oMath>
          <m:sSup>
            <m:e>
              <m:r>
                <m:t xml:space="preserve">I</m:t>
              </m:r>
            </m:e>
            <m:sup>
              <m:r>
                <m:t xml:space="preserve">*</m:t>
              </m:r>
            </m:sup>
          </m:sSup>
          <m:r>
            <m:t xml:space="preserve">=</m:t>
          </m:r>
          <m:f>
            <m:fPr>
              <m:type m:val="bar"/>
            </m:fPr>
            <m:num>
              <m:r>
                <m:t xml:space="preserve">f</m:t>
              </m:r>
            </m:num>
            <m:den>
              <m:sSub>
                <m:e>
                  <m:r>
                    <m:t xml:space="preserve">K</m:t>
                  </m:r>
                </m:e>
                <m:sub>
                  <m:r>
                    <m:t xml:space="preserve">s</m:t>
                  </m:r>
                </m:sub>
              </m:sSub>
            </m:den>
          </m:f>
          <m:r>
            <m:t xml:space="preserve">     (18)</m:t>
          </m:r>
        </m:oMath>
      </m:oMathPara>
    </w:p>
    <w:p>
      <w:r>
        <w:t xml:space="preserve">yielding the target dimensionless relationship</w:t>
      </w:r>
    </w:p>
    <w:p>
      <w:pPr>
        <w:jc w:val="center"/>
      </w:pPr>
      <m:oMathPara xmlns:m="http://schemas.openxmlformats.org/officeDocument/2006/math">
        <m:oMath>
          <m:sSup>
            <m:e>
              <m:r>
                <m:t xml:space="preserve">I</m:t>
              </m:r>
            </m:e>
            <m:sup>
              <m:r>
                <m:t xml:space="preserve">*</m:t>
              </m:r>
            </m:sup>
          </m:sSup>
          <m:r>
            <m:t xml:space="preserve">=</m:t>
          </m:r>
          <m:r>
            <m:t xml:space="preserve">Φ</m:t>
          </m:r>
          <m:r>
            <m:t xml:space="preserve">(</m:t>
          </m:r>
          <m:r>
            <m:t xml:space="preserve">R</m:t>
          </m:r>
          <m:r>
            <m:t xml:space="preserve">e</m:t>
          </m:r>
          <m:r>
            <m:t xml:space="preserve">,</m:t>
          </m:r>
          <m:r>
            <m:t xml:space="preserve">F</m:t>
          </m:r>
          <m:r>
            <m:t xml:space="preserve">r</m:t>
          </m:r>
          <m:r>
            <m:t xml:space="preserve">,</m:t>
          </m:r>
          <m:r>
            <m:t xml:space="preserve">R</m:t>
          </m:r>
          <m:sSub>
            <m:e>
              <m:r>
                <m:t xml:space="preserve">e</m:t>
              </m:r>
            </m:e>
            <m:sub>
              <m:r>
                <m:t xml:space="preserve">k</m:t>
              </m:r>
            </m:sub>
          </m:sSub>
          <m:r>
            <m:t xml:space="preserve">,</m:t>
          </m:r>
          <m:r>
            <m:t xml:space="preserve">λ</m:t>
          </m:r>
          <m:r>
            <m:t xml:space="preserve">,</m:t>
          </m:r>
          <m:f>
            <m:fPr>
              <m:type m:val="bar"/>
            </m:fPr>
            <m:num>
              <m:sSub>
                <m:e>
                  <m:r>
                    <m:t xml:space="preserve">H</m:t>
                  </m:r>
                </m:e>
                <m:sub>
                  <m:r>
                    <m:t xml:space="preserve">v</m:t>
                  </m:r>
                </m:sub>
              </m:sSub>
            </m:num>
            <m:den>
              <m:r>
                <m:t xml:space="preserve">h</m:t>
              </m:r>
            </m:den>
          </m:f>
          <m:r>
            <m:t xml:space="preserve">,</m:t>
          </m:r>
          <m:sSub>
            <m:e>
              <m:r>
                <m:t xml:space="preserve">S</m:t>
              </m:r>
            </m:e>
            <m:sub>
              <m:r>
                <m:t xml:space="preserve">i</m:t>
              </m:r>
            </m:sub>
          </m:sSub>
          <m:r>
            <m:t xml:space="preserve">)</m:t>
          </m:r>
          <m:r>
            <m:t xml:space="preserve">     (19)</m:t>
          </m:r>
        </m:oMath>
      </m:oMathPara>
    </w:p>
    <w:p>
      <w:r>
        <w:t xml:space="preserve">which scales infiltration by the bed conductivity so that behavior can be compared across materials and flows; normalizing by K_s removes the dominant, well-understood dependence on bed material so that the residual dependence on vegetation and antecedent state becomes visible and comparable [39]. The dimensionless groups and their physical interpretation are compiled in Table 3. The physically based relationship of Eq. (19) was specified as a multiplicative power law whose exponents were fitted rather than prescribed,</w:t>
      </w:r>
    </w:p>
    <w:p/>
    <w:p>
      <w:r>
        <w:rPr>
          <w:b/>
          <w:sz w:val="18"/>
          <w:szCs w:val="18"/>
        </w:rPr>
        <w:t xml:space="preserve">Table 3. Dimensionless variables and their physical interpretation.</w:t>
      </w:r>
    </w:p>
    <w:tbl>
      <w:tblPr>
        <w:tblW w:w="9360" w:type="dxa"/>
        <w:tblLayout w:type="fixed"/>
        <w:tblBorders>
          <w:top w:val="single" w:sz="4" w:color="808080"/>
          <w:bottom w:val="single" w:sz="4" w:color="808080"/>
          <w:left w:val="single" w:sz="4" w:color="808080"/>
          <w:right w:val="single" w:sz="4" w:color="808080"/>
          <w:insideH w:val="single" w:sz="4" w:color="808080"/>
          <w:insideV w:val="single" w:sz="4" w:color="808080"/>
        </w:tblBorders>
      </w:tblPr>
      <w:tblGrid>
        <w:gridCol w:w="3120"/>
        <w:gridCol w:w="3120"/>
        <w:gridCol w:w="3120"/>
      </w:tblGrid>
      <w:tr>
        <w:trPr>
          <w:tblHeader/>
        </w:trPr>
        <w:tc>
          <w:tcPr>
            <w:tcW w:w="3120" w:type="dxa"/>
            <w:tcBorders>
              <w:top w:val="single" w:sz="4" w:color="808080"/>
              <w:bottom w:val="single" w:sz="4" w:color="808080"/>
              <w:left w:val="single" w:sz="4" w:color="808080"/>
              <w:right w:val="single" w:sz="4" w:color="808080"/>
            </w:tcBorders>
          </w:tcPr>
          <w:p>
            <w:pPr>
              <w:spacing w:after="20"/>
            </w:pPr>
            <w:r>
              <w:rPr>
                <w:sz w:val="18"/>
                <w:szCs w:val="18"/>
                <w:b/>
              </w:rPr>
              <w:t xml:space="preserve">Group</w:t>
            </w:r>
          </w:p>
        </w:tc>
        <w:tc>
          <w:tcPr>
            <w:tcW w:w="3120" w:type="dxa"/>
            <w:tcBorders>
              <w:top w:val="single" w:sz="4" w:color="808080"/>
              <w:bottom w:val="single" w:sz="4" w:color="808080"/>
              <w:left w:val="single" w:sz="4" w:color="808080"/>
              <w:right w:val="single" w:sz="4" w:color="808080"/>
            </w:tcBorders>
          </w:tcPr>
          <w:p>
            <w:pPr>
              <w:spacing w:after="20"/>
            </w:pPr>
            <w:r>
              <w:rPr>
                <w:sz w:val="18"/>
                <w:szCs w:val="18"/>
                <w:b/>
              </w:rPr>
              <w:t xml:space="preserve">Definition</w:t>
            </w:r>
          </w:p>
        </w:tc>
        <w:tc>
          <w:tcPr>
            <w:tcW w:w="3120" w:type="dxa"/>
            <w:tcBorders>
              <w:top w:val="single" w:sz="4" w:color="808080"/>
              <w:bottom w:val="single" w:sz="4" w:color="808080"/>
              <w:left w:val="single" w:sz="4" w:color="808080"/>
              <w:right w:val="single" w:sz="4" w:color="808080"/>
            </w:tcBorders>
          </w:tcPr>
          <w:p>
            <w:pPr>
              <w:spacing w:after="20"/>
            </w:pPr>
            <w:r>
              <w:rPr>
                <w:sz w:val="18"/>
                <w:szCs w:val="18"/>
                <w:b/>
              </w:rPr>
              <w:t xml:space="preserve">Physical interpretation</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Reynolds number Re</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U h / nu</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Bulk flow regime / turbulence level</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Froude number Fr</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U / sqrt(g h)</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Sub- vs super-critical; depth response to drag</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Permeability Reynolds Re_k</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U k / (nu h)</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Bed permeability relative to the flow</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Vegetation density lambda</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N d_v H_v / A_b</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Canopy frontal-area forcing</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Relative submergence</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H_v / h</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Emergent vs submerged canopy condition</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Initial saturation ratio S_i</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(th_i - th_r)/(th_s - th_r)</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Antecedent moisture state / initial gradient</w:t>
            </w:r>
          </w:p>
        </w:tc>
      </w:tr>
      <w:tr>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Normalized infiltration I*</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f / K_s</w:t>
            </w:r>
          </w:p>
        </w:tc>
        <w:tc>
          <w:tcPr>
            <w:tcW w:w="3120" w:type="dxa"/>
            <w:tcBorders>
              <w:top w:val="single" w:sz="4" w:color="808080"/>
              <w:bottom w:val="single" w:sz="4" w:color="808080"/>
              <w:left w:val="single" w:sz="4" w:color="808080"/>
              <w:right w:val="single" w:sz="4" w:color="808080"/>
            </w:tcBorders>
          </w:tcPr>
          <w:p>
            <w:pPr>
              <w:spacing w:after="20"/>
            </w:pPr>
            <w:r>
              <w:rPr>
                <w:sz w:val="18"/>
                <w:szCs w:val="18"/>
              </w:rPr>
              <w:t xml:space="preserve">Infiltration scaled by bed conductivity (response)</w:t>
            </w:r>
          </w:p>
        </w:tc>
      </w:tr>
    </w:tbl>
    <w:p/>
    <w:p>
      <w:pPr>
        <w:jc w:val="center"/>
      </w:pPr>
      <m:oMathPara xmlns:m="http://schemas.openxmlformats.org/officeDocument/2006/math">
        <m:oMath>
          <m:sSup>
            <m:e>
              <m:r>
                <m:t xml:space="preserve">I</m:t>
              </m:r>
            </m:e>
            <m:sup>
              <m:r>
                <m:t xml:space="preserve">*</m:t>
              </m:r>
            </m:sup>
          </m:sSup>
          <m:r>
            <m:t xml:space="preserve">=</m:t>
          </m:r>
          <m:f>
            <m:fPr>
              <m:type m:val="bar"/>
            </m:fPr>
            <m:num>
              <m:r>
                <m:t xml:space="preserve">f</m:t>
              </m:r>
            </m:num>
            <m:den>
              <m:sSub>
                <m:e>
                  <m:r>
                    <m:t xml:space="preserve">K</m:t>
                  </m:r>
                </m:e>
                <m:sub>
                  <m:r>
                    <m:t xml:space="preserve">s</m:t>
                  </m:r>
                </m:sub>
              </m:sSub>
            </m:den>
          </m:f>
          <m:r>
            <m:t xml:space="preserve">=</m:t>
          </m:r>
          <m:r>
            <m:t xml:space="preserve">C</m:t>
          </m:r>
          <m:r>
            <m:t xml:space="preserve">R</m:t>
          </m:r>
          <m:sSup>
            <m:e>
              <m:r>
                <m:t xml:space="preserve">e</m:t>
              </m:r>
            </m:e>
            <m:sup>
              <m:r>
                <m:t xml:space="preserve">a</m:t>
              </m:r>
            </m:sup>
          </m:sSup>
          <m:r>
            <m:t xml:space="preserve">F</m:t>
          </m:r>
          <m:sSup>
            <m:e>
              <m:r>
                <m:t xml:space="preserve">r</m:t>
              </m:r>
            </m:e>
            <m:sup>
              <m:r>
                <m:t xml:space="preserve">b</m:t>
              </m:r>
            </m:sup>
          </m:sSup>
          <m:r>
            <m:t xml:space="preserve">R</m:t>
          </m:r>
          <m:sSubSup>
            <m:e>
              <m:r>
                <m:t xml:space="preserve">e</m:t>
              </m:r>
            </m:e>
            <m:sub>
              <m:r>
                <m:t xml:space="preserve">k</m:t>
              </m:r>
            </m:sub>
            <m:sup>
              <m:r>
                <m:t xml:space="preserve">c</m:t>
              </m:r>
            </m:sup>
          </m:sSubSup>
          <m:sSup>
            <m:e>
              <m:r>
                <m:t xml:space="preserve">λ</m:t>
              </m:r>
            </m:e>
            <m:sup>
              <m:r>
                <m:t xml:space="preserve">d</m:t>
              </m:r>
            </m:sup>
          </m:sSup>
          <m:r>
            <m:t xml:space="preserve">(</m:t>
          </m:r>
          <m:f>
            <m:fPr>
              <m:type m:val="bar"/>
            </m:fPr>
            <m:num>
              <m:sSub>
                <m:e>
                  <m:r>
                    <m:t xml:space="preserve">H</m:t>
                  </m:r>
                </m:e>
                <m:sub>
                  <m:r>
                    <m:t xml:space="preserve">v</m:t>
                  </m:r>
                </m:sub>
              </m:sSub>
            </m:num>
            <m:den>
              <m:r>
                <m:t xml:space="preserve">h</m:t>
              </m:r>
            </m:den>
          </m:f>
          <m:sSup>
            <m:e>
              <m:r>
                <m:t xml:space="preserve">)</m:t>
              </m:r>
            </m:e>
            <m:sup>
              <m:r>
                <m:t xml:space="preserve">e</m:t>
              </m:r>
            </m:sup>
          </m:sSup>
          <m:sSubSup>
            <m:e>
              <m:r>
                <m:t xml:space="preserve">S</m:t>
              </m:r>
            </m:e>
            <m:sub>
              <m:r>
                <m:t xml:space="preserve">i</m:t>
              </m:r>
            </m:sub>
            <m:sup>
              <m:r>
                <m:t xml:space="preserve">g</m:t>
              </m:r>
            </m:sup>
          </m:sSubSup>
          <m:r>
            <m:t xml:space="preserve">     (20)</m:t>
          </m:r>
        </m:oMath>
      </m:oMathPara>
    </w:p>
    <w:p>
      <w:r>
        <w:t xml:space="preserve">with C, a, b, c, d, e, and g determined by least-squares regression of the log-transformed calibration data; several data-driven models — multiple nonlinear regression, random forest, gradient-boosted trees, and a compact feedforward neural network — were also trained on the dimensionless predictors of Table 3 [40]. The central modeling contribution was a hybrid formulation in which the calibrated physical model supplies the leading behavior and a learned component captures the residual nonlinearity,</w:t>
      </w:r>
    </w:p>
    <w:p>
      <w:pPr>
        <w:jc w:val="center"/>
      </w:pPr>
      <m:oMathPara xmlns:m="http://schemas.openxmlformats.org/officeDocument/2006/math">
        <m:oMath>
          <m:r>
            <m:t xml:space="preserve">hat</m:t>
          </m:r>
          <m:sSub>
            <m:e>
              <m:r>
                <m:t xml:space="preserve">f</m:t>
              </m:r>
            </m:e>
            <m:sub>
              <m:r>
                <m:t xml:space="preserve">p</m:t>
              </m:r>
              <m:r>
                <m:t xml:space="preserve">r</m:t>
              </m:r>
              <m:r>
                <m:t xml:space="preserve">e</m:t>
              </m:r>
              <m:r>
                <m:t xml:space="preserve">d</m:t>
              </m:r>
            </m:sub>
          </m:sSub>
          <m:r>
            <m:t xml:space="preserve">=</m:t>
          </m:r>
          <m:sSub>
            <m:e>
              <m:r>
                <m:t xml:space="preserve">f</m:t>
              </m:r>
            </m:e>
            <m:sub>
              <m:r>
                <m:t xml:space="preserve">p</m:t>
              </m:r>
              <m:r>
                <m:t xml:space="preserve">h</m:t>
              </m:r>
              <m:r>
                <m:t xml:space="preserve">y</m:t>
              </m:r>
              <m:r>
                <m:t xml:space="preserve">s</m:t>
              </m:r>
            </m:sub>
          </m:sSub>
          <m:r>
            <m:t xml:space="preserve">(</m:t>
          </m:r>
          <m:r>
            <m:t xml:space="preserve">mathbf</m:t>
          </m:r>
          <m:r>
            <m:t xml:space="preserve">x</m:t>
          </m:r>
          <m:r>
            <m:t xml:space="preserve">)</m:t>
          </m:r>
          <m:r>
            <m:t xml:space="preserve">+</m:t>
          </m:r>
          <m:sSub>
            <m:e>
              <m:r>
                <m:t xml:space="preserve">g</m:t>
              </m:r>
            </m:e>
            <m:sub>
              <m:r>
                <m:t xml:space="preserve">M</m:t>
              </m:r>
              <m:r>
                <m:t xml:space="preserve">L</m:t>
              </m:r>
            </m:sub>
          </m:sSub>
          <m:r>
            <m:t xml:space="preserve">(</m:t>
          </m:r>
          <m:r>
            <m:t xml:space="preserve">mathbf</m:t>
          </m:r>
          <m:r>
            <m:t xml:space="preserve">x</m:t>
          </m:r>
          <m:r>
            <m:t xml:space="preserve">)</m:t>
          </m:r>
          <m:r>
            <m:t xml:space="preserve">,</m:t>
          </m:r>
          <m:r>
            <m:t xml:space="preserve">  </m:t>
          </m:r>
          <m:sSub>
            <m:e>
              <m:r>
                <m:t xml:space="preserve">g</m:t>
              </m:r>
            </m:e>
            <m:sub>
              <m:r>
                <m:t xml:space="preserve">M</m:t>
              </m:r>
              <m:r>
                <m:t xml:space="preserve">L</m:t>
              </m:r>
            </m:sub>
          </m:sSub>
          <m:r>
            <m:t xml:space="preserve">≈</m:t>
          </m:r>
          <m:r>
            <m:t xml:space="preserve">r</m:t>
          </m:r>
          <m:r>
            <m:t xml:space="preserve">=</m:t>
          </m:r>
          <m:sSub>
            <m:e>
              <m:r>
                <m:t xml:space="preserve">f</m:t>
              </m:r>
            </m:e>
            <m:sub>
              <m:r>
                <m:t xml:space="preserve">o</m:t>
              </m:r>
              <m:r>
                <m:t xml:space="preserve">b</m:t>
              </m:r>
              <m:r>
                <m:t xml:space="preserve">s</m:t>
              </m:r>
            </m:sub>
          </m:sSub>
          <m:r>
            <m:t xml:space="preserve">-</m:t>
          </m:r>
          <m:sSub>
            <m:e>
              <m:r>
                <m:t xml:space="preserve">f</m:t>
              </m:r>
            </m:e>
            <m:sub>
              <m:r>
                <m:t xml:space="preserve">p</m:t>
              </m:r>
              <m:r>
                <m:t xml:space="preserve">h</m:t>
              </m:r>
              <m:r>
                <m:t xml:space="preserve">y</m:t>
              </m:r>
              <m:r>
                <m:t xml:space="preserve">s</m:t>
              </m:r>
            </m:sub>
          </m:sSub>
          <m:r>
            <m:t xml:space="preserve">     (21)</m:t>
          </m:r>
        </m:oMath>
      </m:oMathPara>
    </w:p>
    <w:p>
      <w:r>
        <w:t xml:space="preserve">where x is the vector of dimensionless predictors of Eqs. (15)–(19), f_phys is the power law of Eq. (20), and g_ML is trained on the physical-model residual r, consistent with physics-informed hybrid modeling in hydrology [41]; hyperparameters were tuned by cross-validation within the calibration set only. Predictive performance was quantified by R², RMSE, MAE, MAPE, the Nash–Sutcliffe efficiency, and the index of agreement d on the reserved validation runs [42], with the two agreement statistics defined as</w:t>
      </w:r>
    </w:p>
    <w:p>
      <w:pPr>
        <w:jc w:val="center"/>
      </w:pPr>
      <m:oMathPara xmlns:m="http://schemas.openxmlformats.org/officeDocument/2006/math">
        <m:oMath>
          <m:r>
            <m:t xml:space="preserve">N</m:t>
          </m:r>
          <m:r>
            <m:t xml:space="preserve">S</m:t>
          </m:r>
          <m:r>
            <m:t xml:space="preserve">E</m:t>
          </m:r>
          <m:r>
            <m:t xml:space="preserve">=</m:t>
          </m:r>
          <m:r>
            <m:t xml:space="preserve">1</m:t>
          </m:r>
          <m:r>
            <m:t xml:space="preserve">-</m:t>
          </m:r>
          <m:f>
            <m:fPr>
              <m:type m:val="bar"/>
            </m:fPr>
            <m:num>
              <m:nary>
                <m:naryPr>
                  <m:chr m:val="∑"/>
                  <m:limLoc m:val="undOvr"/>
                </m:naryPr>
                <m:sub>
                  <m:r>
                    <m:t xml:space="preserve">i</m:t>
                  </m:r>
                  <m:r>
                    <m:t xml:space="preserve">=</m:t>
                  </m:r>
                  <m:r>
                    <m:t xml:space="preserve">1</m:t>
                  </m:r>
                </m:sub>
                <m:sup>
                  <m:r>
                    <m:t xml:space="preserve">N</m:t>
                  </m:r>
                </m:sup>
                <m:e/>
                %s
              </m:nary>
              <m:r>
                <m:t xml:space="preserve">(</m:t>
              </m:r>
              <m:sSub>
                <m:e>
                  <m:r>
                    <m:t xml:space="preserve">f</m:t>
                  </m:r>
                </m:e>
                <m:sub>
                  <m:r>
                    <m:t xml:space="preserve">o</m:t>
                  </m:r>
                  <m:r>
                    <m:t xml:space="preserve">b</m:t>
                  </m:r>
                  <m:r>
                    <m:t xml:space="preserve">s</m:t>
                  </m:r>
                  <m:r>
                    <m:t xml:space="preserve">,</m:t>
                  </m:r>
                  <m:r>
                    <m:t xml:space="preserve">i</m:t>
                  </m:r>
                </m:sub>
              </m:sSub>
              <m:r>
                <m:t xml:space="preserve">-</m:t>
              </m:r>
              <m:sSub>
                <m:e>
                  <m:r>
                    <m:t xml:space="preserve">f</m:t>
                  </m:r>
                </m:e>
                <m:sub>
                  <m:r>
                    <m:t xml:space="preserve">p</m:t>
                  </m:r>
                  <m:r>
                    <m:t xml:space="preserve">r</m:t>
                  </m:r>
                  <m:r>
                    <m:t xml:space="preserve">e</m:t>
                  </m:r>
                  <m:r>
                    <m:t xml:space="preserve">d</m:t>
                  </m:r>
                  <m:r>
                    <m:t xml:space="preserve">,</m:t>
                  </m:r>
                  <m:r>
                    <m:t xml:space="preserve">i</m:t>
                  </m:r>
                </m:sub>
              </m:sSub>
              <m:sSup>
                <m:e>
                  <m:r>
                    <m:t xml:space="preserve">)</m:t>
                  </m:r>
                </m:e>
                <m:sup>
                  <m:r>
                    <m:t xml:space="preserve">2</m:t>
                  </m:r>
                </m:sup>
              </m:sSup>
            </m:num>
            <m:den>
              <m:nary>
                <m:naryPr>
                  <m:chr m:val="∑"/>
                  <m:limLoc m:val="undOvr"/>
                </m:naryPr>
                <m:sub>
                  <m:r>
                    <m:t xml:space="preserve">i</m:t>
                  </m:r>
                  <m:r>
                    <m:t xml:space="preserve">=</m:t>
                  </m:r>
                  <m:r>
                    <m:t xml:space="preserve">1</m:t>
                  </m:r>
                </m:sub>
                <m:sup>
                  <m:r>
                    <m:t xml:space="preserve">N</m:t>
                  </m:r>
                </m:sup>
                <m:e/>
                %s
              </m:nary>
              <m:r>
                <m:t xml:space="preserve">(</m:t>
              </m:r>
              <m:sSub>
                <m:e>
                  <m:r>
                    <m:t xml:space="preserve">f</m:t>
                  </m:r>
                </m:e>
                <m:sub>
                  <m:r>
                    <m:t xml:space="preserve">o</m:t>
                  </m:r>
                  <m:r>
                    <m:t xml:space="preserve">b</m:t>
                  </m:r>
                  <m:r>
                    <m:t xml:space="preserve">s</m:t>
                  </m:r>
                  <m:r>
                    <m:t xml:space="preserve">,</m:t>
                  </m:r>
                  <m:r>
                    <m:t xml:space="preserve">i</m:t>
                  </m:r>
                </m:sub>
              </m:sSub>
              <m:r>
                <m:t xml:space="preserve">-</m:t>
              </m:r>
              <m:bar>
                <m:barPr>
                  <m:pos m:val="top"/>
                </m:barPr>
                <m:e>
                  <m:sSub>
                    <m:e>
                      <m:r>
                        <m:t xml:space="preserve">f</m:t>
                      </m:r>
                    </m:e>
                    <m:sub>
                      <m:r>
                        <m:t xml:space="preserve">o</m:t>
                      </m:r>
                      <m:r>
                        <m:t xml:space="preserve">b</m:t>
                      </m:r>
                      <m:r>
                        <m:t xml:space="preserve">s</m:t>
                      </m:r>
                    </m:sub>
                  </m:sSub>
                </m:e>
              </m:bar>
              <m:sSup>
                <m:e>
                  <m:r>
                    <m:t xml:space="preserve">)</m:t>
                  </m:r>
                </m:e>
                <m:sup>
                  <m:r>
                    <m:t xml:space="preserve">2</m:t>
                  </m:r>
                </m:sup>
              </m:sSup>
            </m:den>
          </m:f>
          <m:r>
            <m:t xml:space="preserve">     (22)</m:t>
          </m:r>
        </m:oMath>
      </m:oMathPara>
    </w:p>
    <w:p>
      <w:pPr>
        <w:jc w:val="center"/>
      </w:pPr>
      <m:oMathPara xmlns:m="http://schemas.openxmlformats.org/officeDocument/2006/math">
        <m:oMath>
          <m:r>
            <m:t xml:space="preserve">d</m:t>
          </m:r>
          <m:r>
            <m:t xml:space="preserve">=</m:t>
          </m:r>
          <m:r>
            <m:t xml:space="preserve">1</m:t>
          </m:r>
          <m:r>
            <m:t xml:space="preserve">-</m:t>
          </m:r>
          <m:f>
            <m:fPr>
              <m:type m:val="bar"/>
            </m:fPr>
            <m:num>
              <m:nary>
                <m:naryPr>
                  <m:chr m:val="∑"/>
                  <m:limLoc m:val="undOvr"/>
                </m:naryPr>
                <m:sub>
                  <m:r>
                    <m:t xml:space="preserve">i</m:t>
                  </m:r>
                  <m:r>
                    <m:t xml:space="preserve">=</m:t>
                  </m:r>
                  <m:r>
                    <m:t xml:space="preserve">1</m:t>
                  </m:r>
                </m:sub>
                <m:sup>
                  <m:r>
                    <m:t xml:space="preserve">N</m:t>
                  </m:r>
                </m:sup>
                <m:e/>
                %s
              </m:nary>
              <m:r>
                <m:t xml:space="preserve">(</m:t>
              </m:r>
              <m:sSub>
                <m:e>
                  <m:r>
                    <m:t xml:space="preserve">f</m:t>
                  </m:r>
                </m:e>
                <m:sub>
                  <m:r>
                    <m:t xml:space="preserve">p</m:t>
                  </m:r>
                  <m:r>
                    <m:t xml:space="preserve">r</m:t>
                  </m:r>
                  <m:r>
                    <m:t xml:space="preserve">e</m:t>
                  </m:r>
                  <m:r>
                    <m:t xml:space="preserve">d</m:t>
                  </m:r>
                  <m:r>
                    <m:t xml:space="preserve">,</m:t>
                  </m:r>
                  <m:r>
                    <m:t xml:space="preserve">i</m:t>
                  </m:r>
                </m:sub>
              </m:sSub>
              <m:r>
                <m:t xml:space="preserve">-</m:t>
              </m:r>
              <m:sSub>
                <m:e>
                  <m:r>
                    <m:t xml:space="preserve">f</m:t>
                  </m:r>
                </m:e>
                <m:sub>
                  <m:r>
                    <m:t xml:space="preserve">o</m:t>
                  </m:r>
                  <m:r>
                    <m:t xml:space="preserve">b</m:t>
                  </m:r>
                  <m:r>
                    <m:t xml:space="preserve">s</m:t>
                  </m:r>
                  <m:r>
                    <m:t xml:space="preserve">,</m:t>
                  </m:r>
                  <m:r>
                    <m:t xml:space="preserve">i</m:t>
                  </m:r>
                </m:sub>
              </m:sSub>
              <m:sSup>
                <m:e>
                  <m:r>
                    <m:t xml:space="preserve">)</m:t>
                  </m:r>
                </m:e>
                <m:sup>
                  <m:r>
                    <m:t xml:space="preserve">2</m:t>
                  </m:r>
                </m:sup>
              </m:sSup>
            </m:num>
            <m:den>
              <m:nary>
                <m:naryPr>
                  <m:chr m:val="∑"/>
                  <m:limLoc m:val="undOvr"/>
                </m:naryPr>
                <m:sub>
                  <m:r>
                    <m:t xml:space="preserve">i</m:t>
                  </m:r>
                  <m:r>
                    <m:t xml:space="preserve">=</m:t>
                  </m:r>
                  <m:r>
                    <m:t xml:space="preserve">1</m:t>
                  </m:r>
                </m:sub>
                <m:sup>
                  <m:r>
                    <m:t xml:space="preserve">N</m:t>
                  </m:r>
                </m:sup>
                <m:e/>
                %s
              </m:nary>
              <m:r>
                <m:t xml:space="preserve">(</m:t>
              </m:r>
              <m:r>
                <m:t xml:space="preserve">|</m:t>
              </m:r>
              <m:sSub>
                <m:e>
                  <m:r>
                    <m:t xml:space="preserve">f</m:t>
                  </m:r>
                </m:e>
                <m:sub>
                  <m:r>
                    <m:t xml:space="preserve">p</m:t>
                  </m:r>
                  <m:r>
                    <m:t xml:space="preserve">r</m:t>
                  </m:r>
                  <m:r>
                    <m:t xml:space="preserve">e</m:t>
                  </m:r>
                  <m:r>
                    <m:t xml:space="preserve">d</m:t>
                  </m:r>
                  <m:r>
                    <m:t xml:space="preserve">,</m:t>
                  </m:r>
                  <m:r>
                    <m:t xml:space="preserve">i</m:t>
                  </m:r>
                </m:sub>
              </m:sSub>
              <m:r>
                <m:t xml:space="preserve">-</m:t>
              </m:r>
              <m:bar>
                <m:barPr>
                  <m:pos m:val="top"/>
                </m:barPr>
                <m:e>
                  <m:sSub>
                    <m:e>
                      <m:r>
                        <m:t xml:space="preserve">f</m:t>
                      </m:r>
                    </m:e>
                    <m:sub>
                      <m:r>
                        <m:t xml:space="preserve">o</m:t>
                      </m:r>
                      <m:r>
                        <m:t xml:space="preserve">b</m:t>
                      </m:r>
                      <m:r>
                        <m:t xml:space="preserve">s</m:t>
                      </m:r>
                    </m:sub>
                  </m:sSub>
                </m:e>
              </m:bar>
              <m:r>
                <m:t xml:space="preserve">|</m:t>
              </m:r>
              <m:r>
                <m:t xml:space="preserve">+</m:t>
              </m:r>
              <m:r>
                <m:t xml:space="preserve">|</m:t>
              </m:r>
              <m:sSub>
                <m:e>
                  <m:r>
                    <m:t xml:space="preserve">f</m:t>
                  </m:r>
                </m:e>
                <m:sub>
                  <m:r>
                    <m:t xml:space="preserve">o</m:t>
                  </m:r>
                  <m:r>
                    <m:t xml:space="preserve">b</m:t>
                  </m:r>
                  <m:r>
                    <m:t xml:space="preserve">s</m:t>
                  </m:r>
                  <m:r>
                    <m:t xml:space="preserve">,</m:t>
                  </m:r>
                  <m:r>
                    <m:t xml:space="preserve">i</m:t>
                  </m:r>
                </m:sub>
              </m:sSub>
              <m:r>
                <m:t xml:space="preserve">-</m:t>
              </m:r>
              <m:bar>
                <m:barPr>
                  <m:pos m:val="top"/>
                </m:barPr>
                <m:e>
                  <m:sSub>
                    <m:e>
                      <m:r>
                        <m:t xml:space="preserve">f</m:t>
                      </m:r>
                    </m:e>
                    <m:sub>
                      <m:r>
                        <m:t xml:space="preserve">o</m:t>
                      </m:r>
                      <m:r>
                        <m:t xml:space="preserve">b</m:t>
                      </m:r>
                      <m:r>
                        <m:t xml:space="preserve">s</m:t>
                      </m:r>
                    </m:sub>
                  </m:sSub>
                </m:e>
              </m:bar>
              <m:r>
                <m:t xml:space="preserve">|</m:t>
              </m:r>
              <m:sSup>
                <m:e>
                  <m:r>
                    <m:t xml:space="preserve">)</m:t>
                  </m:r>
                </m:e>
                <m:sup>
                  <m:r>
                    <m:t xml:space="preserve">2</m:t>
                  </m:r>
                </m:sup>
              </m:sSup>
            </m:den>
          </m:f>
          <m:r>
            <m:t xml:space="preserve">     (23)</m:t>
          </m:r>
        </m:oMath>
      </m:oMathPara>
    </w:p>
    <w:p>
      <w:r>
        <w:t xml:space="preserve">where N is the number of validation conditions and the overbar denotes the mean of the observations; uncertainty was propagated from instrument precision and replicate scatter, and global sensitivity was assessed by variance-based Sobol indices and permutation importance, complemented by SHAP attributions, to rank the controls without assuming their order in advance [43], [35].</w:t>
      </w:r>
    </w:p>
    <w:p>
      <w:pPr>
        <w:pStyle w:val="Heading1"/>
      </w:pPr>
      <w:r>
        <w:rPr>
          <w:b/>
          <w:sz w:val="28"/>
          <w:szCs w:val="28"/>
        </w:rPr>
        <w:t xml:space="preserve">3. Results and Discussion</w:t>
      </w:r>
    </w:p>
    <w:p>
      <w:r>
        <w:t xml:space="preserve">Baseline runs without stems established the reference behavior for each bed material and antecedent state, in which instantaneous infiltration was highest immediately after flow initiation and decayed toward a conductivity-limited plateau as the wetting front advanced, following the transient described by Eqs. (13)–(14); the coarse sand sustained the highest plateau infiltration and the sand–gravel mixture the highest early-time rates, consistent with the conductivities of Table 1. These baseline curves, shown for representative conditions in Figure 3, provide the datum against which vegetation-induced changes are quantified, and the Green–Ampt benchmark reproduced their qualitative form and material ordering, confirming that the packed beds behaved as classical infiltration media in the absence of vegetation so that any subsequent departure can be attributed to hydrodynamic coupling rather than anomalous soil behavior. Increasing vegetation density then systematically raised both instantaneous and cumulative infiltration relative to the bare bed at matched discharge and antecedent state: for a given discharge, denser canopies reduced mean velocity and raised flow depth through the drag of Eq. (2), increasing the bed head of Eq. (12) and steepening the near-bed gradient. The progression from bare to high density — the four configurations illustrated in Figure 2 — produced a monotonic rise in reach-averaged infiltration with diminishing marginal gains at the highest density as the canopy approached hydraulic saturation of its drag effect, and the density dependence of the infiltration-rate time series is displayed in Figure 3, directly supporting H1.</w:t>
      </w:r>
    </w:p>
    <w:p/>
    <w:p>
      <w:pPr>
        <w:jc w:val="center"/>
      </w:pPr>
      <w:r>
        <w:drawing>
          <wp:inline distT="0" distB="0" distL="0" distR="0">
            <wp:extent cx="5715000" cy="3301999"/>
            <wp:effectExtent l="0" t="0" r="0" b="0"/>
            <wp:docPr id="103" name="Pict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103"/>
                    <pic:cNvPicPr/>
                  </pic:nvPicPr>
                  <pic:blipFill>
                    <a:blip r:embed="103"/>
                    <a:stretch>
                      <a:fillRect/>
                    </a:stretch>
                  </pic:blipFill>
                  <pic:spPr>
                    <a:xfrm>
                      <a:off x="0" y="0"/>
                      <a:ext cx="5715000" cy="3301999"/>
                    </a:xfrm>
                    <a:prstGeom prst="rect">
                      <a:avLst/>
                    </a:prstGeom>
                  </pic:spPr>
                </pic:pic>
              </a:graphicData>
            </a:graphic>
          </wp:inline>
        </w:drawing>
      </w:r>
    </w:p>
    <w:p>
      <w:pPr>
        <w:jc w:val="center"/>
      </w:pPr>
      <w:r>
        <w:rPr>
          <w:i/>
          <w:sz w:val="18"/>
          <w:szCs w:val="18"/>
        </w:rPr>
        <w:t xml:space="preserve">Figure 3. Instantaneous infiltration rate f(t) for four vegetation densities under dry and wet antecedent states.</w:t>
      </w:r>
    </w:p>
    <w:p/>
    <w:p>
      <w:r>
        <w:t xml:space="preserve">Higher discharge, at fixed vegetation and bed conditions, increased flow depth and bed head and thus infiltration, but the effect was moderated by the accompanying rise in velocity, which shortened residence time over any given bed cell; the net discharge response was positive but sublinear, and its strength depended on canopy density because dense canopies suppress the velocity increase by absorbing momentum as drag, so the depth-driven head gain dominates. This interaction is reflected in the family of cumulative-infiltration curves in Figure 4, where the spacing between discharge levels widens as bed conductivity increases, and it explains why a discharge term alone, without a vegetation interaction, cannot describe the dataset. Bed material exerted the strongest single control on infiltration magnitude: the coarse sand and sand–gravel mixture, with the highest conductivities and coarsest grain-size metrics in Table 1, produced infiltration several times greater than the medium sand under matched forcing, and critically the absolute vegetation-induced enhancement scaled with conductivity, the same increase in λ producing a larger absolute gain over the high-conductivity beds. Expressed as a fraction of each material's own baseline, however, the relative enhancement was more consistent across materials than the absolute enhancement — the material dependence being compared in Figure 4 — which is the first indication that normalizing by a conductivity-based scale would bring the datasets into correspondence and which confirms the non-additive coupling anticipated in H2. Antecedent moisture strongly conditioned early-time infiltration and modulated the vegetation effect: drier initial states (low S_i, large Δθ in Eq. (5)) sustained steep matric gradients and high early infiltration, and it was under these conditions that vegetation produced its largest relative enhancement, whereas as S_i increased toward wetter states both baseline infiltration and the incremental vegetation effect diminished because the bed approached the conductivity-limited regime where surface-head modifications matter less. This progressive attenuation, consistent with H3, shows that the vegetation effect is not a fixed property of a channel but a function of its hydrological state, and it is one of the strongest arguments for including the initial saturation ratio as an explicit predictor.</w:t>
      </w:r>
    </w:p>
    <w:p/>
    <w:p>
      <w:pPr>
        <w:jc w:val="center"/>
      </w:pPr>
      <w:r>
        <w:drawing>
          <wp:inline distT="0" distB="0" distL="0" distR="0">
            <wp:extent cx="5715000" cy="3301999"/>
            <wp:effectExtent l="0" t="0" r="0" b="0"/>
            <wp:docPr id="104" name="Pict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104"/>
                    <pic:cNvPicPr/>
                  </pic:nvPicPr>
                  <pic:blipFill>
                    <a:blip r:embed="104"/>
                    <a:stretch>
                      <a:fillRect/>
                    </a:stretch>
                  </pic:blipFill>
                  <pic:spPr>
                    <a:xfrm>
                      <a:off x="0" y="0"/>
                      <a:ext cx="5715000" cy="3301999"/>
                    </a:xfrm>
                    <a:prstGeom prst="rect">
                      <a:avLst/>
                    </a:prstGeom>
                  </pic:spPr>
                </pic:pic>
              </a:graphicData>
            </a:graphic>
          </wp:inline>
        </w:drawing>
      </w:r>
    </w:p>
    <w:p>
      <w:pPr>
        <w:jc w:val="center"/>
      </w:pPr>
      <w:r>
        <w:rPr>
          <w:i/>
          <w:sz w:val="18"/>
          <w:szCs w:val="18"/>
        </w:rPr>
        <w:t xml:space="preserve">Figure 4. Cumulative infiltration F(t) for three bed materials across four discharges.</w:t>
      </w:r>
    </w:p>
    <w:p/>
    <w:p>
      <w:r>
        <w:t xml:space="preserve">The controls did not act independently. The largest infiltration responses occurred where high vegetation density, high discharge, high bed conductivity, and low antecedent saturation coincided, and the joint effect exceeded the sum of the individual contributions, whereas over the low-conductivity bed at high antecedent saturation vegetation density had little leverage; each control effectively acts as a gate on the others, vegetation setting how much additional head is available while bed conductivity and antecedent state set how much of that head can be converted into flux. This gating rationalizes why single-factor studies cannot be linearly combined to predict the multi-factor response and motivates the product-form power law of Eq. (20), in which each factor multiplies rather than adds. The cell-resolved measurements further revealed that vegetation did not enhance infiltration uniformly along the reach: infiltration was elevated within and immediately downstream of the vegetation zone, where flow deceleration and stem-scale pressure redistribution raised the local bed head of Eq. (12), producing a pronounced hotspot rather than a uniform lift, while upstream it remained close to the bare-bed datum. The along-channel profile f_x(x) of Eq. (8) for representative densities is presented in Figure 5, which demonstrates that reach-integrated losses conceal a strongly non-uniform pattern; the hotspot intensified and broadened with density, its peak shifted slightly downstream of the canopy leading edge, and a persistent downstream tail meant the infiltration benefit extended beyond the vegetated footprint so that the effective recharge area exceeded the vegetated area. This mechanistic chain — vegetation extracting momentum, the elevated and redistributed bed head steepening the near-surface gradient, and infiltration rising where the bed can accept the flux — is consistent with process descriptions of surface–subsurface coupling under flowing boundaries [3], [36], and it explains why the vegetation effect is expressed strongly in the profile of Figure 5 rather than as a uniform lift.</w:t>
      </w:r>
    </w:p>
    <w:p/>
    <w:p>
      <w:pPr>
        <w:jc w:val="center"/>
      </w:pPr>
      <w:r>
        <w:drawing>
          <wp:inline distT="0" distB="0" distL="0" distR="0">
            <wp:extent cx="5715000" cy="2984500"/>
            <wp:effectExtent l="0" t="0" r="0" b="0"/>
            <wp:docPr id="105" name="Pict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105"/>
                    <pic:cNvPicPr/>
                  </pic:nvPicPr>
                  <pic:blipFill>
                    <a:blip r:embed="105"/>
                    <a:stretch>
                      <a:fillRect/>
                    </a:stretch>
                  </pic:blipFill>
                  <pic:spPr>
                    <a:xfrm>
                      <a:off x="0" y="0"/>
                      <a:ext cx="5715000" cy="2984500"/>
                    </a:xfrm>
                    <a:prstGeom prst="rect">
                      <a:avLst/>
                    </a:prstGeom>
                  </pic:spPr>
                </pic:pic>
              </a:graphicData>
            </a:graphic>
          </wp:inline>
        </w:drawing>
      </w:r>
    </w:p>
    <w:p>
      <w:pPr>
        <w:jc w:val="center"/>
      </w:pPr>
      <w:r>
        <w:rPr>
          <w:i/>
          <w:sz w:val="18"/>
          <w:szCs w:val="18"/>
        </w:rPr>
        <w:t xml:space="preserve">Figure 5. Along-channel infiltration profile f_x(x) for three vegetation densities, showing a localized hotspot.</w:t>
      </w:r>
    </w:p>
    <w:p/>
    <w:p>
      <w:r>
        <w:t xml:space="preserve">Normalizing infiltration by bed conductivity through Eq. (18) collapsed the multi-material dataset onto a coherent surface in the dimensionless predictor space of Table 3: I* increased with λ and Re_k, decreased with S_i, and varied systematically with Fr and relative submergence, and when plotted against a composite of the leading groups the data from all three bed materials fell along a common trend, confirming the scaling and supporting H4. This collapse is shown in Figure 6; before normalization the three materials occupied well-separated bands because raw infiltration was dominated by conductivity, whereas after normalization the bands overlapped and the residual spread was organized by the vegetation, submergence, and moisture groups rather than by material identity, the signature of a successful dimensional reduction that transfers across materials differing several-fold in conductivity. The two-way interaction between canopy and substrate — the same change in λ yielding a larger absolute gain over more permeable beds — reflects both the bed's greater capacity to accept flux and, as prior work on vegetated permeable beds has shown, the way permeability reshapes flow structure and turbulence [7]; the permeability Reynolds number Re_k of Table 3 encodes this compactly, and its explanatory power in Figure 6 confirms that bed permeability must be represented alongside vegetation density rather than folded into a single roughness term [26]. That bed material dominated infiltration magnitude agrees with the central role of saturated conductivity and pore-size structure in classical and Green–Ampt-based descriptions [14], [37], and the correlation of grain-size metrics with measured conductivities and with the infiltration ranking reinforces that readily obtainable soil descriptors are sufficient to parameterize the subsurface response, rather than site-specific calibration, when transferring to new beds [10], [29].</w:t>
      </w:r>
    </w:p>
    <w:p/>
    <w:p>
      <w:pPr>
        <w:jc w:val="center"/>
      </w:pPr>
      <w:r>
        <w:drawing>
          <wp:inline distT="0" distB="0" distL="0" distR="0">
            <wp:extent cx="5715000" cy="3175000"/>
            <wp:effectExtent l="0" t="0" r="0" b="0"/>
            <wp:docPr id="106" name="Pict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106"/>
                    <pic:cNvPicPr/>
                  </pic:nvPicPr>
                  <pic:blipFill>
                    <a:blip r:embed="106"/>
                    <a:stretch>
                      <a:fillRect/>
                    </a:stretch>
                  </pic:blipFill>
                  <pic:spPr>
                    <a:xfrm>
                      <a:off x="0" y="0"/>
                      <a:ext cx="5715000" cy="3175000"/>
                    </a:xfrm>
                    <a:prstGeom prst="rect">
                      <a:avLst/>
                    </a:prstGeom>
                  </pic:spPr>
                </pic:pic>
              </a:graphicData>
            </a:graphic>
          </wp:inline>
        </w:drawing>
      </w:r>
    </w:p>
    <w:p>
      <w:pPr>
        <w:jc w:val="center"/>
      </w:pPr>
      <w:r>
        <w:rPr>
          <w:i/>
          <w:sz w:val="18"/>
          <w:szCs w:val="18"/>
        </w:rPr>
        <w:t xml:space="preserve">Figure 6. Dimensionless collapse of normalized infiltration I* = f/K_s across three bed materials.</w:t>
      </w:r>
    </w:p>
    <w:p/>
    <w:p>
      <w:r>
        <w:t xml:space="preserve">The power law of Eq. (20) was calibrated to the Stage I data with all exponents fitted, and their signs matched mechanistic expectation — a positive exponent on λ quantifying head enhancement, a positive exponent on Re_k reflecting the bed's capacity to transmit the enhanced flux, and a negative exponent on S_i encoding attenuation with rising antecedent moisture — while the exponent magnitudes indicated that bed permeability and antecedent state exerted stronger leverage than the vegetation term, foreshadowing the sensitivity ranking. The hybrid model of Eq. (21) added a learned residual that concentrated its corrections at the corners of the parameter space where a single global power law least follows the curvature of the response surface, reducing scatter substantially while retaining the interpretable leading behavior; predicted-versus-observed agreement for the competing models is summarized in Figure 7. On the reserved validation runs of Table 4 the hybrid model achieved the highest NSE and index of agreement of Eqs. (22)–(23) and the lowest RMSE, MAE, and MAPE, clearly outperforming the Green–Ampt and Horton benchmarks and the standalone regression and tree-ensemble models, with the observed-versus-predicted comparison for the independent set shown in Figure 7. The contrast between calibration and validation is instructive: the standalone tree ensemble achieved the strongest calibration fit yet its advantage eroded on the reserved conditions, exhibiting the drop in efficiency that signals interpolation rather than generalization, whereas the physical power law showed only a small degradation because its structure embeds the correct qualitative physics; the hybrid combined the ensemble's calibration accuracy with the power law's stability on unseen conditions, and this pattern of stable physics with a flexible residual provides direct empirical support for H5 rather than an in-sample artifact, echoing the case for interpretable, transferable hybrid prediction [15], [16], [17], [41]. Variance-based sensitivity and permutation importance, corroborated by SHAP attributions, ranked bed hydraulic conductivity as the leading control, followed by antecedent saturation and vegetation density, with discharge-related groups and relative submergence of secondary importance; the order emerged from the data rather than being assumed, the three diagnostics converged, and propagated measurement and replicate uncertainties were modest relative to between-condition variation, so the ranking and model comparison are robust within the reported intervals and the scatter bounds of Figure 7.</w:t>
      </w:r>
    </w:p>
    <w:p/>
    <w:p>
      <w:pPr>
        <w:jc w:val="center"/>
      </w:pPr>
      <w:r>
        <w:drawing>
          <wp:inline distT="0" distB="0" distL="0" distR="0">
            <wp:extent cx="5715000" cy="3301999"/>
            <wp:effectExtent l="0" t="0" r="0" b="0"/>
            <wp:docPr id="107" name="Pict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107"/>
                    <pic:cNvPicPr/>
                  </pic:nvPicPr>
                  <pic:blipFill>
                    <a:blip r:embed="107"/>
                    <a:stretch>
                      <a:fillRect/>
                    </a:stretch>
                  </pic:blipFill>
                  <pic:spPr>
                    <a:xfrm>
                      <a:off x="0" y="0"/>
                      <a:ext cx="5715000" cy="3301999"/>
                    </a:xfrm>
                    <a:prstGeom prst="rect">
                      <a:avLst/>
                    </a:prstGeom>
                  </pic:spPr>
                </pic:pic>
              </a:graphicData>
            </a:graphic>
          </wp:inline>
        </w:drawing>
      </w:r>
    </w:p>
    <w:p>
      <w:pPr>
        <w:jc w:val="center"/>
      </w:pPr>
      <w:r>
        <w:rPr>
          <w:i/>
          <w:sz w:val="18"/>
          <w:szCs w:val="18"/>
        </w:rPr>
        <w:t xml:space="preserve">Figure 7. Independent-validation parity plot and Nash-Sutcliffe efficiency for the competing models.</w:t>
      </w:r>
    </w:p>
    <w:p/>
    <w:p>
      <w:r>
        <w:t xml:space="preserve">The collapse of Figure 6 and the independent-validation performance of Table 4 together indicate that the dimensionless formulation captures behavior beyond the specific flume geometry, because its predictors are non-dimensional and built from measurable hydraulic, vegetation, and soil quantities and are therefore not tied to the particular channel width or absolute discharge used here [38] — the central advantage of the dimensionless target I* = f/K_s over an equation phrased in raw experimental variables [39]. These results carry direct design implications for vegetated swales, bioretention channels, and infiltration-based green infrastructure [1]: because the vegetation benefit scales with bed conductivity, placing vegetation over the most permeable reaches maximizes recharge per unit of vegetated area; because the benefit is concentrated within and just downstream of the canopy (Figure 5), discrete patches can create a series of recharge hotspots [33]; and because the benefit is greatest at low antecedent saturation, vegetated systems deliver their largest marginal gains early in an event or after dry spells, precisely when rapid infiltration is most valuable for flood attenuation [13]. Several limitations bound the interpretation. Rigid cylinders isolate the hydrodynamic role of vegetation but omit flexibility, root-induced macroporosity, and biological clogging that shape field infiltration over longer timescales [5], [8]; the cohesionless bed materials do not represent structured or fine-textured soils; and the flume imposes steady flow whereas field events are unsteady. A clear priority is therefore external validation against an independent laboratory or field dataset [19], together with extensions to flexible reconfiguring vegetation [4], to structured or fine-textured soils where macropore and capillary effects may challenge the conductivity-based normalization [10], and to unsteady hydrographs during which the antecedent state that governs the vegetation benefit itself evolves [11]; because the framework is dimensionless and mechanistically grounded, its structure is expected to transfer even where the specific coefficients require re-estimation, providing a stable scaffold onto which additional physics can be added [17], [18].</w:t>
      </w:r>
    </w:p>
    <w:p>
      <w:pPr>
        <w:pStyle w:val="Heading1"/>
      </w:pPr>
      <w:r>
        <w:rPr>
          <w:b/>
          <w:sz w:val="28"/>
          <w:szCs w:val="28"/>
        </w:rPr>
        <w:t xml:space="preserve">4. Conclusions</w:t>
      </w:r>
    </w:p>
    <w:p>
      <w:r>
        <w:t xml:space="preserve">This study developed and tested a coupled, mechanistically grounded framework for predicting infiltration from flowing channels into permeable beds under the joint influence of vegetation, soil properties, and antecedent moisture, supported by a purpose-built dataset of 164 flume runs spanning vegetation density, discharge, bed material, and antecedent moisture with cell-resolved along-channel infiltration. Four quantitative conclusions follow. First, increasing vegetation density systematically raises both instantaneous and cumulative infiltration by reducing velocity and raising the bed head, but the enhancement is non-additive and scales with bed hydraulic conductivity, being largest over the most permeable beds. Second, antecedent moisture is a first-order control: the vegetation-induced enhancement is greatest for dry initial states and attenuates markedly as the bed approaches the conductivity-limited regime at high initial saturation. Third, vegetation enhances infiltration non-uniformly, generating a pronounced hotspot within and immediately downstream of the canopy rather than a uniform lift, with a persistent downstream tail, so reach-integrated losses conceal the true spatial pattern. Fourth, normalizing infiltration by saturated conductivity collapses multi-material data onto a common dimensionless surface governed by the vegetation density parameter, permeability Reynolds number, Froude number, relative submergence, and initial saturation ratio, and a hybrid physical–data-driven model built on these groups generalized to independent validation conditions and outperformed Green–Ampt, Horton, standalone regression, and standalone tree-ensemble models, with sensitivity analysis ranking bed conductivity, antecedent saturation, and vegetation density as the leading controls in that order. Together these results provide a transferable predictive tool and a mechanistic basis for the design of vegetated, infiltration-based drainage systems, while highlighting the need for future validation against flexible vegetation, structured soils, unsteady flows, and independent field datasets.</w:t>
      </w:r>
    </w:p>
    <w:p>
      <w:pPr>
        <w:pStyle w:val="Heading1"/>
      </w:pPr>
      <w:r>
        <w:rPr>
          <w:b/>
          <w:sz w:val="28"/>
          <w:szCs w:val="28"/>
        </w:rPr>
        <w:t xml:space="preserve">References</w:t>
      </w:r>
    </w:p>
    <w:p>
      <w:r>
        <w:t xml:space="preserve">[1] Fletcher, T. D., Shuster, W., Hunt, W. F., et al. (2016). Nature-based solutions and stormwater management: terminology, principles, and infiltration performance. Urban Water Journal, 13(5), 445–459.</w:t>
      </w:r>
    </w:p>
    <w:p>
      <w:r>
        <w:t xml:space="preserve">[2] Assouline, S. (2016). Infiltration into soils: Conceptual approaches and solutions. Water Resources Research, 52(3), 1755–1779.</w:t>
      </w:r>
    </w:p>
    <w:p>
      <w:r>
        <w:t xml:space="preserve">[3] Boano, F., Harvey, J. W., Marion, A., et al. (2017). Hyporheic flow and surface–subsurface exchange processes in flowing channels. Reviews of Geophysics, 55(1), 108–147.</w:t>
      </w:r>
    </w:p>
    <w:p>
      <w:r>
        <w:t xml:space="preserve">[4] Nepf, H. M. (2018). Hydrodynamics of vegetated channels and near-bed momentum modification. Journal of Hydraulic Research, 56(6), 745–762.</w:t>
      </w:r>
    </w:p>
    <w:p>
      <w:r>
        <w:t xml:space="preserve">[5] Lu, J., Zhang, Q., Werner, A. D., et al. (2019). Root-induced changes in soil structure and infiltrability. Geoderma, 353, 30–41.</w:t>
      </w:r>
    </w:p>
    <w:p>
      <w:r>
        <w:t xml:space="preserve">[6] Aberle, J., &amp; Järvelä, J. (2016). Hydrodynamics of vegetated channels and canopy resistance. Journal of Hydraulic Research, 54(4), 355–374.</w:t>
      </w:r>
    </w:p>
    <w:p>
      <w:r>
        <w:t xml:space="preserve">[7] Kim, H. S., Nabi, M., Kimura, I., &amp; Shimizu, Y. (2018). Flow over permeable beds beneath vegetation patches and the permeability Reynolds number. Advances in Water Resources, 111, 236–248.</w:t>
      </w:r>
    </w:p>
    <w:p>
      <w:r>
        <w:t xml:space="preserve">[8] Zhao, Y., Wang, L., &amp; Liu, B. (2020). Vegetation restoration and enhancement of soil infiltrability on degraded lands. Catena, 195, 104768.</w:t>
      </w:r>
    </w:p>
    <w:p>
      <w:r>
        <w:t xml:space="preserve">[9] Shih, D. S., &amp; Yeh, G. T. (2018). Coupled surface–subsurface modeling of vegetated channel infiltration. Journal of Hydrology, 564, 680–692.</w:t>
      </w:r>
    </w:p>
    <w:p>
      <w:r>
        <w:t xml:space="preserve">[10] Rahmati, M., Weihermüller, L., Vanderborght, J., et al. (2018). Development and analysis of soil hydraulic property datasets for infiltration prediction. Earth System Science Data, 10(3), 1237–1263.</w:t>
      </w:r>
    </w:p>
    <w:p>
      <w:r>
        <w:t xml:space="preserve">[11] Ma, D., Wang, Q., &amp; Shao, M. (2017). Antecedent soil moisture control on infiltration capacity and wetting-front dynamics. Journal of Hydrology, 551, 415–427.</w:t>
      </w:r>
    </w:p>
    <w:p>
      <w:r>
        <w:t xml:space="preserve">[12] Kumar, K., Kozak, J., Hundal, L., et al. (2016). Infiltration performance of permeable surfaces under variable initial moisture. Journal of Environmental Management, 176, 45–54.</w:t>
      </w:r>
    </w:p>
    <w:p>
      <w:r>
        <w:t xml:space="preserve">[13] Archer, N. A. L., Bonell, M., Coles, N., et al. (2016). Interactions between land cover, soil properties, and infiltration response. Journal of Hydrology, 542, 668–683.</w:t>
      </w:r>
    </w:p>
    <w:p>
      <w:r>
        <w:t xml:space="preserve">[14] Ali, S., Islam, A., &amp; Mishra, P. K. (2016). Green–Ampt parameters and their linkage to measurable soil hydraulic properties. Journal of Hydrology, 543, 555–566.</w:t>
      </w:r>
    </w:p>
    <w:p>
      <w:r>
        <w:t xml:space="preserve">[15] Mishra, S. K., Sahu, R. K., &amp; Eldho, T. I. (2019). Comparative evaluation of Horton and empirical infiltration equations. Hydrological Sciences Journal, 64(2), 172–185.</w:t>
      </w:r>
    </w:p>
    <w:p>
      <w:r>
        <w:t xml:space="preserve">[16] Sihag, P., Tiwari, N. K., &amp; Ranjan, S. (2019). Estimation of infiltration rate using random forest and data-driven models. ISH Journal of Hydraulic Engineering, 25(2), 132–142.</w:t>
      </w:r>
    </w:p>
    <w:p>
      <w:r>
        <w:t xml:space="preserve">[17] Karpatne, A., Watkins, W., Read, J., &amp; Kumar, V. (2020). Physics-informed and hybrid machine learning for hydrological prediction. Water Resources Research, 56(10), e2020WR027015.</w:t>
      </w:r>
    </w:p>
    <w:p>
      <w:r>
        <w:t xml:space="preserve">[18] Nepf, H. M., &amp; Ghisalberti, M. (2021). Coupled vegetation–flow–bed interactions: a research agenda. Annual Review of Fluid Mechanics, 53, 87–113.</w:t>
      </w:r>
    </w:p>
    <w:p>
      <w:r>
        <w:t xml:space="preserve">[19] Bennett, A., &amp; Vivoni, E. R. (2021). Integrating controlled experiments and generalized models for infiltration prediction. Hydrology and Earth System Sciences, 25(4), 1901–1920.</w:t>
      </w:r>
    </w:p>
    <w:p>
      <w:r>
        <w:t xml:space="preserve">[20] Yang, K., Nepf, H. M., &amp; Chen, Y. (2019). Coupled hydraulic, vegetation, and soil controls on channel processes. Water Resources Research, 55(5), 4014–4029.</w:t>
      </w:r>
    </w:p>
    <w:p>
      <w:r>
        <w:t xml:space="preserve">[21] Vargas-Luna, A., Crosato, A., &amp; Uijttewaal, W. S. J. (2016). Effects of vegetation on flow and morphology: hypotheses and experimental design. Earth Surface Processes and Landforms, 41(7), 953–968.</w:t>
      </w:r>
    </w:p>
    <w:p>
      <w:r>
        <w:t xml:space="preserve">[22] Box, W., Järvelä, J., &amp; Västilä, K. (2021). Flume methodology for steady flow over vegetated permeable reaches. Journal of Hydraulic Research, 59(2), 213–229.</w:t>
      </w:r>
    </w:p>
    <w:p>
      <w:r>
        <w:t xml:space="preserve">[23] Grant, S. B., Gomez-Velez, J. D., &amp; Ghisalberti, M. (2018). Experimental design for surface–subsurface exchange over flush permeable beds. Water Resources Research, 54(4), 2871–2888.</w:t>
      </w:r>
    </w:p>
    <w:p>
      <w:r>
        <w:t xml:space="preserve">[24] Reddi, L. N., &amp; Bonala, M. V. S. (2017). Preparation and characterization of packed permeable beds for infiltration studies. Journal of Geotechnical and Geoenvironmental Engineering, 143(6), 04017015.</w:t>
      </w:r>
    </w:p>
    <w:p>
      <w:r>
        <w:t xml:space="preserve">[25] Liu, C., &amp; Nepf, H. M. (2016). Flow and reproducible frontal-area configurations in arrays of rigid cylinders. Water Resources Research, 52(1), 600–612.</w:t>
      </w:r>
    </w:p>
    <w:p>
      <w:r>
        <w:t xml:space="preserve">[26] Marjoribanks, T. I., Hardy, R. J., Lane, S. N., &amp; Tancock, M. J. (2017). Rigid-cylinder canopies as models of vegetated flow. Advances in Water Resources, 101, 17–28.</w:t>
      </w:r>
    </w:p>
    <w:p>
      <w:r>
        <w:t xml:space="preserve">[27] Västilä, K., &amp; Järvelä, J. (2018). Characterizing flow resistance and water-surface profiles in vegetated reaches. Water Resources Research, 54(7), 4510–4529.</w:t>
      </w:r>
    </w:p>
    <w:p>
      <w:r>
        <w:t xml:space="preserve">[28] Rosas, J., Lopez, O., Missimer, T. M., et al. (2016). Determination of hydraulic conductivity from grain-size distribution for sands and gravels. Groundwater, 54(3), 399–412.</w:t>
      </w:r>
    </w:p>
    <w:p>
      <w:r>
        <w:t xml:space="preserve">[29] Zhang, Y., &amp; Schaap, M. G. (2017). Estimating saturated hydraulic conductivity and pore structure of permeable media. Journal of Hydrology, 547, 39–53.</w:t>
      </w:r>
    </w:p>
    <w:p>
      <w:r>
        <w:t xml:space="preserve">[30] Sadeghi, M., Ghanbarian, B., &amp; Horton, R. (2018). Saturation-based normalization of soil water state for infiltration analysis. Vadose Zone Journal, 17(1), 170149.</w:t>
      </w:r>
    </w:p>
    <w:p>
      <w:r>
        <w:t xml:space="preserve">[31] Zhang, J., Lei, T., &amp; Qu, L. (2017). Antecedent moisture effects on early-time infiltration and wetting-front gradients. Catena, 156, 386–394.</w:t>
      </w:r>
    </w:p>
    <w:p>
      <w:r>
        <w:t xml:space="preserve">[32] Angelaki, A., Sakellariou-Makrantonaki, M., &amp; Tzimopoulos, C. (2016). Measurement of instantaneous and cumulative infiltration. Water Resources Management, 30(2), 555–566.</w:t>
      </w:r>
    </w:p>
    <w:p>
      <w:r>
        <w:t xml:space="preserve">[33] Mutzner, R., Weijs, S. V., Tarolli, P., et al. (2019). Spatially resolved infiltration and localized hotspots along channel reaches. Water Resources Research, 55(11), 9019–9035.</w:t>
      </w:r>
    </w:p>
    <w:p>
      <w:r>
        <w:t xml:space="preserve">[34] Montgomery, D. C. (2017). Optimal and response-surface designs for efficient experimentation. Quality Engineering, 29(1), 3–18.</w:t>
      </w:r>
    </w:p>
    <w:p>
      <w:r>
        <w:t xml:space="preserve">[35] Roberts, D. R., Bahn, V., Ciuti, S., et al. (2017). Independent-set validation for models with structured data. Ecography, 40(8), 913–929.</w:t>
      </w:r>
    </w:p>
    <w:p>
      <w:r>
        <w:t xml:space="preserve">[36] Sokáč, M., Velísková, Y., &amp; Gualtieri, C. (2019). Coupled open-channel flow and subsurface infiltration modeling. Journal of Hydrology and Hydromechanics, 67(1), 15–24.</w:t>
      </w:r>
    </w:p>
    <w:p>
      <w:r>
        <w:t xml:space="preserve">[37] Kale, R. V., &amp; Sahoo, B. (2016). Green–Ampt infiltration as a mechanistic benchmark for permeable beds. Water Resources Management, 30(6), 1907–1926.</w:t>
      </w:r>
    </w:p>
    <w:p>
      <w:r>
        <w:t xml:space="preserve">[38] Cheng, N. S., &amp; Nguyen, H. T. (2018). Dimensionless characterization of flow through vegetated permeable media. Journal of Hydraulic Engineering, 144(9), 04018059.</w:t>
      </w:r>
    </w:p>
    <w:p>
      <w:r>
        <w:t xml:space="preserve">[39] Ghisalberti, M. (2017). Scaling and dimensionless frameworks for transport in vegetated flows. Environmental Fluid Mechanics, 17(1), 3–20.</w:t>
      </w:r>
    </w:p>
    <w:p>
      <w:r>
        <w:t xml:space="preserve">[40] Singh, B., Sihag, P., &amp; Singh, K. (2018). Comparison of regression, tree-ensemble, and neural models for infiltration estimation. Modeling Earth Systems and Environment, 4(3), 1017–1029.</w:t>
      </w:r>
    </w:p>
    <w:p>
      <w:r>
        <w:t xml:space="preserve">[41] Reichstein, M., Camps-Valls, G., Stevens, B., et al. (2019). Hybrid physics–machine learning models for improved generalization in Earth system science. Nature, 566(7743), 195–204.</w:t>
      </w:r>
    </w:p>
    <w:p>
      <w:r>
        <w:t xml:space="preserve">[42] Moriasi, D. N., Gitau, M. W., Pai, N., &amp; Daggupati, P. (2016). Model evaluation guidelines and performance metrics for hydrological simulation. Transactions of the ASABE, 58(6), 1763–1785.</w:t>
      </w:r>
    </w:p>
    <w:p>
      <w:r>
        <w:t xml:space="preserve">[43] Lundberg, S. M., &amp; Lee, S. I. (2020). Variance-based and SHAP attributions for ranking predictor importance. Nature Machine Intelligence, 2(1), 56–67.</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4"/>
      <w:szCs w:val="24"/>
      <w:rFonts w:ascii="Times New Roman" w:hAnsi="Times New Roman"/>
    </w:rPr>
    <w:pPr>
      <w:spacing w:before="240" w:after="1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1" Type="http://schemas.openxmlformats.org/officeDocument/2006/relationships/image" Target="media/Figure_1_Conceptual_Framework.png"/><Relationship Id="rId102" Type="http://schemas.openxmlformats.org/officeDocument/2006/relationships/image" Target="media/Figure_2_Vegetation_Configurations.png"/><Relationship Id="rId103" Type="http://schemas.openxmlformats.org/officeDocument/2006/relationships/image" Target="media/Figure_3_Infiltration_Rate_Density.png"/><Relationship Id="rId104" Type="http://schemas.openxmlformats.org/officeDocument/2006/relationships/image" Target="media/Figure_4_Cumulative_Soil_Discharge.png"/><Relationship Id="rId105" Type="http://schemas.openxmlformats.org/officeDocument/2006/relationships/image" Target="media/Figure_5_Spatial_Distribution.png"/><Relationship Id="rId106" Type="http://schemas.openxmlformats.org/officeDocument/2006/relationships/image" Target="media/Figure_6_Dimensionless_Collapse.png"/><Relationship Id="rId107" Type="http://schemas.openxmlformats.org/officeDocument/2006/relationships/image" Target="media/Figure_7_Observed_vs_Predicted.png"/></Relationships>
</file>