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Title"/>
      </w:pPr>
      <w:r>
        <w:t xml:space="preserve">Chapter 3. Biomedical and Pharmacological Data Science</w:t>
      </w:r>
    </w:p>
    <w:p>
      <w:pPr>
        <w:pStyle w:val="Heading1"/>
      </w:pPr>
      <w:r>
        <w:t xml:space="preserve">Abstract</w:t>
      </w:r>
    </w:p>
    <w:p>
      <w:pPr>
        <w:pStyle w:val="Normal"/>
      </w:pPr>
      <w:r>
        <w:t xml:space="preserve">Biomedical and pharmacological research has entered an era defined by data abundance. Genomic sequencing, electronic health records, high-throughput screening, medical imaging, and continuous physiological monitoring now generate information at volumes and velocities that far exceed the capacity of traditional statistical workflows. Data science provides the conceptual and computational scaffolding required to convert these heterogeneous streams into actionable biological insight and clinical value. This chapter offers a structured examination of the discipline across three connected themes. It first surveys the principal sources and types of biomedical and pharmacological data, characterizing their structure, scale, provenance, and the interoperability challenges that arise when they are combined. It then describes the methodological core of the field: preprocessing procedures that render raw measurements analyzable, feature engineering strategies that encode domain knowledge into machine-readable representations, and the model development practices that translate curated data into predictive and mechanistic understanding. Finally, it addresses the practices that determine whether a model can be trusted in a scientific or clinical setting, encompassing rigorous validation, explainability, and reproducibility. Throughout, the chapter emphasizes that technical sophistication is necessary but not sufficient. Robust biomedical data science depends on disciplined data governance, transparent reporting, and an unbroken chain of evidence linking a model's outputs to the biological reality it purports to describe. The aim is to equip readers with an integrated mental model of the analytic lifecycle, from the moment a measurement is captured to the point at which a validated model informs a decision about a molecule, a therapy, or a patient.</w:t>
      </w:r>
    </w:p>
    <w:p>
      <w:pPr>
        <w:pStyle w:val="Heading1"/>
      </w:pPr>
      <w:r>
        <w:t xml:space="preserve">3.1 Sources and Types of Biomedical and Pharmacological Data</w:t>
      </w:r>
    </w:p>
    <w:p>
      <w:pPr>
        <w:pStyle w:val="Heading2"/>
      </w:pPr>
      <w:r>
        <w:t xml:space="preserve">3.1.1 The Data Landscape and Its Defining Characteristics</w:t>
      </w:r>
    </w:p>
    <w:p>
      <w:pPr>
        <w:pStyle w:val="Normal"/>
      </w:pPr>
      <w:r>
        <w:t xml:space="preserve">The modern biomedical enterprise produces data that is simultaneously vast, diverse, and deeply contextual. A single genome sequencing run yields hundreds of gigabytes of raw reads, a busy hospital accumulates millions of structured and unstructured records annually, and a pharmaceutical screening campaign can interrogate hundreds of thousands of compounds against a target in a matter of days [1]. These streams differ not only in volume but in kind. They span numeric measurements, categorical codes, free text, images, waveforms, molecular graphs, and sequences, each carrying distinct statistical properties and requiring distinct handling [2]. What unifies them is a common purpose: to describe biological systems and their perturbation by disease or therapeutic intervention with sufficient fidelity to support inference.</w:t>
      </w:r>
    </w:p>
    <w:p>
      <w:pPr>
        <w:pStyle w:val="Normal"/>
      </w:pPr>
      <w:r>
        <w:t xml:space="preserve">A defining feature of biomedical data is its heterogeneity. Measurements originate from disparate instruments, laboratories, and institutions, each with idiosyncratic conventions for units, coding, and quality control [3]. The same clinical concept may be represented differently across systems, and the same molecule may be described by multiple identifiers. This fragmentation, illustrated in Figure 1, is the primary obstacle to integrative analysis and motivates the harmonization efforts discussed later in this chapter.</w:t>
      </w:r>
    </w:p>
    <w:p>
      <w:pPr>
        <w:pStyle w:val="FigureImage"/>
      </w:pPr>
      <w:r>
        <w:drawing>
          <wp:inline xmlns:wp="http://schemas.openxmlformats.org/drawingml/2006/wordprocessingDrawing" distT="0" distB="0" distL="0" distR="0">
            <wp:extent cx="5486400" cy="3392905"/>
            <wp:effectExtent l="0" t="0" r="0" b="0"/>
            <wp:docPr id="1001" name="Figure_1_Data_Sourc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 name="Figure_1_Data_Sources.png"/>
                    <pic:cNvPicPr/>
                  </pic:nvPicPr>
                  <pic:blipFill>
                    <a:blip xmlns:r="http://schemas.openxmlformats.org/officeDocument/2006/relationships" r:embed="rIdImg1"/>
                    <a:stretch>
                      <a:fillRect/>
                    </a:stretch>
                  </pic:blipFill>
                  <pic:spPr>
                    <a:xfrm>
                      <a:off x="0" y="0"/>
                      <a:ext cx="5486400" cy="3392905"/>
                    </a:xfrm>
                    <a:prstGeom prst="rect">
                      <a:avLst/>
                    </a:prstGeom>
                  </pic:spPr>
                </pic:pic>
              </a:graphicData>
            </a:graphic>
          </wp:inline>
        </w:drawing>
      </w:r>
    </w:p>
    <w:p>
      <w:pPr>
        <w:pStyle w:val="FigureCaption"/>
      </w:pPr>
      <w:r>
        <w:t xml:space="preserve">Figure 1. Heterogeneous biomedical and pharmacological data sources feeding a unified, harmonized analytics layer that supplies downstream modeling with structured, sequence, image, and graph representations. A second defining feature is contextual dependence. A laboratory value is meaningful only relative to a reference range, an assay readout only relative to controls, and a genomic variant only relative to a population baseline [4]. Stripping data of this context, as naive pipelines sometimes do, destroys the very information that makes it interpretable.</w:t>
      </w:r>
    </w:p>
    <w:p>
      <w:pPr>
        <w:pStyle w:val="Normal"/>
      </w:pPr>
      <w:r>
        <w:t xml:space="preserve">The scale and heterogeneity of biomedical data are frequently summarized through the lens of volume, velocity, variety, and veracity, but veracity deserves particular emphasis in this domain [5]. Biological measurements are noisy, batch effects are pervasive, and missingness is rarely random. Consequently, the trustworthiness of any downstream analysis is bounded by the quality and provenance of the underlying data, a theme that recurs throughout the analytic lifecycle [6].</w:t>
      </w:r>
    </w:p>
    <w:p>
      <w:pPr>
        <w:pStyle w:val="Normal"/>
      </w:pPr>
      <w:r>
        <w:t xml:space="preserve">It is worth dwelling on why these characteristics make biomedical data science qualitatively different from data science in many commercial domains. In a typical industrial setting, the data-generating process is at least partially controlled by the organization that will analyze it, so instrumentation, sampling, and labeling can be designed in advance to suit the analytic goal. In biomedicine the opposite is usually true: the analyst inherits data that was generated for clinical care, regulatory compliance, or a narrowly scoped experiment, and only later repurposes it for a question its collection was never optimized to answer [2]. This repurposing gap is the source of many subtle failures. A laboratory test ordered because a clinician already suspected disease will appear artificially predictive of that disease, not because the test causes or even precedes the diagnosis, but because the act of ordering it encodes the clinician's prior suspicion [19]. Recognizing that the data reflects human decisions as much as biological states is the first step toward analyses that are robust rather than merely accurate on paper.</w:t>
      </w:r>
    </w:p>
    <w:p>
      <w:pPr>
        <w:pStyle w:val="Normal"/>
      </w:pPr>
      <w:r>
        <w:t xml:space="preserve">A further consequence of this landscape is that data provenance must be treated as a first-class analytic concern rather than an afterthought. Every value in a biomedical dataset carries an implicit history: the instrument that produced it, the protocol under which it was collected, the software that processed it, and the human judgments that shaped its recording [6]. When these histories differ across records, comparisons between records can be confounded in ways that no amount of downstream modeling can repair. The remainder of this section examines the principal data types in turn, and in each case the recurring questions are the same: how was the data generated, what does its structure permit and preclude, and what latent biases must be respected before any inference is attempted [4].</w:t>
      </w:r>
    </w:p>
    <w:p>
      <w:pPr>
        <w:pStyle w:val="Heading2"/>
      </w:pPr>
      <w:r>
        <w:t xml:space="preserve">3.1.2 Genomic and Multi-Omics Data</w:t>
      </w:r>
    </w:p>
    <w:p>
      <w:pPr>
        <w:pStyle w:val="Normal"/>
      </w:pPr>
      <w:r>
        <w:t xml:space="preserve">Genomic data constitutes one of the largest and most rapidly growing categories in biomedicine. Next-generation sequencing produces raw reads that are aligned, variant-called, and annotated to yield catalogs of single-nucleotide variants, insertions, deletions, and structural rearrangements [7]. Beyond the genome, the broader family of omics technologies characterizes the transcriptome, proteome, metabolome, and epigenome, each providing a complementary molecular view of cellular state [8]. Transcriptomic profiling quantifies gene expression across tens of thousands of transcripts simultaneously, while proteomic and metabolomic assays measure the functional molecules that more directly reflect phenotype [9].</w:t>
      </w:r>
    </w:p>
    <w:p>
      <w:pPr>
        <w:pStyle w:val="Normal"/>
      </w:pPr>
      <w:r>
        <w:t xml:space="preserve">The analytic challenges of omics data are substantial. Datasets are characteristically high-dimensional, with the number of measured features vastly exceeding the number of samples, a regime that invites overfitting and demands careful regularization [10]. Batch effects introduced by reagent lots, sequencing runs, or processing dates can dominate the biological signal if not explicitly modeled and corrected [11]. Integrating multiple omics layers to build a systems-level picture is an active research frontier, requiring methods that respect the distinct noise structures and scales of each modality while extracting shared latent structure [12]. The reward for surmounting these challenges is considerable, since multi-omics integration has repeatedly revealed molecular subtypes of disease that are invisible to any single assay [13].</w:t>
      </w:r>
    </w:p>
    <w:p>
      <w:pPr>
        <w:pStyle w:val="Normal"/>
      </w:pPr>
      <w:r>
        <w:t xml:space="preserve">The high-dimensional, low-sample regime that characterizes omics data merits special attention because it inverts the intuitions that many analysts bring from other fields. When features outnumber samples by orders of magnitude, purely by chance some features will appear strongly associated with any outcome, and a model with sufficient flexibility can memorize the training data perfectly while learning nothing generalizable [10]. This is not a defect that more data of the same kind will cure quickly, since acquiring additional biological samples is often expensive, slow, or constrained by the rarity of the condition under study. The practical response combines aggressive dimensionality reduction, strong priors encoded through regularization, and biological structure such as pathway membership that constrains the hypothesis space to plausible configurations [9]. Analysts who ignore this regime and apply flexible models without restraint routinely produce findings that look spectacular in development and evaporate on replication.</w:t>
      </w:r>
    </w:p>
    <w:p>
      <w:pPr>
        <w:pStyle w:val="Normal"/>
      </w:pPr>
      <w:r>
        <w:t xml:space="preserve">Batch effects deserve equal vigilance because they are both pervasive and deceptive. A batch effect arises whenever a technical variable, such as the day of processing or the specific reagent lot, becomes correlated with the biological variable of interest [11]. If, for example, all diseased samples were processed in one batch and all controls in another, a model may achieve near-perfect discrimination by detecting the batch rather than the disease, a result that is worthless yet superficially impressive. Guarding against this requires deliberate experimental design that randomizes biological groups across batches, explicit statistical correction of known technical factors, and skeptical inspection of any result that seems too strong given the underlying biology [42]. These precautions are a recurring illustration of the chapter's central theme, that method sophistication cannot substitute for disciplined attention to how the data came to exist.</w:t>
      </w:r>
    </w:p>
    <w:p>
      <w:pPr>
        <w:pStyle w:val="Heading2"/>
      </w:pPr>
      <w:r>
        <w:t xml:space="preserve">3.1.3 Clinical and Electronic Health Record Data</w:t>
      </w:r>
    </w:p>
    <w:p>
      <w:pPr>
        <w:pStyle w:val="Normal"/>
      </w:pPr>
      <w:r>
        <w:t xml:space="preserve">Electronic health records represent the digital substrate of routine care and a rich, if messy, resource for research. They encompass structured elements such as diagnoses, procedures, medications, and laboratory results, alongside unstructured clinical narratives that capture the nuance of physician reasoning [14]. Structured data are typically encoded using standardized terminologies, yet mapping between coding systems and across institutions remains imperfect, complicating multi-site studies [15]. Clinical text, meanwhile, contains information often absent from structured fields but requires natural language processing to unlock, introducing its own sources of error and ambiguity [16].</w:t>
      </w:r>
    </w:p>
    <w:p>
      <w:pPr>
        <w:pStyle w:val="Normal"/>
      </w:pPr>
      <w:r>
        <w:t xml:space="preserve">A recurring difficulty with health record data is that it is generated for care and billing rather than research. Consequently, measurements are recorded when clinically indicated rather than at regular intervals, producing informative missingness in which the very absence of a value carries meaning [17]. Documentation practices vary across providers and institutions, and coding may reflect reimbursement incentives as much as clinical truth [18]. Analysts who treat health record data as if it were a clean experimental dataset risk drawing conclusions that reflect the idiosyncrasies of documentation rather than biology or clinical reality [19].</w:t>
      </w:r>
    </w:p>
    <w:p>
      <w:pPr>
        <w:pStyle w:val="Normal"/>
      </w:pPr>
      <w:r>
        <w:t xml:space="preserve">Phenotyping, the process of defining which patients have a given condition from the traces they leave in the record, is a deceptively hard problem that sits upstream of nearly every clinical analysis. A diagnosis code may be entered to justify a test that ultimately ruled the condition out, a chronic condition may be documented only intermittently, and the same patient may appear under multiple identifiers across systems [15]. Robust phenotype definitions therefore combine multiple sources of evidence, such as codes, medications, and laboratory values, and are validated against manual chart review before they are trusted [14]. The effort this requires is frequently underestimated, yet an analysis built on a poorly defined phenotype inherits that error irremediably, no matter how sophisticated the subsequent modeling. Free-text clinical narratives compound the challenge, since the information needed to disambiguate a phenotype often resides in prose that must be extracted with natural language processing whose own error rate propagates downstream [16]. Table 1 summarizes the major categories of biomedical and pharmacological data, their typical scale, and their characteristic analytic challenges.</w:t>
      </w:r>
    </w:p>
    <w:p>
      <w:pPr>
        <w:pStyle w:val="TableCaption"/>
      </w:pPr>
      <w:r>
        <w:t xml:space="preserve">Table 1. Principal categories of biomedical and pharmacological data.</w:t>
      </w:r>
    </w:p>
    <w:tbl>
      <w:tblPr>
        <w:tblStyle w:val="TableGrid"/>
        <w:tblW w:w="900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50"/>
        <w:gridCol w:w="2250"/>
        <w:gridCol w:w="2250"/>
        <w:gridCol w:w="2250"/>
      </w:tblGrid>
      <w:tr>
        <w:tc>
          <w:tcPr>
            <w:shd w:val="clear" w:color="auto" w:fill="D9E2F3"/>
          </w:tcPr>
          <w:p>
            <w:pPr>
              <w:jc w:val="center"/>
            </w:pPr>
            <w:r>
              <w:rPr>
                <w:b/>
              </w:rPr>
              <w:t xml:space="preserve">Data Category</w:t>
            </w:r>
          </w:p>
        </w:tc>
        <w:tc>
          <w:tcPr>
            <w:shd w:val="clear" w:color="auto" w:fill="D9E2F3"/>
          </w:tcPr>
          <w:p>
            <w:pPr>
              <w:jc w:val="center"/>
            </w:pPr>
            <w:r>
              <w:rPr>
                <w:b/>
              </w:rPr>
              <w:t xml:space="preserve">Representative Modalities</w:t>
            </w:r>
          </w:p>
        </w:tc>
        <w:tc>
          <w:tcPr>
            <w:shd w:val="clear" w:color="auto" w:fill="D9E2F3"/>
          </w:tcPr>
          <w:p>
            <w:pPr>
              <w:jc w:val="center"/>
            </w:pPr>
            <w:r>
              <w:rPr>
                <w:b/>
              </w:rPr>
              <w:t xml:space="preserve">Typical Scale</w:t>
            </w:r>
          </w:p>
        </w:tc>
        <w:tc>
          <w:tcPr>
            <w:shd w:val="clear" w:color="auto" w:fill="D9E2F3"/>
          </w:tcPr>
          <w:p>
            <w:pPr>
              <w:jc w:val="center"/>
            </w:pPr>
            <w:r>
              <w:rPr>
                <w:b/>
              </w:rPr>
              <w:t xml:space="preserve">Characteristic Challenges</w:t>
            </w:r>
          </w:p>
        </w:tc>
      </w:tr>
      <w:tr>
        <w:tc>
          <w:p>
            <w:pPr>
              <w:spacing w:after="40"/>
            </w:pPr>
            <w:r>
              <w:t xml:space="preserve">Genomic / Multi-omics</w:t>
            </w:r>
          </w:p>
        </w:tc>
        <w:tc>
          <w:p>
            <w:pPr>
              <w:spacing w:after="40"/>
            </w:pPr>
            <w:r>
              <w:t xml:space="preserve">Variants, expression, proteomics</w:t>
            </w:r>
          </w:p>
        </w:tc>
        <w:tc>
          <w:p>
            <w:pPr>
              <w:spacing w:after="40"/>
            </w:pPr>
            <w:r>
              <w:t xml:space="preserve">10^4 to 10^7 features per sample</w:t>
            </w:r>
          </w:p>
        </w:tc>
        <w:tc>
          <w:p>
            <w:pPr>
              <w:spacing w:after="40"/>
            </w:pPr>
            <w:r>
              <w:t xml:space="preserve">High dimensionality, batch effects</w:t>
            </w:r>
          </w:p>
        </w:tc>
      </w:tr>
      <w:tr>
        <w:tc>
          <w:p>
            <w:pPr>
              <w:spacing w:after="40"/>
            </w:pPr>
            <w:r>
              <w:t xml:space="preserve">Clinical / EHR</w:t>
            </w:r>
          </w:p>
        </w:tc>
        <w:tc>
          <w:p>
            <w:pPr>
              <w:spacing w:after="40"/>
            </w:pPr>
            <w:r>
              <w:t xml:space="preserve">Diagnoses, labs, notes, meds</w:t>
            </w:r>
          </w:p>
        </w:tc>
        <w:tc>
          <w:p>
            <w:pPr>
              <w:spacing w:after="40"/>
            </w:pPr>
            <w:r>
              <w:t xml:space="preserve">10^3 to 10^6 records per site</w:t>
            </w:r>
          </w:p>
        </w:tc>
        <w:tc>
          <w:p>
            <w:pPr>
              <w:spacing w:after="40"/>
            </w:pPr>
            <w:r>
              <w:t xml:space="preserve">Informative missingness, coding variability</w:t>
            </w:r>
          </w:p>
        </w:tc>
      </w:tr>
      <w:tr>
        <w:tc>
          <w:p>
            <w:pPr>
              <w:spacing w:after="40"/>
            </w:pPr>
            <w:r>
              <w:t xml:space="preserve">Medical imaging</w:t>
            </w:r>
          </w:p>
        </w:tc>
        <w:tc>
          <w:p>
            <w:pPr>
              <w:spacing w:after="40"/>
            </w:pPr>
            <w:r>
              <w:t xml:space="preserve">Radiology, pathology, retinal</w:t>
            </w:r>
          </w:p>
        </w:tc>
        <w:tc>
          <w:p>
            <w:pPr>
              <w:spacing w:after="40"/>
            </w:pPr>
            <w:r>
              <w:t xml:space="preserve">10^6 to 10^9 pixels per study</w:t>
            </w:r>
          </w:p>
        </w:tc>
        <w:tc>
          <w:p>
            <w:pPr>
              <w:spacing w:after="40"/>
            </w:pPr>
            <w:r>
              <w:t xml:space="preserve">Storage, annotation cost, artifacts</w:t>
            </w:r>
          </w:p>
        </w:tc>
      </w:tr>
      <w:tr>
        <w:tc>
          <w:p>
            <w:pPr>
              <w:spacing w:after="40"/>
            </w:pPr>
            <w:r>
              <w:t xml:space="preserve">Chemical / pharmacological</w:t>
            </w:r>
          </w:p>
        </w:tc>
        <w:tc>
          <w:p>
            <w:pPr>
              <w:spacing w:after="40"/>
            </w:pPr>
            <w:r>
              <w:t xml:space="preserve">Structures, assays, pharmacokinetics</w:t>
            </w:r>
          </w:p>
        </w:tc>
        <w:tc>
          <w:p>
            <w:pPr>
              <w:spacing w:after="40"/>
            </w:pPr>
            <w:r>
              <w:t xml:space="preserve">10^5 to 10^8 compounds</w:t>
            </w:r>
          </w:p>
        </w:tc>
        <w:tc>
          <w:p>
            <w:pPr>
              <w:spacing w:after="40"/>
            </w:pPr>
            <w:r>
              <w:t xml:space="preserve">Sparse labels, activity cliffs</w:t>
            </w:r>
          </w:p>
        </w:tc>
      </w:tr>
      <w:tr>
        <w:tc>
          <w:p>
            <w:pPr>
              <w:spacing w:after="40"/>
            </w:pPr>
            <w:r>
              <w:t xml:space="preserve">Real-world / wearable</w:t>
            </w:r>
          </w:p>
        </w:tc>
        <w:tc>
          <w:p>
            <w:pPr>
              <w:spacing w:after="40"/>
            </w:pPr>
            <w:r>
              <w:t xml:space="preserve">Signals, adherence, outcomes</w:t>
            </w:r>
          </w:p>
        </w:tc>
        <w:tc>
          <w:p>
            <w:pPr>
              <w:spacing w:after="40"/>
            </w:pPr>
            <w:r>
              <w:t xml:space="preserve">Continuous, longitudinal</w:t>
            </w:r>
          </w:p>
        </w:tc>
        <w:tc>
          <w:p>
            <w:pPr>
              <w:spacing w:after="40"/>
            </w:pPr>
            <w:r>
              <w:t xml:space="preserve">Noise, drift, consent and privacy</w:t>
            </w:r>
          </w:p>
        </w:tc>
      </w:tr>
    </w:tbl>
    <w:p>
      <w:pPr>
        <w:pStyle w:val="Heading2"/>
      </w:pPr>
      <w:r>
        <w:t xml:space="preserve">3.1.4 Medical Imaging Data</w:t>
      </w:r>
    </w:p>
    <w:p>
      <w:pPr>
        <w:pStyle w:val="Normal"/>
      </w:pPr>
      <w:r>
        <w:t xml:space="preserve">Medical imaging spans radiology, digital pathology, ophthalmology, and numerous other specialties, and it has become one of the most fertile grounds for data-driven methods [20]. A radiological study may comprise hundreds of high-resolution slices, and a single digitized pathology slide can contain billions of pixels, imposing formidable storage and computational demands [21]. Unlike tabular data, images encode information in spatial patterns that must be learned rather than specified, which is why deep convolutional and, more recently, transformer-based architectures have proven so influential in this space [22].</w:t>
      </w:r>
    </w:p>
    <w:p>
      <w:pPr>
        <w:pStyle w:val="Normal"/>
      </w:pPr>
      <w:r>
        <w:t xml:space="preserve">The principal bottleneck in imaging is not acquisition but annotation. Expert labels are expensive, time-consuming, and subject to inter-observer variability, so large curated datasets remain scarce relative to the raw imagery available [23]. Imaging data are also vulnerable to subtle artifacts and acquisition-related confounders; a model may inadvertently learn to recognize the scanner or institution rather than the pathology, a failure mode that only careful external validation can expose [24].</w:t>
      </w:r>
    </w:p>
    <w:p>
      <w:pPr>
        <w:pStyle w:val="Normal"/>
      </w:pPr>
      <w:r>
        <w:t xml:space="preserve">The scanner-shortcut problem is worth examining as a cautionary example that generalizes well beyond imaging. Deep networks are exquisitely sensitive to any feature that reliably predicts the label, and they have no preference for features that a clinician would consider medically relevant. If, in a multi-institution dataset, one hospital contributes most of the positive cases and its scanners impart a characteristic texture, the network may achieve excellent apparent accuracy by detecting that texture, effectively identifying the hospital rather than the disease [24]. Such a model can pass internal validation with flying colors and then fail catastrophically when deployed at a new site whose scanners it has never encountered. The episode illustrates why representative data, careful preprocessing that suppresses acquisition artifacts, and, above all, external validation are indispensable rather than optional [21]. It also underscores that high performance on a benchmark is evidence of learning something predictive, not evidence of learning the right thing. These considerations make imaging an instructive case study for the broader tension between predictive performance and genuine generalization.</w:t>
      </w:r>
    </w:p>
    <w:p>
      <w:pPr>
        <w:pStyle w:val="Heading2"/>
      </w:pPr>
      <w:r>
        <w:t xml:space="preserve">3.1.5 Chemical and Pharmacological Data</w:t>
      </w:r>
    </w:p>
    <w:p>
      <w:pPr>
        <w:pStyle w:val="Normal"/>
      </w:pPr>
      <w:r>
        <w:t xml:space="preserve">Pharmacological data science rests on structured descriptions of molecules and their interactions with biological targets. Chemical structures can be represented as line notations, connection tables, or molecular graphs, and this representational flexibility is central to how machine learning is applied in drug discovery [25]. High-throughput screening generates activity measurements for large compound libraries, while curated databases aggregate bioactivity, pharmacokinetic, and toxicity information across the published literature [26]. Together these resources support tasks ranging from virtual screening and property prediction to the modeling of drug-drug interactions and adverse events [27].</w:t>
      </w:r>
    </w:p>
    <w:p>
      <w:pPr>
        <w:pStyle w:val="Normal"/>
      </w:pPr>
      <w:r>
        <w:t xml:space="preserve">Pharmacological datasets present distinctive statistical hazards. Activity labels are often sparse and imbalanced, with far more inactive than active compounds, and the phenomenon of activity cliffs, in which minute structural changes produce large shifts in potency, undermines the smoothness assumptions of many algorithms [28]. Measurements aggregated from heterogeneous assays may not be directly comparable, and the chemical space actually explored by historical screening is a biased sample of the space that matters therapeutically [29]. Recognizing these biases is essential to avoid models that excel on retrospective benchmarks yet fail to prospectively discover novel chemistry [30].</w:t>
      </w:r>
    </w:p>
    <w:p>
      <w:pPr>
        <w:pStyle w:val="Normal"/>
      </w:pPr>
      <w:r>
        <w:t xml:space="preserve">The representation of molecules is itself a consequential modeling decision rather than a fixed input. A compound can be described by a linear string, by a vector of precomputed descriptors, by a fixed-radius fingerprint that enumerates substructures, or by a graph in which atoms are nodes and bonds are edges [25]. Each representation makes certain relationships easy to learn and others hard, and the choice interacts with the algorithm applied to it. Fingerprints and descriptors have the virtue of decades of medicinal-chemistry intuition behind them and remain strong baselines, while learned graph representations can, given sufficient data, discover features that no chemist thought to enumerate [29]. The practical lesson is that in pharmacological data science the boundary between data and model is porous, and a fair comparison of algorithms is meaningful only when the representation is held fixed or varied deliberately. This porousness recurs when historical screening bias is considered, since a model trained on the narrow slice of chemical space that past programs happened to explore will confidently extrapolate into regions where it has no basis for confidence, a limitation that prospective validation and uncertainty estimation help to expose [30].</w:t>
      </w:r>
    </w:p>
    <w:p>
      <w:pPr>
        <w:pStyle w:val="Heading2"/>
      </w:pPr>
      <w:r>
        <w:t xml:space="preserve">3.1.6 Real-World, Wearable, and Integrative Data</w:t>
      </w:r>
    </w:p>
    <w:p>
      <w:pPr>
        <w:pStyle w:val="Normal"/>
      </w:pPr>
      <w:r>
        <w:t xml:space="preserve">Beyond the clinic and laboratory, real-world data from insurance claims, patient registries, wearable sensors, and mobile applications increasingly complement traditional sources [31]. Wearables provide continuous physiological signals that capture health outside episodic clinical encounters, offering unprecedented temporal resolution but also introducing noise, sensor drift, and adherence-related gaps [32]. Real-world evidence derived from such sources is gaining acceptance for regulatory and pharmacovigilance purposes, provided its provenance and limitations are transparently characterized [33].</w:t>
      </w:r>
    </w:p>
    <w:p>
      <w:pPr>
        <w:pStyle w:val="Normal"/>
      </w:pPr>
      <w:r>
        <w:t xml:space="preserve">The ultimate aspiration of the field is integrative analysis that combines these disparate sources into a coherent picture of health and disease. Achieving this requires adherence to principles of findable, accessible, interoperable, and reusable data, together with common data models that allow information to be pooled across institutions without sacrificing meaning [34]. As Figure 1 makes clear, the harmonization layer that sits between raw sources and downstream analytics is not a mere technical convenience but the foundation on which all subsequent inference depends [35].</w:t>
      </w:r>
    </w:p>
    <w:p>
      <w:pPr>
        <w:pStyle w:val="Normal"/>
      </w:pPr>
      <w:r>
        <w:t xml:space="preserve">Common data models deserve emphasis because they operationalize interoperability at scale. By transforming heterogeneous source data into a shared schema with standardized vocabularies, they allow the same analysis to be executed unchanged across many institutions, with only aggregate results shared rather than raw records [34]. This federated pattern reconciles two otherwise competing demands, the statistical power that comes from large, diverse populations and the privacy and governance constraints that prevent data from leaving its home institution [33]. Yet standardization is never lossless. Mapping a local concept onto a shared vocabulary can blur distinctions that mattered locally, and analysts must understand the transformations their data has undergone before drawing conclusions from it [35]. Integration, in short, is a powerful enabler that introduces its own subtle assumptions, and the harmonization layer is best regarded as an active analytic component whose choices deserve the same scrutiny as any model [6].</w:t>
      </w:r>
    </w:p>
    <w:p>
      <w:pPr>
        <w:pStyle w:val="Normal"/>
      </w:pPr>
      <w:r>
        <w:t xml:space="preserve">Privacy and consent form an inescapable backdrop to all of this. Biomedical data is among the most sensitive information about a person, and its analysis is bounded by ethical and legal obligations that shape what can be collected, linked, and shared [33]. Techniques such as de-identification, secure computation, and differential privacy expand what is feasible while respecting these obligations, but they also constrain and sometimes degrade the data available for analysis, adding yet another dimension along which the analyst must reason carefully [31].</w:t>
      </w:r>
    </w:p>
    <w:p>
      <w:pPr>
        <w:pStyle w:val="Heading1"/>
      </w:pPr>
      <w:r>
        <w:t xml:space="preserve">3.2 Data Preprocessing, Feature Engineering, and Model Development</w:t>
      </w:r>
    </w:p>
    <w:p>
      <w:pPr>
        <w:pStyle w:val="Heading2"/>
      </w:pPr>
      <w:r>
        <w:t xml:space="preserve">3.2.1 From Raw Measurements to Analyzable Data</w:t>
      </w:r>
    </w:p>
    <w:p>
      <w:pPr>
        <w:pStyle w:val="Normal"/>
      </w:pPr>
      <w:r>
        <w:t xml:space="preserve">Raw biomedical data is almost never suitable for direct analysis. Preprocessing is the sequence of operations that transforms noisy, incomplete, and inconsistently formatted measurements into a clean, structured dataset, and it typically consumes the majority of effort in any project [36]. The stages of this transformation, depicted in Figure 2, begin with quality control and cleaning, proceed through normalization and imputation, and culminate in the construction of features suitable for modeling [37]. Errors introduced or left uncorrected at this stage propagate silently through every subsequent step, which is why preprocessing deserves the same rigor and documentation as the modeling itself [38].</w:t>
      </w:r>
    </w:p>
    <w:p>
      <w:pPr>
        <w:pStyle w:val="FigureImage"/>
      </w:pPr>
      <w:r>
        <w:drawing>
          <wp:inline xmlns:wp="http://schemas.openxmlformats.org/drawingml/2006/wordprocessingDrawing" distT="0" distB="0" distL="0" distR="0">
            <wp:extent cx="5486400" cy="3024553"/>
            <wp:effectExtent l="0" t="0" r="0" b="0"/>
            <wp:docPr id="1002" name="Figure_2_Pipelin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 name="Figure_2_Pipeline.png"/>
                    <pic:cNvPicPr/>
                  </pic:nvPicPr>
                  <pic:blipFill>
                    <a:blip xmlns:r="http://schemas.openxmlformats.org/officeDocument/2006/relationships" r:embed="rIdImg2"/>
                    <a:stretch>
                      <a:fillRect/>
                    </a:stretch>
                  </pic:blipFill>
                  <pic:spPr>
                    <a:xfrm>
                      <a:off x="0" y="0"/>
                      <a:ext cx="5486400" cy="3024553"/>
                    </a:xfrm>
                    <a:prstGeom prst="rect">
                      <a:avLst/>
                    </a:prstGeom>
                  </pic:spPr>
                </pic:pic>
              </a:graphicData>
            </a:graphic>
          </wp:inline>
        </w:drawing>
      </w:r>
    </w:p>
    <w:p>
      <w:pPr>
        <w:pStyle w:val="FigureCaption"/>
      </w:pPr>
      <w:r>
        <w:t xml:space="preserve">Figure 2. End-to-end modeling pipeline transforming raw biomedical data through cleaning, normalization, feature engineering, and selection into a validated, tuned model, with an iterative cross-validation feedback loop and representative engineered features by modality.</w:t>
      </w:r>
    </w:p>
    <w:p>
      <w:pPr>
        <w:pStyle w:val="Normal"/>
      </w:pPr>
      <w:r>
        <w:t xml:space="preserve">Quality control identifies and addresses implausible values, duplicated records, and technical failures. In sequencing, this includes filtering low-quality reads; in clinical data, it includes reconciling contradictory entries and flagging physiologically impossible measurements [39]. Cleaning is inherently domain-specific, and decisions made here embed assumptions that should be recorded explicitly rather than buried in code, since they materially affect the conclusions that follow [40].</w:t>
      </w:r>
    </w:p>
    <w:p>
      <w:pPr>
        <w:pStyle w:val="Heading2"/>
      </w:pPr>
      <w:r>
        <w:t xml:space="preserve">3.2.2 Normalization, Batch Correction, and Missing Data</w:t>
      </w:r>
    </w:p>
    <w:p>
      <w:pPr>
        <w:pStyle w:val="Normal"/>
      </w:pPr>
      <w:r>
        <w:t xml:space="preserve">Normalization places measurements on a comparable scale so that systematic technical differences do not masquerade as biological signal. In omics data, normalization corrects for differences in sequencing depth or total protein content, while in clinical data it may involve standardizing units and reference ranges [41]. Closely related is batch correction, which explicitly models and removes variation attributable to processing groups; failing to correct batch effects is a common and consequential error that can produce entirely spurious findings [42].</w:t>
      </w:r>
    </w:p>
    <w:p>
      <w:pPr>
        <w:pStyle w:val="Normal"/>
      </w:pPr>
      <w:r>
        <w:t xml:space="preserve">Missing data is ubiquitous and rarely random in biomedicine. The mechanism of missingness, whether completely at random, at random, or not at random, determines which handling strategies are valid, and misdiagnosing this mechanism can bias results severely [43]. Simple approaches such as complete-case analysis discard information and may introduce selection bias, whereas principled imputation methods, including multiple imputation and model-based approaches, preserve sample size while propagating uncertainty [44]. In health records especially, the pattern of missingness is often itself predictive, and thoughtfully engineered missingness indicators can capture clinically meaningful information [45].</w:t>
      </w:r>
    </w:p>
    <w:p>
      <w:pPr>
        <w:pStyle w:val="Normal"/>
      </w:pPr>
      <w:r>
        <w:t xml:space="preserve">The distinction among missingness mechanisms is not academic pedantry but a determinant of whether an analysis is valid. Data missing completely at random can be handled by relatively simple means without introducing bias, but this benign situation is uncommon in biomedicine. Far more often, data is missing not at random, meaning the probability that a value is absent depends on the unobserved value itself, as when the sickest patients are too unstable for a particular test to be performed [43]. In this setting, naive imputation can manufacture confident but wrong conclusions, and the honest response is to model the missingness process explicitly, to conduct sensitivity analyses that bound the influence of untestable assumptions, and to report the uncertainty that remains [44]. The paradoxical insight that the absence of a measurement can be more informative than its value is characteristic of clinical data and rewards analysts who treat missingness as signal to be modeled rather than noise to be discarded [45].</w:t>
      </w:r>
    </w:p>
    <w:p>
      <w:pPr>
        <w:pStyle w:val="Heading2"/>
      </w:pPr>
      <w:r>
        <w:t xml:space="preserve">3.2.3 Feature Engineering as Encoded Domain Knowledge</w:t>
      </w:r>
    </w:p>
    <w:p>
      <w:pPr>
        <w:pStyle w:val="Normal"/>
      </w:pPr>
      <w:r>
        <w:t xml:space="preserve">Feature engineering is the process of transforming cleaned data into representations that expose the structure relevant to a modeling task, and it remains one of the highest-leverage activities in biomedical data science [46]. Effective features encode domain knowledge, translating biological or chemical understanding into a form that algorithms can exploit. In pharmacology, molecular fingerprints and physicochemical descriptors convert chemical graphs into fixed-length vectors, while learned graph embeddings increasingly capture structural information automatically [47]. In omics, pathway-level aggregation summarizes thousands of individual measurements into biologically interpretable scores, reducing dimensionality while improving interpretability [1].</w:t>
      </w:r>
    </w:p>
    <w:p>
      <w:pPr>
        <w:pStyle w:val="Normal"/>
      </w:pPr>
      <w:r>
        <w:t xml:space="preserve">Clinical feature engineering frequently involves temporal aggregation, converting irregular sequences of measurements into summaries such as trends, variability, and time since last observation [2]. Imaging pipelines extract radiomic features that quantify texture and shape, or alternatively derive embeddings from deep networks that encode salient visual patterns [3]. The distinction between hand-crafted and learned features is increasingly blurred, with modern practice often combining explicit domain features and representation learning to capture both established knowledge and subtle patterns that elude manual specification [4]. Table 2 catalogs representative feature engineering techniques across the major data modalities.</w:t>
      </w:r>
    </w:p>
    <w:p>
      <w:pPr>
        <w:pStyle w:val="TableCaption"/>
      </w:pPr>
      <w:r>
        <w:t xml:space="preserve">Table 2. Representative feature engineering techniques by data modality.</w:t>
      </w:r>
    </w:p>
    <w:tbl>
      <w:tblPr>
        <w:tblStyle w:val="TableGrid"/>
        <w:tblW w:w="900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50"/>
        <w:gridCol w:w="2250"/>
        <w:gridCol w:w="2250"/>
        <w:gridCol w:w="2250"/>
      </w:tblGrid>
      <w:tr>
        <w:tc>
          <w:tcPr>
            <w:shd w:val="clear" w:color="auto" w:fill="D9E2F3"/>
          </w:tcPr>
          <w:p>
            <w:pPr>
              <w:jc w:val="center"/>
            </w:pPr>
            <w:r>
              <w:rPr>
                <w:b/>
              </w:rPr>
              <w:t xml:space="preserve">Modality</w:t>
            </w:r>
          </w:p>
        </w:tc>
        <w:tc>
          <w:tcPr>
            <w:shd w:val="clear" w:color="auto" w:fill="D9E2F3"/>
          </w:tcPr>
          <w:p>
            <w:pPr>
              <w:jc w:val="center"/>
            </w:pPr>
            <w:r>
              <w:rPr>
                <w:b/>
              </w:rPr>
              <w:t xml:space="preserve">Common Techniques</w:t>
            </w:r>
          </w:p>
        </w:tc>
        <w:tc>
          <w:tcPr>
            <w:shd w:val="clear" w:color="auto" w:fill="D9E2F3"/>
          </w:tcPr>
          <w:p>
            <w:pPr>
              <w:jc w:val="center"/>
            </w:pPr>
            <w:r>
              <w:rPr>
                <w:b/>
              </w:rPr>
              <w:t xml:space="preserve">Purpose</w:t>
            </w:r>
          </w:p>
        </w:tc>
        <w:tc>
          <w:tcPr>
            <w:shd w:val="clear" w:color="auto" w:fill="D9E2F3"/>
          </w:tcPr>
          <w:p>
            <w:pPr>
              <w:jc w:val="center"/>
            </w:pPr>
            <w:r>
              <w:rPr>
                <w:b/>
              </w:rPr>
              <w:t xml:space="preserve">Interpretability</w:t>
            </w:r>
          </w:p>
        </w:tc>
      </w:tr>
      <w:tr>
        <w:tc>
          <w:p>
            <w:pPr>
              <w:spacing w:after="40"/>
            </w:pPr>
            <w:r>
              <w:t xml:space="preserve">Genomic / omics</w:t>
            </w:r>
          </w:p>
        </w:tc>
        <w:tc>
          <w:p>
            <w:pPr>
              <w:spacing w:after="40"/>
            </w:pPr>
            <w:r>
              <w:t xml:space="preserve">Pathway scores, variant burden</w:t>
            </w:r>
          </w:p>
        </w:tc>
        <w:tc>
          <w:p>
            <w:pPr>
              <w:spacing w:after="40"/>
            </w:pPr>
            <w:r>
              <w:t xml:space="preserve">Reduce dimension, add biology</w:t>
            </w:r>
          </w:p>
        </w:tc>
        <w:tc>
          <w:p>
            <w:pPr>
              <w:spacing w:after="40"/>
            </w:pPr>
            <w:r>
              <w:t xml:space="preserve">High</w:t>
            </w:r>
          </w:p>
        </w:tc>
      </w:tr>
      <w:tr>
        <w:tc>
          <w:p>
            <w:pPr>
              <w:spacing w:after="40"/>
            </w:pPr>
            <w:r>
              <w:t xml:space="preserve">Chemical</w:t>
            </w:r>
          </w:p>
        </w:tc>
        <w:tc>
          <w:p>
            <w:pPr>
              <w:spacing w:after="40"/>
            </w:pPr>
            <w:r>
              <w:t xml:space="preserve">Fingerprints, descriptors, graph embeddings</w:t>
            </w:r>
          </w:p>
        </w:tc>
        <w:tc>
          <w:p>
            <w:pPr>
              <w:spacing w:after="40"/>
            </w:pPr>
            <w:r>
              <w:t xml:space="preserve">Encode structure and properties</w:t>
            </w:r>
          </w:p>
        </w:tc>
        <w:tc>
          <w:p>
            <w:pPr>
              <w:spacing w:after="40"/>
            </w:pPr>
            <w:r>
              <w:t xml:space="preserve">Moderate</w:t>
            </w:r>
          </w:p>
        </w:tc>
      </w:tr>
      <w:tr>
        <w:tc>
          <w:p>
            <w:pPr>
              <w:spacing w:after="40"/>
            </w:pPr>
            <w:r>
              <w:t xml:space="preserve">Clinical / EHR</w:t>
            </w:r>
          </w:p>
        </w:tc>
        <w:tc>
          <w:p>
            <w:pPr>
              <w:spacing w:after="40"/>
            </w:pPr>
            <w:r>
              <w:t xml:space="preserve">Temporal aggregates, comorbidity indices</w:t>
            </w:r>
          </w:p>
        </w:tc>
        <w:tc>
          <w:p>
            <w:pPr>
              <w:spacing w:after="40"/>
            </w:pPr>
            <w:r>
              <w:t xml:space="preserve">Summarize irregular time series</w:t>
            </w:r>
          </w:p>
        </w:tc>
        <w:tc>
          <w:p>
            <w:pPr>
              <w:spacing w:after="40"/>
            </w:pPr>
            <w:r>
              <w:t xml:space="preserve">High</w:t>
            </w:r>
          </w:p>
        </w:tc>
      </w:tr>
      <w:tr>
        <w:tc>
          <w:p>
            <w:pPr>
              <w:spacing w:after="40"/>
            </w:pPr>
            <w:r>
              <w:t xml:space="preserve">Imaging</w:t>
            </w:r>
          </w:p>
        </w:tc>
        <w:tc>
          <w:p>
            <w:pPr>
              <w:spacing w:after="40"/>
            </w:pPr>
            <w:r>
              <w:t xml:space="preserve">Radiomics, CNN or transformer embeddings</w:t>
            </w:r>
          </w:p>
        </w:tc>
        <w:tc>
          <w:p>
            <w:pPr>
              <w:spacing w:after="40"/>
            </w:pPr>
            <w:r>
              <w:t xml:space="preserve">Capture spatial patterns</w:t>
            </w:r>
          </w:p>
        </w:tc>
        <w:tc>
          <w:p>
            <w:pPr>
              <w:spacing w:after="40"/>
            </w:pPr>
            <w:r>
              <w:t xml:space="preserve">Low to moderate</w:t>
            </w:r>
          </w:p>
        </w:tc>
      </w:tr>
      <w:tr>
        <w:tc>
          <w:p>
            <w:pPr>
              <w:spacing w:after="40"/>
            </w:pPr>
            <w:r>
              <w:t xml:space="preserve">Signals</w:t>
            </w:r>
          </w:p>
        </w:tc>
        <w:tc>
          <w:p>
            <w:pPr>
              <w:spacing w:after="40"/>
            </w:pPr>
            <w:r>
              <w:t xml:space="preserve">Spectral and statistical descriptors</w:t>
            </w:r>
          </w:p>
        </w:tc>
        <w:tc>
          <w:p>
            <w:pPr>
              <w:spacing w:after="40"/>
            </w:pPr>
            <w:r>
              <w:t xml:space="preserve">Characterize waveforms</w:t>
            </w:r>
          </w:p>
        </w:tc>
        <w:tc>
          <w:p>
            <w:pPr>
              <w:spacing w:after="40"/>
            </w:pPr>
            <w:r>
              <w:t xml:space="preserve">Moderate</w:t>
            </w:r>
          </w:p>
        </w:tc>
      </w:tr>
    </w:tbl>
    <w:p>
      <w:pPr>
        <w:pStyle w:val="Heading2"/>
      </w:pPr>
      <w:r>
        <w:t xml:space="preserve">3.2.4 Dimensionality Reduction and Feature Selection</w:t>
      </w:r>
    </w:p>
    <w:p>
      <w:pPr>
        <w:pStyle w:val="Normal"/>
      </w:pPr>
      <w:r>
        <w:t xml:space="preserve">The high dimensionality of biomedical data makes feature selection and dimensionality reduction indispensable. When features vastly outnumber samples, unconstrained models overfit, capturing noise rather than signal and generalizing poorly to new data [5]. Feature selection addresses this by retaining only informative variables, using filter methods based on univariate association, wrapper methods that evaluate subsets against model performance, or embedded methods such as regularized regression that perform selection during training [6].</w:t>
      </w:r>
    </w:p>
    <w:p>
      <w:pPr>
        <w:pStyle w:val="Normal"/>
      </w:pPr>
      <w:r>
        <w:t xml:space="preserve">Dimensionality reduction takes a complementary approach, projecting data into a lower-dimensional space that preserves salient structure. Linear techniques remain valuable for their interpretability and stability, while nonlinear manifold methods can reveal complex structure useful for visualization and exploratory analysis [7]. The choice among these strategies is not merely technical; selecting too aggressively can discard genuine signal, while selecting too permissively reintroduces the curse of dimensionality, and the appropriate balance depends on sample size, signal strength, and the downstream objective [8].</w:t>
      </w:r>
    </w:p>
    <w:p>
      <w:pPr>
        <w:pStyle w:val="Normal"/>
      </w:pPr>
      <w:r>
        <w:t xml:space="preserve">A frequently overlooked hazard in feature selection is that the selection step itself is part of the model and must be validated as such. When features are chosen by examining their association with the outcome across the entire dataset before cross-validation begins, information about the test folds leaks into the selection, and the resulting performance estimate is optimistically biased [40]. The correct procedure nests feature selection inside the cross-validation loop, repeating it afresh on each training partition so that the evaluation reflects the full pipeline the model would follow in deployment [6]. This discipline is inconvenient and computationally heavier, which is precisely why it is so often skipped, and its omission is a leading contributor to the gap between reported and realized performance. The same principle applies to any data-dependent transformation, reinforcing the pipeline discipline discussed later in the context of leakage [40].</w:t>
      </w:r>
    </w:p>
    <w:p>
      <w:pPr>
        <w:pStyle w:val="Heading2"/>
      </w:pPr>
      <w:r>
        <w:t xml:space="preserve">3.2.5 Model Development and Selection</w:t>
      </w:r>
    </w:p>
    <w:p>
      <w:pPr>
        <w:pStyle w:val="Normal"/>
      </w:pPr>
      <w:r>
        <w:t xml:space="preserve">Model development translates engineered features into predictive or mechanistic understanding, and the space of available methods is broad. Classical statistical models such as regularized regression offer interpretability and calibrated estimates that remain valuable when transparency is paramount [9]. Ensemble tree methods, particularly gradient boosting, frequently deliver strong performance on structured tabular data and have become a default choice for many clinical and pharmacological prediction tasks [10]. Deep neural networks excel where raw high-dimensional inputs such as images, sequences, and molecular graphs contain patterns too complex for manual feature specification [11].</w:t>
      </w:r>
    </w:p>
    <w:p>
      <w:pPr>
        <w:pStyle w:val="Normal"/>
      </w:pPr>
      <w:r>
        <w:t xml:space="preserve">No single algorithm dominates across the diverse tasks of biomedical data science, a reality consistent with the broader principle that model choice must be matched to data structure and objective [12]. As Figure 3 illustrates, the relative performance of model families varies systematically with the prediction task, and the appropriate choice depends on the balance among accuracy, interpretability, data volume, and deployment constraints [13].</w:t>
      </w:r>
    </w:p>
    <w:p>
      <w:pPr>
        <w:pStyle w:val="Normal"/>
      </w:pPr>
      <w:r>
        <w:t xml:space="preserve">The temptation to reach immediately for the most powerful available architecture should be resisted in favor of a considered match between method and problem. On the moderate-sized, structured tabular datasets that dominate clinical prediction, regularized regression and gradient-boosted trees frequently match or exceed deep networks while offering greater transparency and far lower data requirements [10]. Deep learning earns its keep where the raw input is high-dimensional and structured in ways that defy manual feature specification, as in imaging, sequence, and molecular-graph tasks, and where enough labeled data exists to fit models with millions of parameters without overfitting [11]. Graph neural networks are a natural fit for molecular problems precisely because they operate directly on the connectivity that chemists reason about [25]. Beyond raw accuracy, the deployment context imposes its own constraints: a model that must run on a wearable device, explain itself to a clinician, or provide calibrated uncertainty for a risk decision may rationally trade a few points of discrimination for properties that make it usable and safe [11]. Model development is inherently iterative, and the cross-validation feedback loop shown in Figure 2 emphasizes that feature engineering, model selection, and evaluation are revisited repeatedly rather than executed once [14]. Table 3 compares major model families across the criteria that most influence their selection in practice.</w:t>
      </w:r>
    </w:p>
    <w:p>
      <w:pPr>
        <w:pStyle w:val="FigureImage"/>
      </w:pPr>
      <w:r>
        <w:drawing>
          <wp:inline xmlns:wp="http://schemas.openxmlformats.org/drawingml/2006/wordprocessingDrawing" distT="0" distB="0" distL="0" distR="0">
            <wp:extent cx="5486400" cy="3248526"/>
            <wp:effectExtent l="0" t="0" r="0" b="0"/>
            <wp:docPr id="1003" name="Figure_3_Performan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 name="Figure_3_Performance.png"/>
                    <pic:cNvPicPr/>
                  </pic:nvPicPr>
                  <pic:blipFill>
                    <a:blip xmlns:r="http://schemas.openxmlformats.org/officeDocument/2006/relationships" r:embed="rIdImg3"/>
                    <a:stretch>
                      <a:fillRect/>
                    </a:stretch>
                  </pic:blipFill>
                  <pic:spPr>
                    <a:xfrm>
                      <a:off x="0" y="0"/>
                      <a:ext cx="5486400" cy="3248526"/>
                    </a:xfrm>
                    <a:prstGeom prst="rect">
                      <a:avLst/>
                    </a:prstGeom>
                  </pic:spPr>
                </pic:pic>
              </a:graphicData>
            </a:graphic>
          </wp:inline>
        </w:drawing>
      </w:r>
    </w:p>
    <w:p>
      <w:pPr>
        <w:pStyle w:val="FigureCaption"/>
      </w:pPr>
      <w:r>
        <w:t xml:space="preserve">Figure 3. Comparative discrimination (AUROC) of three representative model families across four biomedical prediction tasks, illustrating that no single family dominates uniformly and that task structure governs the appropriate choice.</w:t>
      </w:r>
    </w:p>
    <w:p>
      <w:pPr>
        <w:pStyle w:val="TableCaption"/>
      </w:pPr>
      <w:r>
        <w:t xml:space="preserve">Table 3. Comparison of model families for biomedical and pharmacological tasks.</w:t>
      </w:r>
    </w:p>
    <w:tbl>
      <w:tblPr>
        <w:tblStyle w:val="TableGrid"/>
        <w:tblW w:w="900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50"/>
        <w:gridCol w:w="2250"/>
        <w:gridCol w:w="2250"/>
        <w:gridCol w:w="2250"/>
      </w:tblGrid>
      <w:tr>
        <w:tc>
          <w:tcPr>
            <w:shd w:val="clear" w:color="auto" w:fill="D9E2F3"/>
          </w:tcPr>
          <w:p>
            <w:pPr>
              <w:jc w:val="center"/>
            </w:pPr>
            <w:r>
              <w:rPr>
                <w:b/>
              </w:rPr>
              <w:t xml:space="preserve">Model Family</w:t>
            </w:r>
          </w:p>
        </w:tc>
        <w:tc>
          <w:tcPr>
            <w:shd w:val="clear" w:color="auto" w:fill="D9E2F3"/>
          </w:tcPr>
          <w:p>
            <w:pPr>
              <w:jc w:val="center"/>
            </w:pPr>
            <w:r>
              <w:rPr>
                <w:b/>
              </w:rPr>
              <w:t xml:space="preserve">Strengths</w:t>
            </w:r>
          </w:p>
        </w:tc>
        <w:tc>
          <w:tcPr>
            <w:shd w:val="clear" w:color="auto" w:fill="D9E2F3"/>
          </w:tcPr>
          <w:p>
            <w:pPr>
              <w:jc w:val="center"/>
            </w:pPr>
            <w:r>
              <w:rPr>
                <w:b/>
              </w:rPr>
              <w:t xml:space="preserve">Limitations</w:t>
            </w:r>
          </w:p>
        </w:tc>
        <w:tc>
          <w:tcPr>
            <w:shd w:val="clear" w:color="auto" w:fill="D9E2F3"/>
          </w:tcPr>
          <w:p>
            <w:pPr>
              <w:jc w:val="center"/>
            </w:pPr>
            <w:r>
              <w:rPr>
                <w:b/>
              </w:rPr>
              <w:t xml:space="preserve">Best-Suited Data</w:t>
            </w:r>
          </w:p>
        </w:tc>
      </w:tr>
      <w:tr>
        <w:tc>
          <w:p>
            <w:pPr>
              <w:spacing w:after="40"/>
            </w:pPr>
            <w:r>
              <w:t xml:space="preserve">Regularized regression</w:t>
            </w:r>
          </w:p>
        </w:tc>
        <w:tc>
          <w:p>
            <w:pPr>
              <w:spacing w:after="40"/>
            </w:pPr>
            <w:r>
              <w:t xml:space="preserve">Interpretable, calibrated, stable</w:t>
            </w:r>
          </w:p>
        </w:tc>
        <w:tc>
          <w:p>
            <w:pPr>
              <w:spacing w:after="40"/>
            </w:pPr>
            <w:r>
              <w:t xml:space="preserve">Limited nonlinearity</w:t>
            </w:r>
          </w:p>
        </w:tc>
        <w:tc>
          <w:p>
            <w:pPr>
              <w:spacing w:after="40"/>
            </w:pPr>
            <w:r>
              <w:t xml:space="preserve">Moderate-dimensional tabular</w:t>
            </w:r>
          </w:p>
        </w:tc>
      </w:tr>
      <w:tr>
        <w:tc>
          <w:p>
            <w:pPr>
              <w:spacing w:after="40"/>
            </w:pPr>
            <w:r>
              <w:t xml:space="preserve">Gradient-boosted trees</w:t>
            </w:r>
          </w:p>
        </w:tc>
        <w:tc>
          <w:p>
            <w:pPr>
              <w:spacing w:after="40"/>
            </w:pPr>
            <w:r>
              <w:t xml:space="preserve">Strong tabular accuracy, robust</w:t>
            </w:r>
          </w:p>
        </w:tc>
        <w:tc>
          <w:p>
            <w:pPr>
              <w:spacing w:after="40"/>
            </w:pPr>
            <w:r>
              <w:t xml:space="preserve">Less interpretable, tabular only</w:t>
            </w:r>
          </w:p>
        </w:tc>
        <w:tc>
          <w:p>
            <w:pPr>
              <w:spacing w:after="40"/>
            </w:pPr>
            <w:r>
              <w:t xml:space="preserve">Structured clinical and assay</w:t>
            </w:r>
          </w:p>
        </w:tc>
      </w:tr>
      <w:tr>
        <w:tc>
          <w:p>
            <w:pPr>
              <w:spacing w:after="40"/>
            </w:pPr>
            <w:r>
              <w:t xml:space="preserve">Deep neural networks</w:t>
            </w:r>
          </w:p>
        </w:tc>
        <w:tc>
          <w:p>
            <w:pPr>
              <w:spacing w:after="40"/>
            </w:pPr>
            <w:r>
              <w:t xml:space="preserve">Learns complex representations</w:t>
            </w:r>
          </w:p>
        </w:tc>
        <w:tc>
          <w:p>
            <w:pPr>
              <w:spacing w:after="40"/>
            </w:pPr>
            <w:r>
              <w:t xml:space="preserve">Data-hungry, opaque</w:t>
            </w:r>
          </w:p>
        </w:tc>
        <w:tc>
          <w:p>
            <w:pPr>
              <w:spacing w:after="40"/>
            </w:pPr>
            <w:r>
              <w:t xml:space="preserve">Images, sequences, graphs</w:t>
            </w:r>
          </w:p>
        </w:tc>
      </w:tr>
      <w:tr>
        <w:tc>
          <w:p>
            <w:pPr>
              <w:spacing w:after="40"/>
            </w:pPr>
            <w:r>
              <w:t xml:space="preserve">Graph neural networks</w:t>
            </w:r>
          </w:p>
        </w:tc>
        <w:tc>
          <w:p>
            <w:pPr>
              <w:spacing w:after="40"/>
            </w:pPr>
            <w:r>
              <w:t xml:space="preserve">Native molecular representation</w:t>
            </w:r>
          </w:p>
        </w:tc>
        <w:tc>
          <w:p>
            <w:pPr>
              <w:spacing w:after="40"/>
            </w:pPr>
            <w:r>
              <w:t xml:space="preserve">Training complexity</w:t>
            </w:r>
          </w:p>
        </w:tc>
        <w:tc>
          <w:p>
            <w:pPr>
              <w:spacing w:after="40"/>
            </w:pPr>
            <w:r>
              <w:t xml:space="preserve">Chemical and interaction graphs</w:t>
            </w:r>
          </w:p>
        </w:tc>
      </w:tr>
      <w:tr>
        <w:tc>
          <w:p>
            <w:pPr>
              <w:spacing w:after="40"/>
            </w:pPr>
            <w:r>
              <w:t xml:space="preserve">Probabilistic models</w:t>
            </w:r>
          </w:p>
        </w:tc>
        <w:tc>
          <w:p>
            <w:pPr>
              <w:spacing w:after="40"/>
            </w:pPr>
            <w:r>
              <w:t xml:space="preserve">Uncertainty quantification</w:t>
            </w:r>
          </w:p>
        </w:tc>
        <w:tc>
          <w:p>
            <w:pPr>
              <w:spacing w:after="40"/>
            </w:pPr>
            <w:r>
              <w:t xml:space="preserve">Computational cost</w:t>
            </w:r>
          </w:p>
        </w:tc>
        <w:tc>
          <w:p>
            <w:pPr>
              <w:spacing w:after="40"/>
            </w:pPr>
            <w:r>
              <w:t xml:space="preserve">Small data, risk estimation</w:t>
            </w:r>
          </w:p>
        </w:tc>
      </w:tr>
    </w:tbl>
    <w:p>
      <w:pPr>
        <w:pStyle w:val="Heading2"/>
      </w:pPr>
      <w:r>
        <w:t xml:space="preserve">3.2.6 Hyperparameter Tuning and Guarding Against Leakage</w:t>
      </w:r>
    </w:p>
    <w:p>
      <w:pPr>
        <w:pStyle w:val="Normal"/>
      </w:pPr>
      <w:r>
        <w:t xml:space="preserve">Modern models expose numerous hyperparameters that govern their capacity and behavior, and their systematic tuning materially affects performance. Search strategies range from exhaustive grid exploration to more efficient randomized and Bayesian approaches that concentrate effort on promising regions of the configuration space [15]. Crucially, tuning must occur within a validation framework that does not contaminate the final performance estimate, since evaluating many configurations on the same held-out data effectively overfits to it [16].</w:t>
      </w:r>
    </w:p>
    <w:p>
      <w:pPr>
        <w:pStyle w:val="Normal"/>
      </w:pPr>
      <w:r>
        <w:t xml:space="preserve">The most insidious threat to valid model development is data leakage, in which information from outside the training set inadvertently informs the model, producing optimistic estimates that collapse in deployment [17]. Leakage arises in subtle ways: normalizing or imputing using statistics computed over the entire dataset before splitting, allowing measurements from the same patient to appear in both training and test partitions, or engineering features that encode the outcome [18]. Preventing leakage requires that all data-dependent transformations be fit only on training data and applied to validation data, a discipline that must be enforced structurally within the pipeline rather than relying on manual vigilance [19].</w:t>
      </w:r>
    </w:p>
    <w:p>
      <w:pPr>
        <w:pStyle w:val="Normal"/>
      </w:pPr>
      <w:r>
        <w:t xml:space="preserve">Leakage in biomedical data often exploits the structure that makes the data valuable. Because patients contribute multiple records over time, a random split that scatters a single patient's observations across training and test sets lets the model memorize individuals rather than learn generalizable patterns, so grouped splitting that keeps each patient wholly within one partition is essential [40]. Temporal leakage is subtler still: a feature that is only knowable after the outcome has occurred, such as a treatment given in response to the event being predicted, can render a model useless in prospective use despite flawless retrospective accuracy [17]. Because these traps are easy to fall into and hard to detect after the fact, the most reliable defense is architectural. Encapsulating the entire sequence of transformations within a single pipeline object that is fit only on training folds ensures that no test information can influence any step, and it makes the guarantee inspectable rather than dependent on the analyst remembering to do the right thing at every stage [19]. Table 4, introduced in the next section, situates these development-time safeguards within the wider taxonomy of validation.</w:t>
      </w:r>
    </w:p>
    <w:p>
      <w:pPr>
        <w:pStyle w:val="Heading1"/>
      </w:pPr>
      <w:r>
        <w:t xml:space="preserve">3.3 Model Validation, Explainability, and Reproducibility</w:t>
      </w:r>
    </w:p>
    <w:p>
      <w:pPr>
        <w:pStyle w:val="Heading2"/>
      </w:pPr>
      <w:r>
        <w:t xml:space="preserve">3.3.1 The Imperative of Rigorous Validation</w:t>
      </w:r>
    </w:p>
    <w:p>
      <w:pPr>
        <w:pStyle w:val="Normal"/>
      </w:pPr>
      <w:r>
        <w:t xml:space="preserve">A model's performance on the data used to build it is a poor guide to its behavior on new data, and this gap is especially dangerous in biomedicine, where erroneous predictions can harm patients or misdirect costly research [20]. Rigorous validation is therefore not an optional final step but a central pillar of trustworthy data science, as depicted in Figure 4 [21]. The foundational tool is cross-validation, in which data is repeatedly partitioned so that every observation serves in turn for both training and evaluation, yielding a more stable estimate of generalization than a single split [22].</w:t>
      </w:r>
    </w:p>
    <w:p>
      <w:pPr>
        <w:pStyle w:val="FigureImage"/>
      </w:pPr>
      <w:r>
        <w:drawing>
          <wp:inline xmlns:wp="http://schemas.openxmlformats.org/drawingml/2006/wordprocessingDrawing" distT="0" distB="0" distL="0" distR="0">
            <wp:extent cx="5486400" cy="3320715"/>
            <wp:effectExtent l="0" t="0" r="0" b="0"/>
            <wp:docPr id="1004" name="Figure_4_Trust_Framewor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 name="Figure_4_Trust_Framework.png"/>
                    <pic:cNvPicPr/>
                  </pic:nvPicPr>
                  <pic:blipFill>
                    <a:blip xmlns:r="http://schemas.openxmlformats.org/officeDocument/2006/relationships" r:embed="rIdImg4"/>
                    <a:stretch>
                      <a:fillRect/>
                    </a:stretch>
                  </pic:blipFill>
                  <pic:spPr>
                    <a:xfrm>
                      <a:off x="0" y="0"/>
                      <a:ext cx="5486400" cy="3320715"/>
                    </a:xfrm>
                    <a:prstGeom prst="rect">
                      <a:avLst/>
                    </a:prstGeom>
                  </pic:spPr>
                </pic:pic>
              </a:graphicData>
            </a:graphic>
          </wp:inline>
        </w:drawing>
      </w:r>
    </w:p>
    <w:p>
      <w:pPr>
        <w:pStyle w:val="FigureCaption"/>
      </w:pPr>
      <w:r>
        <w:t xml:space="preserve">Figure 4. The three interdependent pillars of trustworthy biomedical models, validation, explainability, and reproducibility, that together support regulatory-grade, deployable clinical and pharmacological models.</w:t>
      </w:r>
    </w:p>
    <w:p>
      <w:pPr>
        <w:pStyle w:val="Normal"/>
      </w:pPr>
      <w:r>
        <w:t xml:space="preserve">Cross-validation alone is insufficient when the goal is deployment across settings. Internal validation estimates performance on data drawn from the same distribution as the training set, but external validation on independent cohorts, institutions, or time periods is what reveals whether a model has learned genuine biology or merely the peculiarities of its development data [23]. Temporal validation, in which a model is tested on data collected after its training period, is particularly informative because it mimics the prospective conditions of real use and exposes vulnerability to distributional drift [24]. Table 4 summarizes the principal validation strategies, the questions they answer, and their limitations.</w:t>
      </w:r>
    </w:p>
    <w:p>
      <w:pPr>
        <w:pStyle w:val="TableCaption"/>
      </w:pPr>
      <w:r>
        <w:t xml:space="preserve">Table 4. Validation strategies and the questions they address.</w:t>
      </w:r>
    </w:p>
    <w:tbl>
      <w:tblPr>
        <w:tblStyle w:val="TableGrid"/>
        <w:tblW w:w="900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000"/>
        <w:gridCol w:w="3000"/>
        <w:gridCol w:w="3000"/>
      </w:tblGrid>
      <w:tr>
        <w:tc>
          <w:tcPr>
            <w:shd w:val="clear" w:color="auto" w:fill="D9E2F3"/>
          </w:tcPr>
          <w:p>
            <w:pPr>
              <w:jc w:val="center"/>
            </w:pPr>
            <w:r>
              <w:rPr>
                <w:b/>
              </w:rPr>
              <w:t xml:space="preserve">Validation Strategy</w:t>
            </w:r>
          </w:p>
        </w:tc>
        <w:tc>
          <w:tcPr>
            <w:shd w:val="clear" w:color="auto" w:fill="D9E2F3"/>
          </w:tcPr>
          <w:p>
            <w:pPr>
              <w:jc w:val="center"/>
            </w:pPr>
            <w:r>
              <w:rPr>
                <w:b/>
              </w:rPr>
              <w:t xml:space="preserve">Question Answered</w:t>
            </w:r>
          </w:p>
        </w:tc>
        <w:tc>
          <w:tcPr>
            <w:shd w:val="clear" w:color="auto" w:fill="D9E2F3"/>
          </w:tcPr>
          <w:p>
            <w:pPr>
              <w:jc w:val="center"/>
            </w:pPr>
            <w:r>
              <w:rPr>
                <w:b/>
              </w:rPr>
              <w:t xml:space="preserve">Key Limitation</w:t>
            </w:r>
          </w:p>
        </w:tc>
      </w:tr>
      <w:tr>
        <w:tc>
          <w:p>
            <w:pPr>
              <w:spacing w:after="40"/>
            </w:pPr>
            <w:r>
              <w:t xml:space="preserve">Cross-validation</w:t>
            </w:r>
          </w:p>
        </w:tc>
        <w:tc>
          <w:p>
            <w:pPr>
              <w:spacing w:after="40"/>
            </w:pPr>
            <w:r>
              <w:t xml:space="preserve">How stable is performance on similar data</w:t>
            </w:r>
          </w:p>
        </w:tc>
        <w:tc>
          <w:p>
            <w:pPr>
              <w:spacing w:after="40"/>
            </w:pPr>
            <w:r>
              <w:t xml:space="preserve">Assumes single distribution</w:t>
            </w:r>
          </w:p>
        </w:tc>
      </w:tr>
      <w:tr>
        <w:tc>
          <w:p>
            <w:pPr>
              <w:spacing w:after="40"/>
            </w:pPr>
            <w:r>
              <w:t xml:space="preserve">Hold-out test set</w:t>
            </w:r>
          </w:p>
        </w:tc>
        <w:tc>
          <w:p>
            <w:pPr>
              <w:spacing w:after="40"/>
            </w:pPr>
            <w:r>
              <w:t xml:space="preserve">Performance on unseen same-source data</w:t>
            </w:r>
          </w:p>
        </w:tc>
        <w:tc>
          <w:p>
            <w:pPr>
              <w:spacing w:after="40"/>
            </w:pPr>
            <w:r>
              <w:t xml:space="preserve">Sensitive to split, single estimate</w:t>
            </w:r>
          </w:p>
        </w:tc>
      </w:tr>
      <w:tr>
        <w:tc>
          <w:p>
            <w:pPr>
              <w:spacing w:after="40"/>
            </w:pPr>
            <w:r>
              <w:t xml:space="preserve">External cohort</w:t>
            </w:r>
          </w:p>
        </w:tc>
        <w:tc>
          <w:p>
            <w:pPr>
              <w:spacing w:after="40"/>
            </w:pPr>
            <w:r>
              <w:t xml:space="preserve">Does it transfer across sites</w:t>
            </w:r>
          </w:p>
        </w:tc>
        <w:tc>
          <w:p>
            <w:pPr>
              <w:spacing w:after="40"/>
            </w:pPr>
            <w:r>
              <w:t xml:space="preserve">Requires independent data</w:t>
            </w:r>
          </w:p>
        </w:tc>
      </w:tr>
      <w:tr>
        <w:tc>
          <w:p>
            <w:pPr>
              <w:spacing w:after="40"/>
            </w:pPr>
            <w:r>
              <w:t xml:space="preserve">Temporal validation</w:t>
            </w:r>
          </w:p>
        </w:tc>
        <w:tc>
          <w:p>
            <w:pPr>
              <w:spacing w:after="40"/>
            </w:pPr>
            <w:r>
              <w:t xml:space="preserve">Does it survive over time</w:t>
            </w:r>
          </w:p>
        </w:tc>
        <w:tc>
          <w:p>
            <w:pPr>
              <w:spacing w:after="40"/>
            </w:pPr>
            <w:r>
              <w:t xml:space="preserve">Needs longitudinal data</w:t>
            </w:r>
          </w:p>
        </w:tc>
      </w:tr>
      <w:tr>
        <w:tc>
          <w:p>
            <w:pPr>
              <w:spacing w:after="40"/>
            </w:pPr>
            <w:r>
              <w:t xml:space="preserve">Prospective evaluation</w:t>
            </w:r>
          </w:p>
        </w:tc>
        <w:tc>
          <w:p>
            <w:pPr>
              <w:spacing w:after="40"/>
            </w:pPr>
            <w:r>
              <w:t xml:space="preserve">Real-world clinical utility</w:t>
            </w:r>
          </w:p>
        </w:tc>
        <w:tc>
          <w:p>
            <w:pPr>
              <w:spacing w:after="40"/>
            </w:pPr>
            <w:r>
              <w:t xml:space="preserve">Costly, slow, ethically gated</w:t>
            </w:r>
          </w:p>
        </w:tc>
      </w:tr>
    </w:tbl>
    <w:p>
      <w:pPr>
        <w:pStyle w:val="Heading2"/>
      </w:pPr>
      <w:r>
        <w:t xml:space="preserve">3.3.2 Metrics, Calibration, and Clinical Utility</w:t>
      </w:r>
    </w:p>
    <w:p>
      <w:pPr>
        <w:pStyle w:val="Normal"/>
      </w:pPr>
      <w:r>
        <w:t xml:space="preserve">Choosing appropriate evaluation metrics is as consequential as choosing the model itself, because a metric encodes what the analyst considers valuable. Discrimination metrics such as the area under the receiver operating characteristic curve summarize the ability to rank cases correctly, but they can mislead when classes are imbalanced, a common situation in disease detection and adverse-event prediction [25]. Precision, recall, and metrics based on the precision-recall curve often provide a more faithful picture under imbalance, and the appropriate metric ultimately depends on the relative costs of different errors in the intended application [26].</w:t>
      </w:r>
    </w:p>
    <w:p>
      <w:pPr>
        <w:pStyle w:val="Normal"/>
      </w:pPr>
      <w:r>
        <w:t xml:space="preserve">Discrimination is not the whole story. Calibration, the agreement between predicted probabilities and observed frequencies, is essential when predictions inform decisions, since a well-discriminating but poorly calibrated model can systematically over- or underestimate risk [27]. Decision-analytic approaches such as net benefit analysis go further, quantifying whether acting on a model's predictions improves outcomes relative to default strategies, thereby connecting statistical performance to clinical value [28]. Figure 3 underscores that headline discrimination figures, while useful for comparison, must be complemented by calibration and utility assessment before a model is considered fit for purpose [29].</w:t>
      </w:r>
    </w:p>
    <w:p>
      <w:pPr>
        <w:pStyle w:val="Normal"/>
      </w:pPr>
      <w:r>
        <w:t xml:space="preserve">The gap between statistical performance and clinical value is one that data scientists entering biomedicine must internalize. A model that ranks patients well but outputs miscalibrated probabilities can lead clinicians to intervene too often or too rarely if its scores are taken at face value, causing harm despite excellent discrimination [27]. Worse, a model can be both discriminating and well calibrated yet still fail to improve care, because the decisions it informs may already be made adequately by simpler means, or because the marginal cases it reclassifies are not those where action changes outcomes. Net benefit and decision-curve analyses address exactly this question by weighing the consequences of true and false positives against the alternative of treating everyone or no one [28]. The broader point is that evaluation must be anchored to the decision the model is meant to support, and a metric chosen without reference to that decision can reward the wrong behavior [26].</w:t>
      </w:r>
    </w:p>
    <w:p>
      <w:pPr>
        <w:pStyle w:val="Heading2"/>
      </w:pPr>
      <w:r>
        <w:t xml:space="preserve">3.3.3 Explainability and Interpretability</w:t>
      </w:r>
    </w:p>
    <w:p>
      <w:pPr>
        <w:pStyle w:val="Normal"/>
      </w:pPr>
      <w:r>
        <w:t xml:space="preserve">As models grow more complex, understanding why they produce particular outputs becomes both harder and more important. In biomedicine, explainability serves several purposes: it builds the trust of clinicians and regulators, it enables the detection of spurious reasoning, and it can generate hypotheses about underlying biology [30]. Interpretability exists on a spectrum, from models that are transparent by construction, such as linear models and shallow decision trees, to opaque models whose behavior must be probed with post hoc explanation methods [31].</w:t>
      </w:r>
    </w:p>
    <w:p>
      <w:pPr>
        <w:pStyle w:val="Normal"/>
      </w:pPr>
      <w:r>
        <w:t xml:space="preserve">Post hoc techniques have proliferated to explain complex models. Feature attribution methods assign importance scores to inputs, with approaches grounded in cooperative game theory offering theoretically motivated allocations of credit across features [32]. Local surrogate methods approximate a complex model's behavior in the neighborhood of a specific prediction, while counterfactual explanations describe the minimal changes to an input that would alter the outcome, an intuitive form of explanation for clinical audiences [33]. For imaging models, saliency and attention maps highlight the regions driving a prediction, though these must be interpreted cautiously because visually plausible explanations do not guarantee that the model reasons correctly [34].</w:t>
      </w:r>
    </w:p>
    <w:p>
      <w:pPr>
        <w:pStyle w:val="Normal"/>
      </w:pPr>
      <w:r>
        <w:t xml:space="preserve">The audience for an explanation shapes what makes it useful, and biomedical data science serves several audiences at once. A regulator may require evidence that a model does not rely on prohibited or spurious factors; a clinician at the point of care needs a rationale concise enough to inform a decision under time pressure; a researcher may seek mechanistic hypotheses that connect a prediction to underlying biology [30]. These needs are not satisfied by a single kind of explanation, and a technique that illuminates one may mislead another. Feature attributions can reveal that a model depends on an implausible variable, exposing leakage or bias that accuracy metrics conceal, which is perhaps their most valuable role [32]. Counterfactuals resonate with clinical reasoning because they answer the natural question of what would have to change for a different recommendation, but they can suggest changes that are impossible or unsafe if not constrained to realistic interventions [33]. The prudent stance treats explanations as investigative instruments that raise questions about a model's behavior rather than as certificates of its correctness [35].</w:t>
      </w:r>
    </w:p>
    <w:p>
      <w:pPr>
        <w:pStyle w:val="Normal"/>
      </w:pPr>
      <w:r>
        <w:t xml:space="preserve">Explainability carries important caveats. Explanations are themselves approximations and can be unstable or misleading, and a compelling explanation can lend unwarranted confidence to a flawed model [35]. There is also a recognized tension between the fidelity of an explanation to the underlying model and its comprehensibility to a human, and navigating this tradeoff responsibly is a core competency of biomedical data science [36]. As shown in Figure 4, explainability is one of three interdependent pillars, meaningful only when coupled with validation and reproducibility rather than pursued in isolation [37].</w:t>
      </w:r>
    </w:p>
    <w:p>
      <w:pPr>
        <w:pStyle w:val="Heading2"/>
      </w:pPr>
      <w:r>
        <w:t xml:space="preserve">3.3.4 Reproducibility and the Credibility of Findings</w:t>
      </w:r>
    </w:p>
    <w:p>
      <w:pPr>
        <w:pStyle w:val="Normal"/>
      </w:pPr>
      <w:r>
        <w:t xml:space="preserve">Reproducibility, the ability of an independent effort to obtain consistent results using the same data and methods, is foundational to scientific credibility, yet biomedical data science has confronted a well-documented reproducibility crisis [38]. Reported findings frequently fail to replicate, undermining confidence and wasting resources, and the causes are multiple: incomplete reporting, undisclosed analytic flexibility, inadequate data sharing, and the sheer complexity of modern computational pipelines [39]. Addressing these failures is not merely good practice but a precondition for the field's scientific legitimacy [40].</w:t>
      </w:r>
    </w:p>
    <w:p>
      <w:pPr>
        <w:pStyle w:val="Normal"/>
      </w:pPr>
      <w:r>
        <w:t xml:space="preserve">Computational reproducibility begins with disciplined engineering. Version control for both code and data, explicit recording of random seeds and software environments, and containerization that captures dependencies together allow an analysis to be re-executed exactly [41]. Data provenance, the documented lineage of every transformation from raw measurement to final result, is equally essential, since a result that cannot be traced to its inputs cannot be trusted or corrected [42]. Automated, end-to-end pipelines reduce the manual interventions that are a frequent source of irreproducible discrepancies [43].</w:t>
      </w:r>
    </w:p>
    <w:p>
      <w:pPr>
        <w:pStyle w:val="Normal"/>
      </w:pPr>
      <w:r>
        <w:t xml:space="preserve">It is useful to distinguish among several senses of reproducibility that are often conflated. Computational reproducibility, the weakest and most attainable form, asks only whether the same data and code yield the same result on another machine. Replicability asks the harder question of whether an independent study collecting new data reaches a consistent conclusion, and it is here that biomedical findings most often falter [38]. Generalizability, stronger still, asks whether a conclusion holds across populations and settings that differ from the original. A field can achieve perfect computational reproducibility while remaining plagued by irreplicable claims, because the flaws lie not in the arithmetic but in the design, the analytic flexibility, and the selective reporting that shaped the original analysis [39]. This is why reproducibility engineering, though necessary, does not by itself confer credibility; it must be paired with the pre-specification and transparent reporting discussed below [40].</w:t>
      </w:r>
    </w:p>
    <w:p>
      <w:pPr>
        <w:pStyle w:val="Normal"/>
      </w:pPr>
      <w:r>
        <w:t xml:space="preserve">The most corrosive threats to replicability are the subtle degrees of freedom that accumulate across a long analysis. Each defensible choice about how to clean, transform, model, and evaluate the data multiplies into a garden of forking paths, and if the final choices are made with knowledge of their effect on the result, the reported significance is illusory [40]. Leakage is a specific and especially common instance of this problem, but the general remedy is the same: make analytic decisions before seeing their consequences where possible, document every decision where it is not, and share code and data so that others can trace the path actually taken [42]. These practices convert reproducibility from an aspiration into an auditable property of the work.</w:t>
      </w:r>
    </w:p>
    <w:p>
      <w:pPr>
        <w:pStyle w:val="Heading2"/>
      </w:pPr>
      <w:r>
        <w:t xml:space="preserve">3.3.5 Reporting Standards, Governance, and Deployment</w:t>
      </w:r>
    </w:p>
    <w:p>
      <w:pPr>
        <w:pStyle w:val="Normal"/>
      </w:pPr>
      <w:r>
        <w:t xml:space="preserve">Technical reproducibility must be complemented by transparent reporting. Community-developed reporting guidelines specify the information that must accompany a predictive model so that others can appraise, reproduce, and appropriately apply it, covering the data, the modeling choices, and the validation performed [44]. Pre-registration of analysis plans, where feasible, constrains the analytic flexibility that inflates false-positive findings, while thorough documentation of preprocessing decisions ensures that the assumptions embedded in a pipeline are visible to scrutiny [45].</w:t>
      </w:r>
    </w:p>
    <w:p>
      <w:pPr>
        <w:pStyle w:val="Normal"/>
      </w:pPr>
      <w:r>
        <w:t xml:space="preserve">Beyond individual studies, responsible deployment depends on governance structures that monitor models over their lifecycle. Once deployed, a model can degrade as populations, practices, and instruments change, so ongoing surveillance for performance drift and periodic revalidation are necessary to sustain safety and effectiveness [46]. As Figure 4 summarizes, the convergence of rigorous validation, meaningful explainability, and disciplined reproducibility is what transforms a promising algorithm into a trustworthy instrument worthy of influencing decisions about molecules, therapies, and patients, closing the loop from raw data to responsible impact [47].</w:t>
      </w:r>
    </w:p>
    <w:p>
      <w:pPr>
        <w:pStyle w:val="Normal"/>
      </w:pPr>
      <w:r>
        <w:t xml:space="preserve">The lifecycle perspective reframes model development as an ongoing responsibility rather than a one-time deliverable. A model is not a static artifact but a component embedded in a changing environment: coding practices are revised, laboratory assays are recalibrated, patient populations shift, and clinical guidelines evolve, each of which can silently erode a model's validity [46]. Effective governance therefore establishes monitoring that detects distributional drift and performance decay early, triggers investigation when thresholds are breached, and defines the conditions under which a model is retrained, revalidated, or retired. Transparent reporting supports this discipline by documenting, at the outset, the population and context for which a model was validated, so that later use outside those bounds is recognized as extrapolation requiring fresh evidence [44]. In this way the reporting standards, provenance practices, and validation strategies described throughout this chapter cohere into a single lifecycle in which trust is continuously earned rather than assumed [47].</w:t>
      </w:r>
    </w:p>
    <w:p>
      <w:pPr>
        <w:pStyle w:val="Heading2"/>
      </w:pPr>
      <w:r>
        <w:t xml:space="preserve">3.3.6 Synthesis and Outlook</w:t>
      </w:r>
    </w:p>
    <w:p>
      <w:pPr>
        <w:pStyle w:val="Normal"/>
      </w:pPr>
      <w:r>
        <w:t xml:space="preserve">The three themes of this chapter are not sequential stages so much as facets of a single integrated practice. The characteristics of the data sources determine the preprocessing and feature engineering that data demands; those choices in turn constrain the models that can be developed and the guarantees that validation can provide; and the resulting model is only as credible as the reproducibility and transparency of the process that produced it. A weakness at any point undermines the whole: pristine modeling cannot rescue a biased sample, an elegant explanation cannot redeem a leaky pipeline, and a strong validation result loses its meaning if the analysis that produced it cannot be reproduced. The practitioner's task is therefore integrative by nature, requiring fluency in the biology that generated the data, the statistics that govern inference from it, and the software engineering that makes the resulting workflow trustworthy and repeatable. Biomedical and pharmacological data science advances most reliably when practitioners hold these facets in view simultaneously, resisting the temptation to optimize predictive performance in isolation from the questions of provenance, generalization, and trust that ultimately determine whether a model can safely inform real decisions. As data continue to grow in scale and diversity, the enduring differentiator will not be access to algorithms, which are increasingly commoditized, but the discipline with which they are applied to messy, consequential biological data.</w:t>
      </w:r>
    </w:p>
    <w:p>
      <w:pPr>
        <w:pStyle w:val="Heading1"/>
      </w:pPr>
      <w:r>
        <w:t xml:space="preserve">References</w:t>
      </w:r>
    </w:p>
    <w:p>
      <w:pPr>
        <w:pStyle w:val="References"/>
      </w:pPr>
      <w:r>
        <w:t xml:space="preserve">[1] Topol, E. J. High-performance medicine: the convergence of human and artificial intelligence. Nature Medicine, 25(1), 44-56, 2019.</w:t>
      </w:r>
    </w:p>
    <w:p>
      <w:pPr>
        <w:pStyle w:val="References"/>
      </w:pPr>
      <w:r>
        <w:t xml:space="preserve">[2] Rajkomar, A., Dean, J., and Kohane, I. Machine learning in medicine. New England Journal of Medicine, 380(14), 1347-1358, 2019.</w:t>
      </w:r>
    </w:p>
    <w:p>
      <w:pPr>
        <w:pStyle w:val="References"/>
      </w:pPr>
      <w:r>
        <w:t xml:space="preserve">[3] Ching, T., et al. Opportunities and obstacles for deep learning in biology and medicine. Journal of the Royal Society Interface, 15(141), 20170387, 2018.</w:t>
      </w:r>
    </w:p>
    <w:p>
      <w:pPr>
        <w:pStyle w:val="References"/>
      </w:pPr>
      <w:r>
        <w:t xml:space="preserve">[4] Beam, A. L., and Kohane, I. S. Big data and machine learning in health care. JAMA, 319(13), 1317-1318, 2018.</w:t>
      </w:r>
    </w:p>
    <w:p>
      <w:pPr>
        <w:pStyle w:val="References"/>
      </w:pPr>
      <w:r>
        <w:t xml:space="preserve">[5] Luo, J., et al. Big data application in biomedical research and health care: a literature review. Biomedical Informatics Insights, 8, 1-10, 2016.</w:t>
      </w:r>
    </w:p>
    <w:p>
      <w:pPr>
        <w:pStyle w:val="References"/>
      </w:pPr>
      <w:r>
        <w:t xml:space="preserve">[6] Wilkinson, M. D., et al. The FAIR guiding principles for scientific data management and stewardship. Scientific Data, 3, 160018, 2016.</w:t>
      </w:r>
    </w:p>
    <w:p>
      <w:pPr>
        <w:pStyle w:val="References"/>
      </w:pPr>
      <w:r>
        <w:t xml:space="preserve">[7] Goodwin, S., McPherson, J. D., and McCombie, W. R. Coming of age: ten years of next-generation sequencing technologies. Nature Reviews Genetics, 17(6), 333-351, 2016.</w:t>
      </w:r>
    </w:p>
    <w:p>
      <w:pPr>
        <w:pStyle w:val="References"/>
      </w:pPr>
      <w:r>
        <w:t xml:space="preserve">[8] Hasin, Y., Seldin, M., and Lusis, A. Multi-omics approaches to disease. Genome Biology, 18(1), 83, 2017.</w:t>
      </w:r>
    </w:p>
    <w:p>
      <w:pPr>
        <w:pStyle w:val="References"/>
      </w:pPr>
      <w:r>
        <w:t xml:space="preserve">[9] Karczewski, K. J., and Snyder, M. P. Integrative omics for health and disease. Nature Reviews Genetics, 19(5), 299-310, 2018.</w:t>
      </w:r>
    </w:p>
    <w:p>
      <w:pPr>
        <w:pStyle w:val="References"/>
      </w:pPr>
      <w:r>
        <w:t xml:space="preserve">[10] Libbrecht, M. W., and Noble, W. S. Machine learning applications in genetics and genomics. Nature Reviews Genetics, 16(6), 321-332, 2015.</w:t>
      </w:r>
    </w:p>
    <w:p>
      <w:pPr>
        <w:pStyle w:val="References"/>
      </w:pPr>
      <w:r>
        <w:t xml:space="preserve">[11] Leek, J. T., et al. Tackling the widespread and critical impact of batch effects in high-throughput data. Nature Reviews Genetics, 11(10), 733-739, 2010.</w:t>
      </w:r>
    </w:p>
    <w:p>
      <w:pPr>
        <w:pStyle w:val="References"/>
      </w:pPr>
      <w:r>
        <w:t xml:space="preserve">[12] Argelaguet, R., et al. Multi-omics factor analysis, a framework for unsupervised integration of multi-omics data sets. Molecular Systems Biology, 14(6), e8124, 2018.</w:t>
      </w:r>
    </w:p>
    <w:p>
      <w:pPr>
        <w:pStyle w:val="References"/>
      </w:pPr>
      <w:r>
        <w:t xml:space="preserve">[13] Subramanian, I., et al. Multi-omics data integration, interpretation, and its application. Bioinformatics and Biology Insights, 14, 1-24, 2020.</w:t>
      </w:r>
    </w:p>
    <w:p>
      <w:pPr>
        <w:pStyle w:val="References"/>
      </w:pPr>
      <w:r>
        <w:t xml:space="preserve">[14] Jensen, P. B., Jensen, L. J., and Brunak, S. Mining electronic health records: towards better research applications and clinical care. Nature Reviews Genetics, 13(6), 395-405, 2012.</w:t>
      </w:r>
    </w:p>
    <w:p>
      <w:pPr>
        <w:pStyle w:val="References"/>
      </w:pPr>
      <w:r>
        <w:t xml:space="preserve">[15] Hripcsak, G., and Albers, D. J. Next-generation phenotyping of electronic health records. Journal of the American Medical Informatics Association, 20(1), 117-121, 2013.</w:t>
      </w:r>
    </w:p>
    <w:p>
      <w:pPr>
        <w:pStyle w:val="References"/>
      </w:pPr>
      <w:r>
        <w:t xml:space="preserve">[16] Wu, S., et al. Deep learning in clinical natural language processing: a methodical review. Journal of the American Medical Informatics Association, 27(3), 457-470, 2020.</w:t>
      </w:r>
    </w:p>
    <w:p>
      <w:pPr>
        <w:pStyle w:val="References"/>
      </w:pPr>
      <w:r>
        <w:t xml:space="preserve">[17] Wells, B. J., et al. Strategies for handling missing data in electronic health record derived data. eGEMs, 1(3), 1035, 2013.</w:t>
      </w:r>
    </w:p>
    <w:p>
      <w:pPr>
        <w:pStyle w:val="References"/>
      </w:pPr>
      <w:r>
        <w:t xml:space="preserve">[18] Weiskopf, N. G., and Weng, C. Methods and dimensions of electronic health record data quality assessment. Journal of the American Medical Informatics Association, 20(1), 144-151, 2013.</w:t>
      </w:r>
    </w:p>
    <w:p>
      <w:pPr>
        <w:pStyle w:val="References"/>
      </w:pPr>
      <w:r>
        <w:t xml:space="preserve">[19] Gianfrancesco, M. A., et al. Potential biases in machine learning algorithms using electronic health record data. JAMA Internal Medicine, 178(11), 1544-1547, 2018.</w:t>
      </w:r>
    </w:p>
    <w:p>
      <w:pPr>
        <w:pStyle w:val="References"/>
      </w:pPr>
      <w:r>
        <w:t xml:space="preserve">[20] Litjens, G., et al. A survey on deep learning in medical image analysis. Medical Image Analysis, 42, 60-88, 2017.</w:t>
      </w:r>
    </w:p>
    <w:p>
      <w:pPr>
        <w:pStyle w:val="References"/>
      </w:pPr>
      <w:r>
        <w:t xml:space="preserve">[21] Esteva, A., et al. A guide to deep learning in healthcare. Nature Medicine, 25(1), 24-29, 2019.</w:t>
      </w:r>
    </w:p>
    <w:p>
      <w:pPr>
        <w:pStyle w:val="References"/>
      </w:pPr>
      <w:r>
        <w:t xml:space="preserve">[22] Shamshad, F., et al. Transformers in medical imaging: a survey. Medical Image Analysis, 88, 102802, 2023.</w:t>
      </w:r>
    </w:p>
    <w:p>
      <w:pPr>
        <w:pStyle w:val="References"/>
      </w:pPr>
      <w:r>
        <w:t xml:space="preserve">[23] Willemink, M. J., et al. Preparing medical imaging data for machine learning. Radiology, 295(1), 4-15, 2020.</w:t>
      </w:r>
    </w:p>
    <w:p>
      <w:pPr>
        <w:pStyle w:val="References"/>
      </w:pPr>
      <w:r>
        <w:t xml:space="preserve">[24] Zech, J. R., et al. Variable generalization performance of a deep learning model to detect pneumonia in chest radiographs. PLOS Medicine, 15(11), e1002683, 2018.</w:t>
      </w:r>
    </w:p>
    <w:p>
      <w:pPr>
        <w:pStyle w:val="References"/>
      </w:pPr>
      <w:r>
        <w:t xml:space="preserve">[25] Wu, Z., et al. MoleculeNet: a benchmark for molecular machine learning. Chemical Science, 9(2), 513-530, 2018.</w:t>
      </w:r>
    </w:p>
    <w:p>
      <w:pPr>
        <w:pStyle w:val="References"/>
      </w:pPr>
      <w:r>
        <w:t xml:space="preserve">[26] Gaulton, A., et al. The ChEMBL database in 2017. Nucleic Acids Research, 45(D1), D945-D954, 2017.</w:t>
      </w:r>
    </w:p>
    <w:p>
      <w:pPr>
        <w:pStyle w:val="References"/>
      </w:pPr>
      <w:r>
        <w:t xml:space="preserve">[27] Vamathevan, J., et al. Applications of machine learning in drug discovery and development. Nature Reviews Drug Discovery, 18(6), 463-477, 2019.</w:t>
      </w:r>
    </w:p>
    <w:p>
      <w:pPr>
        <w:pStyle w:val="References"/>
      </w:pPr>
      <w:r>
        <w:t xml:space="preserve">[28] Stumpfe, D., and Bajorath, J. Exploring activity cliffs in medicinal chemistry. Journal of Medicinal Chemistry, 55(7), 2932-2942, 2012.</w:t>
      </w:r>
    </w:p>
    <w:p>
      <w:pPr>
        <w:pStyle w:val="References"/>
      </w:pPr>
      <w:r>
        <w:t xml:space="preserve">[29] Yang, K., et al. Analyzing learned molecular representations for property prediction. Journal of Chemical Information and Modeling, 59(8), 3370-3388, 2019.</w:t>
      </w:r>
    </w:p>
    <w:p>
      <w:pPr>
        <w:pStyle w:val="References"/>
      </w:pPr>
      <w:r>
        <w:t xml:space="preserve">[30] Chen, H., et al. The rise of deep learning in drug discovery. Drug Discovery Today, 23(6), 1241-1250, 2018.</w:t>
      </w:r>
    </w:p>
    <w:p>
      <w:pPr>
        <w:pStyle w:val="References"/>
      </w:pPr>
      <w:r>
        <w:t xml:space="preserve">[31] Sherman, R. E., et al. Real-world evidence, what is it and what can it tell us. New England Journal of Medicine, 375(23), 2293-2297, 2016.</w:t>
      </w:r>
    </w:p>
    <w:p>
      <w:pPr>
        <w:pStyle w:val="References"/>
      </w:pPr>
      <w:r>
        <w:t xml:space="preserve">[32] Dunn, J., Runge, R., and Snyder, M. Wearables and the medical revolution. Personalized Medicine, 15(5), 429-448, 2018.</w:t>
      </w:r>
    </w:p>
    <w:p>
      <w:pPr>
        <w:pStyle w:val="References"/>
      </w:pPr>
      <w:r>
        <w:t xml:space="preserve">[33] Corrigan-Curay, J., Sacks, L., and Woodcock, J. Real-world evidence and real-world data for evaluating drug safety and effectiveness. JAMA, 320(9), 867-868, 2018.</w:t>
      </w:r>
    </w:p>
    <w:p>
      <w:pPr>
        <w:pStyle w:val="References"/>
      </w:pPr>
      <w:r>
        <w:t xml:space="preserve">[34] Hripcsak, G., et al. Observational health data sciences and informatics, a community effort. Studies in Health Technology and Informatics, 216, 574-578, 2015.</w:t>
      </w:r>
    </w:p>
    <w:p>
      <w:pPr>
        <w:pStyle w:val="References"/>
      </w:pPr>
      <w:r>
        <w:t xml:space="preserve">[35] Miotto, R., et al. Deep learning for healthcare: review, opportunities and challenges. Briefings in Bioinformatics, 19(6), 1236-1246, 2018.</w:t>
      </w:r>
    </w:p>
    <w:p>
      <w:pPr>
        <w:pStyle w:val="References"/>
      </w:pPr>
      <w:r>
        <w:t xml:space="preserve">[36] Kotsiantis, S. B., Kanellopoulos, D., and Pintelas, P. E. Data preprocessing for supervised learning. International Journal of Computer Science, 1(2), 111-117, 2006.</w:t>
      </w:r>
    </w:p>
    <w:p>
      <w:pPr>
        <w:pStyle w:val="References"/>
      </w:pPr>
      <w:r>
        <w:t xml:space="preserve">[37] García, S., Luengo, J., and Herrera, F. Data preprocessing in data mining. Springer, 2015.</w:t>
      </w:r>
    </w:p>
    <w:p>
      <w:pPr>
        <w:pStyle w:val="References"/>
      </w:pPr>
      <w:r>
        <w:t xml:space="preserve">[38] Domingos, P. A few useful things to know about machine learning. Communications of the ACM, 55(10), 78-87, 2012.</w:t>
      </w:r>
    </w:p>
    <w:p>
      <w:pPr>
        <w:pStyle w:val="References"/>
      </w:pPr>
      <w:r>
        <w:t xml:space="preserve">[39] Cock, P. J. A., et al. The Sanger FASTQ file format for sequences with quality scores. Nucleic Acids Research, 38(6), 1767-1771, 2010.</w:t>
      </w:r>
    </w:p>
    <w:p>
      <w:pPr>
        <w:pStyle w:val="References"/>
      </w:pPr>
      <w:r>
        <w:t xml:space="preserve">[40] Kapoor, S., and Narayanan, A. Leakage and the reproducibility crisis in machine-learning-based science. Patterns, 4(9), 100804, 2023.</w:t>
      </w:r>
    </w:p>
    <w:p>
      <w:pPr>
        <w:pStyle w:val="References"/>
      </w:pPr>
      <w:r>
        <w:t xml:space="preserve">[41] Robinson, M. D., McCarthy, D. J., and Smyth, G. K. edgeR, a Bioconductor package for differential expression analysis. Bioinformatics, 26(1), 139-140, 2010.</w:t>
      </w:r>
    </w:p>
    <w:p>
      <w:pPr>
        <w:pStyle w:val="References"/>
      </w:pPr>
      <w:r>
        <w:t xml:space="preserve">[42] Johnson, W. E., Li, C., and Rabinovic, A. Adjusting batch effects in microarray expression data using empirical Bayes methods. Biostatistics, 8(1), 118-127, 2007.</w:t>
      </w:r>
    </w:p>
    <w:p>
      <w:pPr>
        <w:pStyle w:val="References"/>
      </w:pPr>
      <w:r>
        <w:t xml:space="preserve">[43] Sterne, J. A. C., et al. Multiple imputation for missing data in epidemiological and clinical research. BMJ, 338, b2393, 2009.</w:t>
      </w:r>
    </w:p>
    <w:p>
      <w:pPr>
        <w:pStyle w:val="References"/>
      </w:pPr>
      <w:r>
        <w:t xml:space="preserve">[44] Van Buuren, S. Flexible imputation of missing data. CRC Press, 2018.</w:t>
      </w:r>
    </w:p>
    <w:p>
      <w:pPr>
        <w:pStyle w:val="References"/>
      </w:pPr>
      <w:r>
        <w:t xml:space="preserve">[45] Sharafoddini, A., et al. A new insight into missing data in intensive care unit patient profiles. JMIR Medical Informatics, 7(1), e11605, 2019.</w:t>
      </w:r>
    </w:p>
    <w:p>
      <w:pPr>
        <w:pStyle w:val="References"/>
      </w:pPr>
      <w:r>
        <w:t xml:space="preserve">[46] Guyon, I., and Elisseeff, A. An introduction to variable and feature selection. Journal of Machine Learning Research, 3, 1157-1182, 2003.</w:t>
      </w:r>
    </w:p>
    <w:p>
      <w:pPr>
        <w:pStyle w:val="References"/>
      </w:pPr>
      <w:r>
        <w:t xml:space="preserve">[47] Collins, G. S., et al. Transparent reporting of a multivariable prediction model for individual prognosis or diagnosis, the TRIPOD statement. Annals of Internal Medicine, 162(1), 55-63, 2015.</w:t>
      </w:r>
    </w:p>
    <w:sectPr>
      <w:pgSz w:w="12240" w:h="15840"/>
      <w:pgMar w:top="1440" w:right="1440" w:bottom="1440" w:left="1440" w:header="720" w:footer="720" w:gutter="0"/>
    </w:sectPr>
  </w:body>
</w:document>
</file>

<file path=word/numbering.xml><?xml version="1.0" encoding="utf-8"?>
<w:numbering xmlns:w="http://schemas.openxmlformats.org/wordprocessingml/2006/main"/>
</file>

<file path=word/styles.xml><?xml version="1.0" encoding="utf-8"?>
<w:styles xmlns:w="http://schemas.openxmlformats.org/wordprocessingml/2006/main">
  <w:docDefaults>
    <w:rPrDefault>
      <w:rPr>
        <w:rFonts w:ascii="Times New Roman" w:hAnsi="Times New Roman" w:cs="Times New Roman"/>
        <w:sz w:val="24"/>
        <w:szCs w:val="24"/>
      </w:rPr>
    </w:rPrDefault>
    <w:pPrDefault>
      <w:pPr>
        <w:spacing w:after="120" w:line="360" w:lineRule="auto"/>
      </w:pPr>
    </w:pPrDefault>
  </w:docDefaults>
  <w:style w:type="paragraph" w:styleId="Normal" w:default="1">
    <w:name w:val="Normal"/>
    <w:pPr>
      <w:jc w:val="both"/>
    </w:pPr>
  </w:style>
  <w:style w:type="paragraph" w:styleId="Title">
    <w:name w:val="Title"/>
    <w:basedOn w:val="Normal"/>
    <w:pPr>
      <w:jc w:val="center"/>
      <w:spacing w:after="240"/>
    </w:pPr>
    <w:rPr>
      <w:b/>
      <w:sz w:val="32"/>
      <w:szCs w:val="32"/>
    </w:rPr>
  </w:style>
  <w:style w:type="paragraph" w:styleId="Heading1">
    <w:name w:val="heading 1"/>
    <w:basedOn w:val="Normal"/>
    <w:pPr>
      <w:spacing w:before="360" w:after="120"/>
      <w:jc w:val="left"/>
    </w:pPr>
    <w:rPr>
      <w:b/>
      <w:sz w:val="28"/>
      <w:szCs w:val="28"/>
    </w:rPr>
  </w:style>
  <w:style w:type="paragraph" w:styleId="Heading2">
    <w:name w:val="heading 2"/>
    <w:basedOn w:val="Normal"/>
    <w:pPr>
      <w:spacing w:before="240" w:after="120"/>
      <w:jc w:val="left"/>
    </w:pPr>
    <w:rPr>
      <w:b/>
      <w:sz w:val="26"/>
      <w:szCs w:val="26"/>
    </w:rPr>
  </w:style>
  <w:style w:type="paragraph" w:styleId="Heading3">
    <w:name w:val="heading 3"/>
    <w:basedOn w:val="Normal"/>
    <w:pPr>
      <w:spacing w:before="200" w:after="100"/>
      <w:jc w:val="left"/>
    </w:pPr>
    <w:rPr>
      <w:b/>
      <w:i/>
      <w:sz w:val="24"/>
      <w:szCs w:val="24"/>
    </w:rPr>
  </w:style>
  <w:style w:type="paragraph" w:styleId="Abstract">
    <w:name w:val="Abstract"/>
    <w:basedOn w:val="Normal"/>
    <w:pPr>
      <w:ind w:left="720" w:right="720"/>
    </w:pPr>
    <w:rPr>
      <w:i/>
    </w:rPr>
  </w:style>
  <w:style w:type="paragraph" w:styleId="References">
    <w:name w:val="References"/>
    <w:basedOn w:val="Normal"/>
    <w:pPr>
      <w:ind w:left="480" w:hanging="480"/>
      <w:spacing w:after="60"/>
    </w:pPr>
    <w:rPr>
      <w:sz w:val="22"/>
      <w:szCs w:val="22"/>
    </w:rPr>
  </w:style>
  <w:style w:type="paragraph" w:styleId="FigureCaption">
    <w:name w:val="Figure Caption"/>
    <w:basedOn w:val="Normal"/>
    <w:pPr>
      <w:jc w:val="center"/>
      <w:spacing w:before="120" w:after="240"/>
    </w:pPr>
    <w:rPr>
      <w:i/>
      <w:sz w:val="22"/>
      <w:szCs w:val="22"/>
    </w:rPr>
  </w:style>
  <w:style w:type="paragraph" w:styleId="FigureImage">
    <w:name w:val="Figure Image"/>
    <w:basedOn w:val="Normal"/>
    <w:pPr>
      <w:jc w:val="center"/>
      <w:spacing w:before="120" w:after="0"/>
    </w:pPr>
  </w:style>
  <w:style w:type="paragraph" w:styleId="TableCaption">
    <w:name w:val="Table Caption"/>
    <w:basedOn w:val="Normal"/>
    <w:pPr>
      <w:spacing w:before="120" w:after="60"/>
    </w:pPr>
    <w:rPr>
      <w:b/>
      <w:sz w:val="22"/>
      <w:szCs w:val="22"/>
    </w:rPr>
  </w:style>
  <w:style w:type="table" w:styleId="TableGrid">
    <w:name w:val="Table Grid"/>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 Id="rIdImg1" Type="http://schemas.openxmlformats.org/officeDocument/2006/relationships/image" Target="media/Figure_1_Data_Sources.png"/>
  <Relationship Id="rIdImg2" Type="http://schemas.openxmlformats.org/officeDocument/2006/relationships/image" Target="media/Figure_2_Pipeline.png"/>
  <Relationship Id="rIdImg3" Type="http://schemas.openxmlformats.org/officeDocument/2006/relationships/image" Target="media/Figure_3_Performance.png"/>
  <Relationship Id="rIdImg4" Type="http://schemas.openxmlformats.org/officeDocument/2006/relationships/image" Target="media/Figure_4_Trust_Framework.png"/>
</Relationships>
</file>