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Digital Twins and Intelligent Automation for Industry 5.0</w:t>
      </w:r>
    </w:p>
    <w:p>
      <w:pPr>
        <w:pStyle w:val="Heading1"/>
      </w:pPr>
      <w:r>
        <w:t xml:space="preserve">Abstract</w:t>
      </w:r>
    </w:p>
    <w:p>
      <w:pPr>
        <w:pStyle w:val="Abstract"/>
      </w:pPr>
      <w:r>
        <w:t xml:space="preserve">The transition from Industry 4.0 to Industry 5.0 marks a profound reorientation of industrial philosophy, moving beyond the pursuit of pure automation and efficiency toward a paradigm that places human well-being, environmental sustainability, and systemic resilience at the center of technological progress. At the heart of this transformation lies the convergence of digital twin technology and intelligent automation, two domains that, when integrated, enable industrial systems to perceive, reason, predict, and act with unprecedented autonomy while remaining aligned with human values. A digital twin is a living, high-fidelity virtual representation of a physical asset, process, or system that is continuously synchronized with its physical counterpart through streams of real-time data. When augmented with artificial intelligence, machine learning, and closed-loop control, digital twins evolve from passive mirrors into cognitive entities capable of anticipating failures, optimizing operations, and collaborating with human operators. This chapter provides a comprehensive examination of the foundations, architectures, applications, and future trajectories of digital twins and intelligent automation within the Industry 5.0 landscape. It explores the enabling technologies that make intelligent digital twins possible, including the industrial Internet of Things, cyber-physical systems, edge and cloud computing, and advanced analytics. The chapter surveys applications across smart manufacturing, human–machine collaboration, and sustainable industrial systems, and it critically addresses the challenges of security, privacy, interoperability, and ethics that accompany deeply connected systems. Finally, it looks ahead to emerging trends such as generative artificial intelligence, autonomous industrial agents, immersive extended-reality environments, and self-evolving cognitive digital twins. Through this examination, the chapter argues that the responsible integration of digital twins and intelligent automation is not merely a technical endeavor but a socio-technical one, requiring careful attention to human agency, trust, and long-term ecological balance if the promise of Industry 5.0 is to be realized. The discussion is intended to serve both researchers seeking a structured synthesis of the field and practitioners planning the incremental adoption of intelligent digital twins within their own organizations.</w:t>
      </w:r>
    </w:p>
    <w:p>
      <w:pPr>
        <w:pStyle w:val="Heading1"/>
      </w:pPr>
      <w:r>
        <w:t xml:space="preserve">Section 1. Foundations of Digital Twins and Industry 5.0</w:t>
      </w:r>
    </w:p>
    <w:p>
      <w:pPr>
        <w:pStyle w:val="Heading2"/>
      </w:pPr>
      <w:r>
        <w:t xml:space="preserve">1.1 Evolution and Fundamentals of Digital Twin Technology</w:t>
      </w:r>
    </w:p>
    <w:p>
      <w:pPr>
        <w:pStyle w:val="Normal"/>
      </w:pPr>
      <w:r>
        <w:t xml:space="preserve">The concept of the digital twin has matured from an abstract engineering vision into a foundational pillar of contemporary industrial systems. In its most fundamental form, a digital twin is a virtual model that faithfully mirrors a physical entity, spanning individual components, complex machines, entire production lines, or even city-scale infrastructure [1]. What distinguishes a digital twin from a conventional simulation or a static computer-aided design model is the continuous, bidirectional flow of information that binds the virtual and physical realms together. Data harvested from sensors embedded in the physical asset continuously update the virtual model, while insights, predictions, and control commands generated in the virtual space flow back to influence the physical system [2]. This living linkage transforms the model into a dynamic decision-support instrument rather than a static blueprint. The idea traces its intellectual roots to early product life-cycle management concepts, in which a virtual counterpart was maintained alongside a physical product throughout its existence, but the modern digital twin has expanded far beyond this origin to encompass real-time operation, prediction, and autonomous control.</w:t>
      </w:r>
    </w:p>
    <w:p>
      <w:pPr>
        <w:pStyle w:val="Normal"/>
      </w:pPr>
      <w:r>
        <w:t xml:space="preserve">The architecture of a digital twin is commonly conceptualized through three interdependent layers. The physical layer comprises the tangible asset and its instrumentation, including sensors, actuators, and edge devices that capture the operational state. The virtual layer contains the computational models, which may combine physics-based representations, data-driven statistical models, and hybrid formulations that fuse both approaches. The connection layer establishes the communication channels, data pipelines, and synchronization protocols that keep the two realms coherent [3]. Beyond these three, many modern frameworks add a service or application layer that translates twin outputs into actionable dashboards, alerts, and autonomous control loops that end users and downstream systems can consume [3]. The elegance of this layered decomposition lies in its generality: it applies equally to a single pump, a robotic assembly cell, a chemical plant, or a distributed energy grid, providing a common conceptual scaffold upon which diverse implementations can be built and compared.</w:t>
      </w:r>
    </w:p>
    <w:p>
      <w:pPr>
        <w:pStyle w:val="Normal"/>
      </w:pPr>
      <w:r>
        <w:t xml:space="preserve">Physical–virtual synchronization is the defining technical challenge and the essential capability of any digital twin. The fidelity of a twin is directly proportional to the quality, granularity, and timeliness of the data exchanged between the two domains. In high-fidelity implementations, this synchronization approaches real time, allowing the virtual model to reflect the current state of the physical asset within milliseconds [4]. Such tight coupling enables applications that were previously infeasible, including live anomaly detection, what-if scenario testing on the virtual model without disturbing production, and predictive maintenance that anticipates component failure before it occurs. Achieving and maintaining this synchronization requires careful attention to data acquisition rates, model update strategies, and the reconciliation of discrepancies that inevitably arise between model predictions and observed reality. Techniques such as data assimilation, model calibration, and online parameter estimation are employed to keep the virtual and physical states aligned as operating conditions drift and components age.</w:t>
      </w:r>
    </w:p>
    <w:p>
      <w:pPr>
        <w:pStyle w:val="Normal"/>
      </w:pPr>
      <w:r>
        <w:t xml:space="preserve">The maturity of a digital twin can thus be understood along a spectrum ranging from a digital model, which requires manual data transfer, to a digital shadow, in which data flows automatically from the physical to the virtual side, and finally to a full digital twin, in which information flows automatically in both directions [4]. This progression is not merely academic; it directly shapes the value an organization can extract from its investment. A digital model supports offline analysis and design; a digital shadow enables monitoring and diagnosis; and only a full digital twin, with its automatic bidirectional linkage, can support the autonomous, closed-loop operation that represents the pinnacle of the technology. Understanding where a given implementation sits on this spectrum is essential for setting realistic expectations and for planning a coherent path of capability development. It is worth emphasizing that advancing along this spectrum is as much an organizational undertaking as a technical one. Moving from a digital shadow to a full digital twin requires not only reliable bidirectional data pipelines but also the institutional confidence to allow a virtual model to influence physical operations, a confidence that must be earned through demonstrated reliability, transparent behavior, and appropriate safeguards. Many organizations therefore progress deliberately, first deploying twins in an advisory capacity, validating their recommendations against expert judgment over an extended period, and only then granting them progressively greater autonomy as trust accumulates.</w:t>
      </w:r>
    </w:p>
    <w:p>
      <w:pPr>
        <w:pStyle w:val="Normal"/>
      </w:pPr>
      <w:r>
        <w:t xml:space="preserve">The scope of a digital twin also varies enormously and shapes its purpose. A component-level twin might model a single bearing or valve, focusing on wear and failure prediction. An asset-level twin represents a complete machine, integrating the behavior of its many components. A system-level twin captures an entire production line or facility, modeling the interactions among assets, while a process-level twin follows a product or workflow across multiple stages. At the highest level, a twin of twins, or system-of-systems twin, aggregates many subordinate twins into a comprehensive representation of an enterprise or even a network of enterprises. Each level of scope introduces distinctive modeling, data, and computational challenges, and the choice of scope is driven by the questions the organization most needs to answer.</w:t>
      </w:r>
    </w:p>
    <w:p>
      <w:pPr>
        <w:pStyle w:val="Normal"/>
      </w:pPr>
      <w:r>
        <w:t xml:space="preserve">The evolution of digital twins is inseparable from the broader progression of industrial revolutions. Industry 4.0, which emerged over the past decade, was characterized by the digitization of manufacturing, the proliferation of connected devices, and the pursuit of the smart factory in which machines, products, and systems communicate autonomously to maximize efficiency and throughput [5]. Digital twins flourished in this environment as a means of virtualizing assets and processes. However, critics increasingly observed that the relentless emphasis on automation and productivity in Industry 4.0 risked sidelining the human worker and neglecting the environmental costs of industrial activity [6]. Industry 5.0 emerged as a corrective vision, retaining the technological sophistication of its predecessor while reorienting its purpose toward human-centricity, sustainability, and resilience. Within this reoriented landscape, the digital twin is repositioned not merely as an efficiency tool but as an enabler of systems that serve people and the planet [6]. The shift is subtle but consequential: the same technologies that Industry 4.0 deployed in pursuit of output are, under Industry 5.0, redirected toward outcomes that include worker satisfaction, ecological balance, and the capacity to withstand disruption.</w:t>
      </w:r>
    </w:p>
    <w:p>
      <w:pPr>
        <w:pStyle w:val="Heading2"/>
      </w:pPr>
      <w:r>
        <w:t xml:space="preserve">1.2 Principles and Enabling Technologies of Industry 5.0</w:t>
      </w:r>
    </w:p>
    <w:p>
      <w:pPr>
        <w:pStyle w:val="Normal"/>
      </w:pPr>
      <w:r>
        <w:t xml:space="preserve">Industry 5.0 rests upon three interlocking pillars that collectively define its distinctive character. The first is human-centricity, which insists that technology should augment rather than replace human capabilities, empowering workers with tools that enhance their creativity, safety, and job satisfaction [7]. Rather than treating humans as sources of error to be automated away, Industry 5.0 envisions a symbiotic relationship in which the cognitive strengths of humans complement the computational strengths of machines. The second pillar is sustainability, which demands that industrial systems operate within planetary boundaries by minimizing resource consumption, reducing waste, and embracing circular economic principles [8]. The third pillar is resilience, which requires that industrial systems withstand and adapt to disruptions, whether from supply-chain shocks, pandemics, cyberattacks, or climate-related events, maintaining continuity of critical functions under adverse conditions [9]. These three pillars are not independent; they reinforce one another, for a resilient system tends to be less wasteful, and a human-centric system tends to be more adaptable because it harnesses the flexibility and judgment of its people.</w:t>
      </w:r>
    </w:p>
    <w:p>
      <w:pPr>
        <w:pStyle w:val="Normal"/>
      </w:pPr>
      <w:r>
        <w:t xml:space="preserve">Realizing these principles depends on a constellation of enabling technologies. The Internet of Things provides the sensory nervous system of the modern industrial enterprise, embedding intelligence into machines, products, and environments so that they can generate and share data at scale [10]. Cyber-physical systems fuse computational and physical processes, creating tightly coupled feedback loops in which software monitors and controls physical mechanisms in real time. Cloud computing furnishes the elastic storage and processing power needed to aggregate and analyze vast data streams, while edge computing complements it by pushing computation closer to the data source, reducing latency and preserving bandwidth for time-critical decisions [11]. Overarching all of these is artificial intelligence, which extracts meaning from data, recognizes patterns invisible to human observers, and generates predictions and recommendations that drive intelligent behavior. Each of these technologies has matured independently, but it is their convergence within the digital twin that unlocks capabilities greater than any could achieve alone.</w:t>
      </w:r>
    </w:p>
    <w:p>
      <w:pPr>
        <w:pStyle w:val="Normal"/>
      </w:pPr>
      <w:r>
        <w:t xml:space="preserve">Intelligent automation occupies a central role in this technological ecosystem. Traditional automation followed rigid, predetermined rules, executing repetitive tasks with speed and consistency but with little capacity to adapt to novel situations. Intelligent automation, by contrast, incorporates learning and reasoning capabilities that allow systems to handle variability, uncertainty, and complexity [12]. Machine learning models enable automated systems to improve their performance over time, while techniques such as computer vision and natural language processing extend automation into domains that once required human perception and judgment. When intelligent automation is coupled with digital twins, the result is a class of systems that can not only execute tasks but also understand context, anticipate consequences, and optimize their own behavior toward high-level objectives [13]. This represents a qualitative leap beyond the deterministic automation of earlier eras, enabling systems to cope gracefully with the messy, unpredictable conditions of real industrial environments.</w:t>
      </w:r>
    </w:p>
    <w:p>
      <w:pPr>
        <w:pStyle w:val="Normal"/>
      </w:pPr>
      <w:r>
        <w:t xml:space="preserve">The synergy between these technologies produces capabilities that exceed the sum of their parts. A digital twin supplied with rich sensor data and animated by machine learning becomes a predictive engine; when that engine is connected to intelligent actuators through closed-loop control, it becomes an autonomous system capable of self-regulation. This progression from data to insight to autonomous action represents the technological trajectory that Industry 5.0 seeks to harness in service of human and environmental goals rather than efficiency alone [13]. The critical distinction from earlier industrial paradigms is one of intent: the same autonomous capabilities that could be deployed simply to reduce labor costs are, within the Industry 5.0 framing, deliberately configured to relieve workers of dangerous or tedious tasks, to conserve energy and materials, and to build the redundancy and adaptability that resilience requires. Technology, in this view, is a means to human and ecological ends rather than an end in itself.</w:t>
      </w:r>
    </w:p>
    <w:p>
      <w:pPr>
        <w:pStyle w:val="Heading2"/>
      </w:pPr>
      <w:r>
        <w:t xml:space="preserve">1.3 Integration of Digital Twins with Intelligent Automation</w:t>
      </w:r>
    </w:p>
    <w:p>
      <w:pPr>
        <w:pStyle w:val="Normal"/>
      </w:pPr>
      <w:r>
        <w:t xml:space="preserve">The integration of digital twins with intelligent automation gives rise to a distinctive class of architectures in which the virtual model becomes an active participant in the control of physical systems. In these architectures, the digital twin functions as a central intelligence hub that ingests real-time data from the physical asset, runs predictive and prescriptive analytics, and issues control decisions that are executed by automated systems [14]. The tight integration of sensing, modeling, and actuation transforms the twin from an observational tool into a decision-making agent embedded within the operational fabric of the enterprise. Figure 1 illustrates the layered architecture that binds the physical asset, the connectivity fabric, the digital twin intelligence, and the closed-loop control services into a coherent whole, showing how data ascends from sensors through the connectivity layer to the analytical core and how decisions descend back to actuators.</w:t>
      </w:r>
    </w:p>
    <w:p>
      <w:pPr>
        <w:pStyle w:val="ImagePara"/>
      </w:pPr>
      <w:r>
        <w:drawing>
          <wp:inline xmlns:wp="http://schemas.openxmlformats.org/drawingml/2006/wordprocessingDrawing" distT="0" distB="0" distL="0" distR="0">
            <wp:extent cx="5486400" cy="4042610"/>
            <wp:effectExtent l="0" t="0" r="0" b="0"/>
            <wp:docPr id="1" name="Figure_1_DT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_1_DT_Architecture.png"/>
                    <pic:cNvPicPr/>
                  </pic:nvPicPr>
                  <pic:blipFill>
                    <a:blip xmlns:r="http://schemas.openxmlformats.org/officeDocument/2006/relationships" r:embed="rIdImg100"/>
                    <a:stretch>
                      <a:fillRect/>
                    </a:stretch>
                  </pic:blipFill>
                  <pic:spPr>
                    <a:xfrm>
                      <a:off x="0" y="0"/>
                      <a:ext cx="5486400" cy="4042610"/>
                    </a:xfrm>
                    <a:prstGeom prst="rect">
                      <a:avLst/>
                    </a:prstGeom>
                  </pic:spPr>
                </pic:pic>
              </a:graphicData>
            </a:graphic>
          </wp:inline>
        </w:drawing>
      </w:r>
    </w:p>
    <w:p>
      <w:pPr>
        <w:pStyle w:val="Caption"/>
      </w:pPr>
      <w:r>
        <w:t xml:space="preserve">Figure 1. Layered architecture of an intelligent digital twin, showing the physical asset, connectivity, twin-intelligence, and closed-loop control layers with bidirectional data and control flows and human oversight.</w:t>
      </w:r>
    </w:p>
    <w:p>
      <w:pPr>
        <w:pStyle w:val="Normal"/>
      </w:pPr>
      <w:r>
        <w:t xml:space="preserve">Artificial intelligence and machine learning provide the cognitive engine that powers this integration. Monitoring functions employ anomaly detection algorithms that continuously compare observed behavior against the twin's expectations, flagging deviations that may signal emerging faults [15]. Predictive functions forecast future states, estimating remaining useful life, projecting energy consumption, or anticipating quality defects before they manifest. Prescriptive functions go a step further, recommending or automatically enacting the optimal course of action given the predicted state and the system's objectives [16]. The layering of these capabilities allows industrial systems to shift from reactive to proactive and ultimately to autonomous modes of operation. In practice, these functions are rarely deployed in isolation; a mature implementation weaves monitoring, prediction, and prescription into an integrated pipeline in which each stage informs and constrains the next, producing decisions that are both timely and well-grounded in the observed state of the system.</w:t>
      </w:r>
    </w:p>
    <w:p>
      <w:pPr>
        <w:pStyle w:val="Normal"/>
      </w:pPr>
      <w:r>
        <w:t xml:space="preserve">Closed-loop control is the mechanism through which digital twin intelligence translates into physical action without human intervention. In a closed-loop configuration, the twin continuously observes the physical system, evaluates its state against desired targets, computes corrective actions, and dispatches those actions to actuators, then observes the resulting change and repeats the cycle [17]. This continuous feedback enables autonomous industrial operations in which processes self-correct, self-optimize, and self-heal. The design of such loops demands careful attention to stability, safety, and the handling of uncertainty, since a poorly designed autonomous loop can amplify errors or oscillate destructively. For this reason, practical systems typically incorporate safeguards, bounded authority, and mechanisms for graceful degradation, ensuring that when the twin encounters conditions outside its competence it defers to human judgment rather than acting recklessly.</w:t>
      </w:r>
    </w:p>
    <w:p>
      <w:pPr>
        <w:pStyle w:val="Normal"/>
      </w:pPr>
      <w:r>
        <w:t xml:space="preserve">Table 1 summarizes the progressive stages of maturity through which digital twins evolve as they are integrated with increasingly capable automation, from descriptive representations that merely visualize the present toward fully autonomous cognitive twins that reason and act independently. This maturity framing helps organizations locate their current capabilities and chart a path toward more advanced implementations [18]. Importantly, in the Industry 5.0 context, the goal of this progression is not to eliminate the human but to elevate the human into a supervisory and creative role, delegating routine optimization to autonomous twins while reserving judgment, ethics, and strategic direction for people [18]. The maturity model should therefore be read not as a race toward maximal autonomy but as a spectrum along which each organization finds the level of automation appropriate to its risk tolerance, its workforce, and its values. As the architecture of Figure 1 makes clear, human oversight is not bolted on as an afterthought but designed into the loop as a first-class element that can intervene, override, and redirect the autonomous machinery at any time.</w:t>
      </w:r>
    </w:p>
    <w:p>
      <w:pPr>
        <w:pStyle w:val="TableCaption"/>
      </w:pPr>
      <w:r>
        <w:rPr>
          <w:b/>
        </w:rPr>
        <w:t xml:space="preserve">Table 1.</w:t>
      </w:r>
      <w:r>
        <w:t xml:space="preserve"> Maturity stages of digital twin integration with intelligent automation.</w:t>
      </w:r>
    </w:p>
    <w:tbl>
      <w:tblPr>
        <w:tblW w:w="9360" w:type="dxa"/>
        <w:tblLayout w:type="fixed"/>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Pr>
      <w:tblGrid>
        <w:gridCol w:w="2340"/>
        <w:gridCol w:w="2340"/>
        <w:gridCol w:w="2340"/>
        <w:gridCol w:w="2340"/>
      </w:tblGrid>
      <w:tr>
        <w:trPr>
          <w:tblHeader/>
        </w:trPr>
        <w:tc>
          <w:tcPr>
            <w:tcW w:w="2340" w:type="dxa"/>
            <w:shd w:val="clear" w:color="auto" w:fill="1F4E79"/>
            <w:vAlign w:val="center"/>
          </w:tcPr>
          <w:p>
            <w:pPr>
              <w:jc w:val="center"/>
              <w:spacing w:after="20" w:line="240" w:lineRule="auto"/>
            </w:pPr>
            <w:r>
              <w:rPr>
                <w:b/>
                <w:color w:val="FFFFFF"/>
                <w:sz w:val="21"/>
              </w:rPr>
              <w:t xml:space="preserve">Maturity Stage</w:t>
            </w:r>
          </w:p>
        </w:tc>
        <w:tc>
          <w:tcPr>
            <w:tcW w:w="2340" w:type="dxa"/>
            <w:shd w:val="clear" w:color="auto" w:fill="1F4E79"/>
            <w:vAlign w:val="center"/>
          </w:tcPr>
          <w:p>
            <w:pPr>
              <w:jc w:val="center"/>
              <w:spacing w:after="20" w:line="240" w:lineRule="auto"/>
            </w:pPr>
            <w:r>
              <w:rPr>
                <w:b/>
                <w:color w:val="FFFFFF"/>
                <w:sz w:val="21"/>
              </w:rPr>
              <w:t xml:space="preserve">Data Flow</w:t>
            </w:r>
          </w:p>
        </w:tc>
        <w:tc>
          <w:tcPr>
            <w:tcW w:w="2340" w:type="dxa"/>
            <w:shd w:val="clear" w:color="auto" w:fill="1F4E79"/>
            <w:vAlign w:val="center"/>
          </w:tcPr>
          <w:p>
            <w:pPr>
              <w:jc w:val="center"/>
              <w:spacing w:after="20" w:line="240" w:lineRule="auto"/>
            </w:pPr>
            <w:r>
              <w:rPr>
                <w:b/>
                <w:color w:val="FFFFFF"/>
                <w:sz w:val="21"/>
              </w:rPr>
              <w:t xml:space="preserve">Analytical Capability</w:t>
            </w:r>
          </w:p>
        </w:tc>
        <w:tc>
          <w:tcPr>
            <w:tcW w:w="2340" w:type="dxa"/>
            <w:shd w:val="clear" w:color="auto" w:fill="1F4E79"/>
            <w:vAlign w:val="center"/>
          </w:tcPr>
          <w:p>
            <w:pPr>
              <w:jc w:val="center"/>
              <w:spacing w:after="20" w:line="240" w:lineRule="auto"/>
            </w:pPr>
            <w:r>
              <w:rPr>
                <w:b/>
                <w:color w:val="FFFFFF"/>
                <w:sz w:val="21"/>
              </w:rPr>
              <w:t xml:space="preserve">Human Role</w:t>
            </w:r>
          </w:p>
        </w:tc>
      </w:tr>
      <w:tr>
        <w:tc>
          <w:tcPr>
            <w:tcW w:w="2340" w:type="dxa"/>
            <w:shd w:val="clear" w:color="auto" w:fill="F2F6FB"/>
            <w:vAlign w:val="center"/>
          </w:tcPr>
          <w:p>
            <w:pPr>
              <w:spacing w:after="20" w:line="240" w:lineRule="auto"/>
            </w:pPr>
            <w:r>
              <w:rPr>
                <w:sz w:val="21"/>
              </w:rPr>
              <w:t xml:space="preserve">Descriptive twin</w:t>
            </w:r>
          </w:p>
        </w:tc>
        <w:tc>
          <w:tcPr>
            <w:tcW w:w="2340" w:type="dxa"/>
            <w:shd w:val="clear" w:color="auto" w:fill="F2F6FB"/>
            <w:vAlign w:val="center"/>
          </w:tcPr>
          <w:p>
            <w:pPr>
              <w:spacing w:after="20" w:line="240" w:lineRule="auto"/>
            </w:pPr>
            <w:r>
              <w:rPr>
                <w:sz w:val="21"/>
              </w:rPr>
              <w:t xml:space="preserve">Manual or periodic</w:t>
            </w:r>
          </w:p>
        </w:tc>
        <w:tc>
          <w:tcPr>
            <w:tcW w:w="2340" w:type="dxa"/>
            <w:shd w:val="clear" w:color="auto" w:fill="F2F6FB"/>
            <w:vAlign w:val="center"/>
          </w:tcPr>
          <w:p>
            <w:pPr>
              <w:spacing w:after="20" w:line="240" w:lineRule="auto"/>
            </w:pPr>
            <w:r>
              <w:rPr>
                <w:sz w:val="21"/>
              </w:rPr>
              <w:t xml:space="preserve">Visualization of current state</w:t>
            </w:r>
          </w:p>
        </w:tc>
        <w:tc>
          <w:tcPr>
            <w:tcW w:w="2340" w:type="dxa"/>
            <w:shd w:val="clear" w:color="auto" w:fill="F2F6FB"/>
            <w:vAlign w:val="center"/>
          </w:tcPr>
          <w:p>
            <w:pPr>
              <w:spacing w:after="20" w:line="240" w:lineRule="auto"/>
            </w:pPr>
            <w:r>
              <w:rPr>
                <w:sz w:val="21"/>
              </w:rPr>
              <w:t xml:space="preserve">Full manual control</w:t>
            </w:r>
          </w:p>
        </w:tc>
      </w:tr>
      <w:tr>
        <w:tc>
          <w:tcPr>
            <w:tcW w:w="2340" w:type="dxa"/>
            <w:shd w:val="clear" w:color="auto" w:fill="FFFFFF"/>
            <w:vAlign w:val="center"/>
          </w:tcPr>
          <w:p>
            <w:pPr>
              <w:spacing w:after="20" w:line="240" w:lineRule="auto"/>
            </w:pPr>
            <w:r>
              <w:rPr>
                <w:sz w:val="21"/>
              </w:rPr>
              <w:t xml:space="preserve">Diagnostic twin</w:t>
            </w:r>
          </w:p>
        </w:tc>
        <w:tc>
          <w:tcPr>
            <w:tcW w:w="2340" w:type="dxa"/>
            <w:shd w:val="clear" w:color="auto" w:fill="FFFFFF"/>
            <w:vAlign w:val="center"/>
          </w:tcPr>
          <w:p>
            <w:pPr>
              <w:spacing w:after="20" w:line="240" w:lineRule="auto"/>
            </w:pPr>
            <w:r>
              <w:rPr>
                <w:sz w:val="21"/>
              </w:rPr>
              <w:t xml:space="preserve">Automated physical-to-virtual</w:t>
            </w:r>
          </w:p>
        </w:tc>
        <w:tc>
          <w:tcPr>
            <w:tcW w:w="2340" w:type="dxa"/>
            <w:shd w:val="clear" w:color="auto" w:fill="FFFFFF"/>
            <w:vAlign w:val="center"/>
          </w:tcPr>
          <w:p>
            <w:pPr>
              <w:spacing w:after="20" w:line="240" w:lineRule="auto"/>
            </w:pPr>
            <w:r>
              <w:rPr>
                <w:sz w:val="21"/>
              </w:rPr>
              <w:t xml:space="preserve">Root-cause analysis</w:t>
            </w:r>
          </w:p>
        </w:tc>
        <w:tc>
          <w:tcPr>
            <w:tcW w:w="2340" w:type="dxa"/>
            <w:shd w:val="clear" w:color="auto" w:fill="FFFFFF"/>
            <w:vAlign w:val="center"/>
          </w:tcPr>
          <w:p>
            <w:pPr>
              <w:spacing w:after="20" w:line="240" w:lineRule="auto"/>
            </w:pPr>
            <w:r>
              <w:rPr>
                <w:sz w:val="21"/>
              </w:rPr>
              <w:t xml:space="preserve">Interpretation and action</w:t>
            </w:r>
          </w:p>
        </w:tc>
      </w:tr>
      <w:tr>
        <w:tc>
          <w:tcPr>
            <w:tcW w:w="2340" w:type="dxa"/>
            <w:shd w:val="clear" w:color="auto" w:fill="F2F6FB"/>
            <w:vAlign w:val="center"/>
          </w:tcPr>
          <w:p>
            <w:pPr>
              <w:spacing w:after="20" w:line="240" w:lineRule="auto"/>
            </w:pPr>
            <w:r>
              <w:rPr>
                <w:sz w:val="21"/>
              </w:rPr>
              <w:t xml:space="preserve">Predictive twin</w:t>
            </w:r>
          </w:p>
        </w:tc>
        <w:tc>
          <w:tcPr>
            <w:tcW w:w="2340" w:type="dxa"/>
            <w:shd w:val="clear" w:color="auto" w:fill="F2F6FB"/>
            <w:vAlign w:val="center"/>
          </w:tcPr>
          <w:p>
            <w:pPr>
              <w:spacing w:after="20" w:line="240" w:lineRule="auto"/>
            </w:pPr>
            <w:r>
              <w:rPr>
                <w:sz w:val="21"/>
              </w:rPr>
              <w:t xml:space="preserve">Automated physical-to-virtual</w:t>
            </w:r>
          </w:p>
        </w:tc>
        <w:tc>
          <w:tcPr>
            <w:tcW w:w="2340" w:type="dxa"/>
            <w:shd w:val="clear" w:color="auto" w:fill="F2F6FB"/>
            <w:vAlign w:val="center"/>
          </w:tcPr>
          <w:p>
            <w:pPr>
              <w:spacing w:after="20" w:line="240" w:lineRule="auto"/>
            </w:pPr>
            <w:r>
              <w:rPr>
                <w:sz w:val="21"/>
              </w:rPr>
              <w:t xml:space="preserve">Forecasting future states</w:t>
            </w:r>
          </w:p>
        </w:tc>
        <w:tc>
          <w:tcPr>
            <w:tcW w:w="2340" w:type="dxa"/>
            <w:shd w:val="clear" w:color="auto" w:fill="F2F6FB"/>
            <w:vAlign w:val="center"/>
          </w:tcPr>
          <w:p>
            <w:pPr>
              <w:spacing w:after="20" w:line="240" w:lineRule="auto"/>
            </w:pPr>
            <w:r>
              <w:rPr>
                <w:sz w:val="21"/>
              </w:rPr>
              <w:t xml:space="preserve">Decision approval</w:t>
            </w:r>
          </w:p>
        </w:tc>
      </w:tr>
      <w:tr>
        <w:tc>
          <w:tcPr>
            <w:tcW w:w="2340" w:type="dxa"/>
            <w:shd w:val="clear" w:color="auto" w:fill="FFFFFF"/>
            <w:vAlign w:val="center"/>
          </w:tcPr>
          <w:p>
            <w:pPr>
              <w:spacing w:after="20" w:line="240" w:lineRule="auto"/>
            </w:pPr>
            <w:r>
              <w:rPr>
                <w:sz w:val="21"/>
              </w:rPr>
              <w:t xml:space="preserve">Prescriptive twin</w:t>
            </w:r>
          </w:p>
        </w:tc>
        <w:tc>
          <w:tcPr>
            <w:tcW w:w="2340" w:type="dxa"/>
            <w:shd w:val="clear" w:color="auto" w:fill="FFFFFF"/>
            <w:vAlign w:val="center"/>
          </w:tcPr>
          <w:p>
            <w:pPr>
              <w:spacing w:after="20" w:line="240" w:lineRule="auto"/>
            </w:pPr>
            <w:r>
              <w:rPr>
                <w:sz w:val="21"/>
              </w:rPr>
              <w:t xml:space="preserve">Bidirectional with recommendations</w:t>
            </w:r>
          </w:p>
        </w:tc>
        <w:tc>
          <w:tcPr>
            <w:tcW w:w="2340" w:type="dxa"/>
            <w:shd w:val="clear" w:color="auto" w:fill="FFFFFF"/>
            <w:vAlign w:val="center"/>
          </w:tcPr>
          <w:p>
            <w:pPr>
              <w:spacing w:after="20" w:line="240" w:lineRule="auto"/>
            </w:pPr>
            <w:r>
              <w:rPr>
                <w:sz w:val="21"/>
              </w:rPr>
              <w:t xml:space="preserve">Optimization and guidance</w:t>
            </w:r>
          </w:p>
        </w:tc>
        <w:tc>
          <w:tcPr>
            <w:tcW w:w="2340" w:type="dxa"/>
            <w:shd w:val="clear" w:color="auto" w:fill="FFFFFF"/>
            <w:vAlign w:val="center"/>
          </w:tcPr>
          <w:p>
            <w:pPr>
              <w:spacing w:after="20" w:line="240" w:lineRule="auto"/>
            </w:pPr>
            <w:r>
              <w:rPr>
                <w:sz w:val="21"/>
              </w:rPr>
              <w:t xml:space="preserve">Supervisory oversight</w:t>
            </w:r>
          </w:p>
        </w:tc>
      </w:tr>
      <w:tr>
        <w:tc>
          <w:tcPr>
            <w:tcW w:w="2340" w:type="dxa"/>
            <w:shd w:val="clear" w:color="auto" w:fill="F2F6FB"/>
            <w:vAlign w:val="center"/>
          </w:tcPr>
          <w:p>
            <w:pPr>
              <w:spacing w:after="20" w:line="240" w:lineRule="auto"/>
            </w:pPr>
            <w:r>
              <w:rPr>
                <w:sz w:val="21"/>
              </w:rPr>
              <w:t xml:space="preserve">Autonomous cognitive twin</w:t>
            </w:r>
          </w:p>
        </w:tc>
        <w:tc>
          <w:tcPr>
            <w:tcW w:w="2340" w:type="dxa"/>
            <w:shd w:val="clear" w:color="auto" w:fill="F2F6FB"/>
            <w:vAlign w:val="center"/>
          </w:tcPr>
          <w:p>
            <w:pPr>
              <w:spacing w:after="20" w:line="240" w:lineRule="auto"/>
            </w:pPr>
            <w:r>
              <w:rPr>
                <w:sz w:val="21"/>
              </w:rPr>
              <w:t xml:space="preserve">Continuous closed-loop</w:t>
            </w:r>
          </w:p>
        </w:tc>
        <w:tc>
          <w:tcPr>
            <w:tcW w:w="2340" w:type="dxa"/>
            <w:shd w:val="clear" w:color="auto" w:fill="F2F6FB"/>
            <w:vAlign w:val="center"/>
          </w:tcPr>
          <w:p>
            <w:pPr>
              <w:spacing w:after="20" w:line="240" w:lineRule="auto"/>
            </w:pPr>
            <w:r>
              <w:rPr>
                <w:sz w:val="21"/>
              </w:rPr>
              <w:t xml:space="preserve">Self-learning and self-action</w:t>
            </w:r>
          </w:p>
        </w:tc>
        <w:tc>
          <w:tcPr>
            <w:tcW w:w="2340" w:type="dxa"/>
            <w:shd w:val="clear" w:color="auto" w:fill="F2F6FB"/>
            <w:vAlign w:val="center"/>
          </w:tcPr>
          <w:p>
            <w:pPr>
              <w:spacing w:after="20" w:line="240" w:lineRule="auto"/>
            </w:pPr>
            <w:r>
              <w:rPr>
                <w:sz w:val="21"/>
              </w:rPr>
              <w:t xml:space="preserve">Strategic and ethical direction</w:t>
            </w:r>
          </w:p>
        </w:tc>
      </w:tr>
    </w:tbl>
    <w:p>
      <w:pPr>
        <w:spacing w:after="120"/>
      </w:pPr>
    </w:p>
    <w:p>
      <w:pPr>
        <w:pStyle w:val="Heading1"/>
      </w:pPr>
      <w:r>
        <w:t xml:space="preserve">Section 2. Intelligent Digital Twin Architectures and Technologies</w:t>
      </w:r>
    </w:p>
    <w:p>
      <w:pPr>
        <w:pStyle w:val="Heading2"/>
      </w:pPr>
      <w:r>
        <w:t xml:space="preserve">2.1 Data Acquisition, IoT, and Cyber-Physical Integration</w:t>
      </w:r>
    </w:p>
    <w:p>
      <w:pPr>
        <w:pStyle w:val="Normal"/>
      </w:pPr>
      <w:r>
        <w:t xml:space="preserve">The intelligence of any digital twin is ultimately grounded in the quality and richness of the data it receives, which places data acquisition and the industrial Internet of Things at the foundation of the entire edifice. Modern industrial environments are instrumented with dense networks of sensors that measure a vast array of physical quantities, including temperature, vibration, pressure, acoustic emission, electrical current, position, and chemical composition [19]. These sensors serve as the sensory organs of the digital twin, translating the analog reality of the physical world into digital signals that can be transmitted, stored, and analyzed. The proliferation of low-cost, energy-efficient sensors combined with advances in wireless communication has made it economically feasible to instrument assets at a granularity that was unimaginable a generation ago [19]. Yet raw abundance of data is not intrinsically valuable; the challenge lies in acquiring the right data at the right resolution, filtering noise, handling missing or corrupted readings, and fusing heterogeneous streams into a coherent picture of the asset's state.</w:t>
      </w:r>
    </w:p>
    <w:p>
      <w:pPr>
        <w:pStyle w:val="Normal"/>
      </w:pPr>
      <w:r>
        <w:t xml:space="preserve">Real-time data acquisition imposes stringent requirements on the communication infrastructure that connects sensors to the digital twin. Industrial applications frequently demand deterministic, low-latency communication, since decisions made by the twin may need to influence physical processes within tightly bounded time windows. A range of communication protocols has emerged to meet these needs, spanning lightweight messaging protocols optimized for constrained devices to time-sensitive networking standards that guarantee bounded delivery latencies [20]. The advent of fifth-generation cellular networks has further expanded the possibilities, offering the combination of high bandwidth, low latency, and massive device density that large-scale industrial deployments require. Selecting the appropriate communication strategy involves balancing latency, reliability, energy consumption, and cost against the specific demands of the application [20]. A vibration-monitoring sensor on a slowly degrading bearing has very different requirements from a safety interlock that must trip within milliseconds, and the communication fabric must accommodate this diversity of temporal demands within a single coherent architecture.</w:t>
      </w:r>
    </w:p>
    <w:p>
      <w:pPr>
        <w:pStyle w:val="Normal"/>
      </w:pPr>
      <w:r>
        <w:t xml:space="preserve">Cyber-physical systems represent the deeper integration in which computational processes and physical processes are so intimately coupled that they form a unified system. In a cyber-physical system, embedded computers and networks monitor and control physical processes through feedback loops in which physical processes affect computations and vice versa [21]. Digital twins are, in a sense, the informational embodiment of cyber-physical systems, providing the virtual representation through which the computational layer understands and manipulates the physical layer. Interoperability is a critical concern in this context, because industrial environments typically comprise heterogeneous equipment from many vendors, each with its own data formats, protocols, and semantic conventions [22]. Achieving seamless data exchange requires common standards, semantic models, and reference architectures that allow diverse components to understand one another, a challenge that remains an active area of standardization and research [22]. Without such shared semantics, digital twins remain isolated islands of capability, unable to compose into the larger systems-of-systems that the most ambitious Industry 5.0 visions require.</w:t>
      </w:r>
    </w:p>
    <w:p>
      <w:pPr>
        <w:pStyle w:val="Normal"/>
      </w:pPr>
      <w:r>
        <w:t xml:space="preserve">Data quality management deserves particular emphasis, because the value of every downstream analytic depends upon it. Sensor readings are inevitably corrupted by noise, drift, calibration errors, and intermittent failures, and a digital twin that naively trusts such data will produce misleading conclusions. Robust data pipelines therefore incorporate filtering, outlier detection, sensor fusion, and validation stages that clean and reconcile incoming data before it reaches the analytical models. Where sensors are sparse or unreliable, soft sensors, which infer unmeasured quantities from related measurements using models, can fill the gaps. The principle of maintaining a trustworthy, well-curated data foundation is not glamorous, but it is arguably the single most important determinant of whether an intelligent digital twin succeeds or fails in practice, and it consumes a substantial share of the engineering effort in real deployments.</w:t>
      </w:r>
    </w:p>
    <w:p>
      <w:pPr>
        <w:pStyle w:val="Heading2"/>
      </w:pPr>
      <w:r>
        <w:t xml:space="preserve">2.2 AI, Machine Learning, and Analytics in Digital Twins</w:t>
      </w:r>
    </w:p>
    <w:p>
      <w:pPr>
        <w:pStyle w:val="Normal"/>
      </w:pPr>
      <w:r>
        <w:t xml:space="preserve">Artificial intelligence and machine learning transform the digital twin from a faithful mirror into an intelligent, forward-looking entity. Analytics within digital twins are commonly organized along a spectrum of increasing sophistication and value. Descriptive analytics characterize what has happened and what is happening now, providing situational awareness through the aggregation and visualization of operational data. Predictive analytics forecast what is likely to happen, using historical patterns to anticipate future events such as equipment failures or demand fluctuations [23]. Prescriptive analytics recommend what should be done, computing optimal actions that steer the system toward desired outcomes given constraints and objectives [24]. Table 2 contrasts these analytical modes and situates the principal machine learning techniques that support each, providing a map of how analytical ambition escalates from mere observation toward autonomous recommendation.</w:t>
      </w:r>
    </w:p>
    <w:p>
      <w:pPr>
        <w:pStyle w:val="TableCaption"/>
      </w:pPr>
      <w:r>
        <w:rPr>
          <w:b/>
        </w:rPr>
        <w:t xml:space="preserve">Table 2.</w:t>
      </w:r>
      <w:r>
        <w:t xml:space="preserve"> Analytics types and supporting techniques in intelligent digital twins.</w:t>
      </w:r>
    </w:p>
    <w:tbl>
      <w:tblPr>
        <w:tblW w:w="9360" w:type="dxa"/>
        <w:tblLayout w:type="fixed"/>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Pr>
      <w:tblGrid>
        <w:gridCol w:w="2340"/>
        <w:gridCol w:w="2340"/>
        <w:gridCol w:w="2340"/>
        <w:gridCol w:w="2340"/>
      </w:tblGrid>
      <w:tr>
        <w:trPr>
          <w:tblHeader/>
        </w:trPr>
        <w:tc>
          <w:tcPr>
            <w:tcW w:w="2340" w:type="dxa"/>
            <w:shd w:val="clear" w:color="auto" w:fill="1F4E79"/>
            <w:vAlign w:val="center"/>
          </w:tcPr>
          <w:p>
            <w:pPr>
              <w:jc w:val="center"/>
              <w:spacing w:after="20" w:line="240" w:lineRule="auto"/>
            </w:pPr>
            <w:r>
              <w:rPr>
                <w:b/>
                <w:color w:val="FFFFFF"/>
                <w:sz w:val="21"/>
              </w:rPr>
              <w:t xml:space="preserve">Analytics Type</w:t>
            </w:r>
          </w:p>
        </w:tc>
        <w:tc>
          <w:tcPr>
            <w:tcW w:w="2340" w:type="dxa"/>
            <w:shd w:val="clear" w:color="auto" w:fill="1F4E79"/>
            <w:vAlign w:val="center"/>
          </w:tcPr>
          <w:p>
            <w:pPr>
              <w:jc w:val="center"/>
              <w:spacing w:after="20" w:line="240" w:lineRule="auto"/>
            </w:pPr>
            <w:r>
              <w:rPr>
                <w:b/>
                <w:color w:val="FFFFFF"/>
                <w:sz w:val="21"/>
              </w:rPr>
              <w:t xml:space="preserve">Question Addressed</w:t>
            </w:r>
          </w:p>
        </w:tc>
        <w:tc>
          <w:tcPr>
            <w:tcW w:w="2340" w:type="dxa"/>
            <w:shd w:val="clear" w:color="auto" w:fill="1F4E79"/>
            <w:vAlign w:val="center"/>
          </w:tcPr>
          <w:p>
            <w:pPr>
              <w:jc w:val="center"/>
              <w:spacing w:after="20" w:line="240" w:lineRule="auto"/>
            </w:pPr>
            <w:r>
              <w:rPr>
                <w:b/>
                <w:color w:val="FFFFFF"/>
                <w:sz w:val="21"/>
              </w:rPr>
              <w:t xml:space="preserve">Representative Techniques</w:t>
            </w:r>
          </w:p>
        </w:tc>
        <w:tc>
          <w:tcPr>
            <w:tcW w:w="2340" w:type="dxa"/>
            <w:shd w:val="clear" w:color="auto" w:fill="1F4E79"/>
            <w:vAlign w:val="center"/>
          </w:tcPr>
          <w:p>
            <w:pPr>
              <w:jc w:val="center"/>
              <w:spacing w:after="20" w:line="240" w:lineRule="auto"/>
            </w:pPr>
            <w:r>
              <w:rPr>
                <w:b/>
                <w:color w:val="FFFFFF"/>
                <w:sz w:val="21"/>
              </w:rPr>
              <w:t xml:space="preserve">Industry 5.0 Benefit</w:t>
            </w:r>
          </w:p>
        </w:tc>
      </w:tr>
      <w:tr>
        <w:tc>
          <w:tcPr>
            <w:tcW w:w="2340" w:type="dxa"/>
            <w:shd w:val="clear" w:color="auto" w:fill="F2F6FB"/>
            <w:vAlign w:val="center"/>
          </w:tcPr>
          <w:p>
            <w:pPr>
              <w:spacing w:after="20" w:line="240" w:lineRule="auto"/>
            </w:pPr>
            <w:r>
              <w:rPr>
                <w:sz w:val="21"/>
              </w:rPr>
              <w:t xml:space="preserve">Descriptive</w:t>
            </w:r>
          </w:p>
        </w:tc>
        <w:tc>
          <w:tcPr>
            <w:tcW w:w="2340" w:type="dxa"/>
            <w:shd w:val="clear" w:color="auto" w:fill="F2F6FB"/>
            <w:vAlign w:val="center"/>
          </w:tcPr>
          <w:p>
            <w:pPr>
              <w:spacing w:after="20" w:line="240" w:lineRule="auto"/>
            </w:pPr>
            <w:r>
              <w:rPr>
                <w:sz w:val="21"/>
              </w:rPr>
              <w:t xml:space="preserve">What is happening?</w:t>
            </w:r>
          </w:p>
        </w:tc>
        <w:tc>
          <w:tcPr>
            <w:tcW w:w="2340" w:type="dxa"/>
            <w:shd w:val="clear" w:color="auto" w:fill="F2F6FB"/>
            <w:vAlign w:val="center"/>
          </w:tcPr>
          <w:p>
            <w:pPr>
              <w:spacing w:after="20" w:line="240" w:lineRule="auto"/>
            </w:pPr>
            <w:r>
              <w:rPr>
                <w:sz w:val="21"/>
              </w:rPr>
              <w:t xml:space="preserve">Statistical aggregation, visualization</w:t>
            </w:r>
          </w:p>
        </w:tc>
        <w:tc>
          <w:tcPr>
            <w:tcW w:w="2340" w:type="dxa"/>
            <w:shd w:val="clear" w:color="auto" w:fill="F2F6FB"/>
            <w:vAlign w:val="center"/>
          </w:tcPr>
          <w:p>
            <w:pPr>
              <w:spacing w:after="20" w:line="240" w:lineRule="auto"/>
            </w:pPr>
            <w:r>
              <w:rPr>
                <w:sz w:val="21"/>
              </w:rPr>
              <w:t xml:space="preserve">Situational awareness</w:t>
            </w:r>
          </w:p>
        </w:tc>
      </w:tr>
      <w:tr>
        <w:tc>
          <w:tcPr>
            <w:tcW w:w="2340" w:type="dxa"/>
            <w:shd w:val="clear" w:color="auto" w:fill="FFFFFF"/>
            <w:vAlign w:val="center"/>
          </w:tcPr>
          <w:p>
            <w:pPr>
              <w:spacing w:after="20" w:line="240" w:lineRule="auto"/>
            </w:pPr>
            <w:r>
              <w:rPr>
                <w:sz w:val="21"/>
              </w:rPr>
              <w:t xml:space="preserve">Diagnostic</w:t>
            </w:r>
          </w:p>
        </w:tc>
        <w:tc>
          <w:tcPr>
            <w:tcW w:w="2340" w:type="dxa"/>
            <w:shd w:val="clear" w:color="auto" w:fill="FFFFFF"/>
            <w:vAlign w:val="center"/>
          </w:tcPr>
          <w:p>
            <w:pPr>
              <w:spacing w:after="20" w:line="240" w:lineRule="auto"/>
            </w:pPr>
            <w:r>
              <w:rPr>
                <w:sz w:val="21"/>
              </w:rPr>
              <w:t xml:space="preserve">Why did it happen?</w:t>
            </w:r>
          </w:p>
        </w:tc>
        <w:tc>
          <w:tcPr>
            <w:tcW w:w="2340" w:type="dxa"/>
            <w:shd w:val="clear" w:color="auto" w:fill="FFFFFF"/>
            <w:vAlign w:val="center"/>
          </w:tcPr>
          <w:p>
            <w:pPr>
              <w:spacing w:after="20" w:line="240" w:lineRule="auto"/>
            </w:pPr>
            <w:r>
              <w:rPr>
                <w:sz w:val="21"/>
              </w:rPr>
              <w:t xml:space="preserve">Correlation analysis, clustering</w:t>
            </w:r>
          </w:p>
        </w:tc>
        <w:tc>
          <w:tcPr>
            <w:tcW w:w="2340" w:type="dxa"/>
            <w:shd w:val="clear" w:color="auto" w:fill="FFFFFF"/>
            <w:vAlign w:val="center"/>
          </w:tcPr>
          <w:p>
            <w:pPr>
              <w:spacing w:after="20" w:line="240" w:lineRule="auto"/>
            </w:pPr>
            <w:r>
              <w:rPr>
                <w:sz w:val="21"/>
              </w:rPr>
              <w:t xml:space="preserve">Faster root-cause resolution</w:t>
            </w:r>
          </w:p>
        </w:tc>
      </w:tr>
      <w:tr>
        <w:tc>
          <w:tcPr>
            <w:tcW w:w="2340" w:type="dxa"/>
            <w:shd w:val="clear" w:color="auto" w:fill="F2F6FB"/>
            <w:vAlign w:val="center"/>
          </w:tcPr>
          <w:p>
            <w:pPr>
              <w:spacing w:after="20" w:line="240" w:lineRule="auto"/>
            </w:pPr>
            <w:r>
              <w:rPr>
                <w:sz w:val="21"/>
              </w:rPr>
              <w:t xml:space="preserve">Predictive</w:t>
            </w:r>
          </w:p>
        </w:tc>
        <w:tc>
          <w:tcPr>
            <w:tcW w:w="2340" w:type="dxa"/>
            <w:shd w:val="clear" w:color="auto" w:fill="F2F6FB"/>
            <w:vAlign w:val="center"/>
          </w:tcPr>
          <w:p>
            <w:pPr>
              <w:spacing w:after="20" w:line="240" w:lineRule="auto"/>
            </w:pPr>
            <w:r>
              <w:rPr>
                <w:sz w:val="21"/>
              </w:rPr>
              <w:t xml:space="preserve">What will happen?</w:t>
            </w:r>
          </w:p>
        </w:tc>
        <w:tc>
          <w:tcPr>
            <w:tcW w:w="2340" w:type="dxa"/>
            <w:shd w:val="clear" w:color="auto" w:fill="F2F6FB"/>
            <w:vAlign w:val="center"/>
          </w:tcPr>
          <w:p>
            <w:pPr>
              <w:spacing w:after="20" w:line="240" w:lineRule="auto"/>
            </w:pPr>
            <w:r>
              <w:rPr>
                <w:sz w:val="21"/>
              </w:rPr>
              <w:t xml:space="preserve">Regression, neural networks, time-series models</w:t>
            </w:r>
          </w:p>
        </w:tc>
        <w:tc>
          <w:tcPr>
            <w:tcW w:w="2340" w:type="dxa"/>
            <w:shd w:val="clear" w:color="auto" w:fill="F2F6FB"/>
            <w:vAlign w:val="center"/>
          </w:tcPr>
          <w:p>
            <w:pPr>
              <w:spacing w:after="20" w:line="240" w:lineRule="auto"/>
            </w:pPr>
            <w:r>
              <w:rPr>
                <w:sz w:val="21"/>
              </w:rPr>
              <w:t xml:space="preserve">Proactive maintenance</w:t>
            </w:r>
          </w:p>
        </w:tc>
      </w:tr>
      <w:tr>
        <w:tc>
          <w:tcPr>
            <w:tcW w:w="2340" w:type="dxa"/>
            <w:shd w:val="clear" w:color="auto" w:fill="FFFFFF"/>
            <w:vAlign w:val="center"/>
          </w:tcPr>
          <w:p>
            <w:pPr>
              <w:spacing w:after="20" w:line="240" w:lineRule="auto"/>
            </w:pPr>
            <w:r>
              <w:rPr>
                <w:sz w:val="21"/>
              </w:rPr>
              <w:t xml:space="preserve">Prescriptive</w:t>
            </w:r>
          </w:p>
        </w:tc>
        <w:tc>
          <w:tcPr>
            <w:tcW w:w="2340" w:type="dxa"/>
            <w:shd w:val="clear" w:color="auto" w:fill="FFFFFF"/>
            <w:vAlign w:val="center"/>
          </w:tcPr>
          <w:p>
            <w:pPr>
              <w:spacing w:after="20" w:line="240" w:lineRule="auto"/>
            </w:pPr>
            <w:r>
              <w:rPr>
                <w:sz w:val="21"/>
              </w:rPr>
              <w:t xml:space="preserve">What should be done?</w:t>
            </w:r>
          </w:p>
        </w:tc>
        <w:tc>
          <w:tcPr>
            <w:tcW w:w="2340" w:type="dxa"/>
            <w:shd w:val="clear" w:color="auto" w:fill="FFFFFF"/>
            <w:vAlign w:val="center"/>
          </w:tcPr>
          <w:p>
            <w:pPr>
              <w:spacing w:after="20" w:line="240" w:lineRule="auto"/>
            </w:pPr>
            <w:r>
              <w:rPr>
                <w:sz w:val="21"/>
              </w:rPr>
              <w:t xml:space="preserve">Reinforcement learning, optimization</w:t>
            </w:r>
          </w:p>
        </w:tc>
        <w:tc>
          <w:tcPr>
            <w:tcW w:w="2340" w:type="dxa"/>
            <w:shd w:val="clear" w:color="auto" w:fill="FFFFFF"/>
            <w:vAlign w:val="center"/>
          </w:tcPr>
          <w:p>
            <w:pPr>
              <w:spacing w:after="20" w:line="240" w:lineRule="auto"/>
            </w:pPr>
            <w:r>
              <w:rPr>
                <w:sz w:val="21"/>
              </w:rPr>
              <w:t xml:space="preserve">Autonomous decision support</w:t>
            </w:r>
          </w:p>
        </w:tc>
      </w:tr>
    </w:tbl>
    <w:p>
      <w:pPr>
        <w:spacing w:after="120"/>
      </w:pPr>
    </w:p>
    <w:p>
      <w:pPr>
        <w:pStyle w:val="Normal"/>
      </w:pPr>
      <w:r>
        <w:t xml:space="preserve">Deep learning has substantially expanded the analytical power of digital twins by enabling models to learn hierarchical representations directly from raw, high-dimensional data. Convolutional neural networks excel at extracting features from imagery and spatial data, making them well suited to visual quality inspection and thermal analysis, while recurrent architectures and transformer-based models capture temporal dependencies in sensor time series, supporting accurate forecasting of degradation and performance trends [25]. Reinforcement learning offers a particularly compelling paradigm for digital twins because it learns optimal control policies through interaction, and the twin provides a safe virtual environment in which an agent can explore and learn without risking damage to physical assets [26]. This capacity to train controllers in simulation before deploying them to the physical world, often described as sim-to-real transfer, is one of the most powerful contributions of digital twins to intelligent automation, dramatically reducing the cost and risk of developing autonomous control policies. Anomaly detection, whether through supervised classifiers, unsupervised clustering, or autoencoder-based reconstruction error, provides the vigilant monitoring that underpins condition-based maintenance and safety assurance [27].</w:t>
      </w:r>
    </w:p>
    <w:p>
      <w:pPr>
        <w:pStyle w:val="Normal"/>
      </w:pPr>
      <w:r>
        <w:t xml:space="preserve">Data-driven optimization and intelligent decision support represent the culmination of these analytical capabilities. By coupling accurate predictive models with optimization algorithms, digital twins can identify operating conditions that simultaneously satisfy multiple, often competing objectives such as maximizing throughput, minimizing energy consumption, and preserving asset health [28]. In the Industry 5.0 framing, these decision-support capabilities are deliberately designed to keep humans informed and in control, presenting recommendations with explanations and confidence estimates rather than opaque directives, thereby fostering the trust and collaboration that human-centric industry demands [28]. The combination of accurate prediction, principled optimization, and transparent presentation constitutes the analytical heart of the intelligent digital twin. As models grow more capable, however, they also grow more complex and harder to interpret, creating a tension between predictive accuracy and human understanding that recurs throughout the field and that later sections of this chapter revisit in the context of explainability and trust.</w:t>
      </w:r>
    </w:p>
    <w:p>
      <w:pPr>
        <w:pStyle w:val="Heading2"/>
      </w:pPr>
      <w:r>
        <w:t xml:space="preserve">2.3 Edge, Cloud, and Distributed Computing for Digital Twins</w:t>
      </w:r>
    </w:p>
    <w:p>
      <w:pPr>
        <w:pStyle w:val="Normal"/>
      </w:pPr>
      <w:r>
        <w:t xml:space="preserve">The computational demands of intelligent digital twins are substantial and heterogeneous, spanning latency-critical control decisions that must be made in microseconds and computationally intensive analytics that may run over hours across enormous datasets. This diversity of requirements has given rise to distributed computing architectures that allocate computational tasks across a continuum extending from the edge, where data originates, to the cloud, where vast resources reside [29]. Edge intelligence places computation near the physical asset, enabling low-latency processing for time-critical functions such as safety interlocks, real-time control, and immediate anomaly response. By processing data locally, edge computing also reduces the volume of data that must be transmitted to the cloud, alleviating bandwidth constraints and mitigating privacy concerns by keeping sensitive raw data on premises [29]. Figure 2 depicts the edge-to-cloud computing continuum, illustrating how latency-sensitive functions are pushed toward the edge while resource-intensive functions gravitate toward the cloud, with an intermediate fog tier mediating between the two.</w:t>
      </w:r>
    </w:p>
    <w:p>
      <w:pPr>
        <w:pStyle w:val="ImagePara"/>
      </w:pPr>
      <w:r>
        <w:drawing>
          <wp:inline xmlns:wp="http://schemas.openxmlformats.org/drawingml/2006/wordprocessingDrawing" distT="0" distB="0" distL="0" distR="0">
            <wp:extent cx="5486400" cy="3657600"/>
            <wp:effectExtent l="0" t="0" r="0" b="0"/>
            <wp:docPr id="2" name="Figure_2_Edge_Cloud_Continuu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_2_Edge_Cloud_Continuum.png"/>
                    <pic:cNvPicPr/>
                  </pic:nvPicPr>
                  <pic:blipFill>
                    <a:blip xmlns:r="http://schemas.openxmlformats.org/officeDocument/2006/relationships" r:embed="rIdImg101"/>
                    <a:stretch>
                      <a:fillRect/>
                    </a:stretch>
                  </pic:blipFill>
                  <pic:spPr>
                    <a:xfrm>
                      <a:off x="0" y="0"/>
                      <a:ext cx="5486400" cy="3657600"/>
                    </a:xfrm>
                    <a:prstGeom prst="rect">
                      <a:avLst/>
                    </a:prstGeom>
                  </pic:spPr>
                </pic:pic>
              </a:graphicData>
            </a:graphic>
          </wp:inline>
        </w:drawing>
      </w:r>
    </w:p>
    <w:p>
      <w:pPr>
        <w:pStyle w:val="Caption"/>
      </w:pPr>
      <w:r>
        <w:t xml:space="preserve">Figure 2. The edge-fog-cloud computing continuum, distributing digital twin computation across latency and resource tiers from the edge to the cloud.</w:t>
      </w:r>
    </w:p>
    <w:p>
      <w:pPr>
        <w:pStyle w:val="Normal"/>
      </w:pPr>
      <w:r>
        <w:t xml:space="preserve">Cloud computing complements edge intelligence by offering the elastic, virtually unlimited resources needed for the most demanding tasks, including the training of large machine learning models, the aggregation of data across many assets and sites, and the long-term storage of historical records. Cloud-based digital twin platforms have emerged as commercial offerings that provide the tools and infrastructure to build, deploy, and manage twins at scale, abstracting away much of the underlying complexity [30]. These platforms typically expose services for data ingestion, model management, simulation, and visualization, allowing organizations to focus on domain-specific value rather than infrastructure. The economic model of these platforms, often described as digital twin as a service, lowers the barrier to entry for smaller enterprises that lack the resources to build such infrastructure themselves, democratizing access to sophisticated capabilities that were once the preserve of large corporations.</w:t>
      </w:r>
    </w:p>
    <w:p>
      <w:pPr>
        <w:pStyle w:val="Normal"/>
      </w:pPr>
      <w:r>
        <w:t xml:space="preserve">The most capable architectures embrace a hybrid model that dynamically distributes computation across the edge-fog-cloud continuum according to the requirements of each task. Fog computing occupies an intermediate tier, aggregating and processing data from multiple edge nodes before selectively forwarding results to the cloud [31]. This tiered approach supports scalability, allowing systems to grow gracefully as the number of instrumented assets increases, and it supports real-time synchronization by ensuring that time-critical loops close locally while global optimization proceeds centrally [31]. Distributed architectures also enhance resilience, a core Industry 5.0 value, because the failure of any single node or the loss of connectivity to the cloud need not halt local operations, as the edge tier depicted in Figure 2 can continue to execute essential control functions autonomously. The careful orchestration of this distributed fabric, balancing latency, bandwidth, energy, cost, and reliability, constitutes one of the central engineering challenges in deploying intelligent digital twins at industrial scale [32].</w:t>
      </w:r>
    </w:p>
    <w:p>
      <w:pPr>
        <w:pStyle w:val="Heading1"/>
      </w:pPr>
      <w:r>
        <w:t xml:space="preserve">Section 3. Applications of Digital Twins and Intelligent Automation</w:t>
      </w:r>
    </w:p>
    <w:p>
      <w:pPr>
        <w:pStyle w:val="Heading2"/>
      </w:pPr>
      <w:r>
        <w:t xml:space="preserve">3.1 Smart Manufacturing and Autonomous Production Systems</w:t>
      </w:r>
    </w:p>
    <w:p>
      <w:pPr>
        <w:pStyle w:val="Normal"/>
      </w:pPr>
      <w:r>
        <w:t xml:space="preserve">Smart manufacturing represents the most mature and impactful application domain for digital twins and intelligent automation, and it is here that the transition from Industry 4.0 to Industry 5.0 becomes most tangible. Intelligent production planning leverages digital twins of entire factories to simulate and optimize the flow of materials, the scheduling of jobs, and the allocation of resources before any physical action is taken [33]. By running thousands of virtual scenarios, planners can identify bottlenecks, evaluate the impact of disruptions, and select configurations that maximize efficiency while respecting constraints. When these planning capabilities are coupled with real-time data from the shop floor, the digital twin becomes a continuously updating control system that adapts production schedules dynamically in response to changing conditions such as machine breakdowns, rush orders, or material shortages [33]. This dynamic adaptability marks a departure from the rigid, pre-computed schedules of traditional manufacturing, enabling factories to respond to the volatility and customization demands of modern markets while maintaining high utilization of their resources. Figure 3 presents a closed-loop smart manufacturing workflow in which planning, execution, sensing, and adaptation form a continuous cycle mediated by the factory digital twin, showing how deviations detected on the shop floor propagate back into the planning engine to trigger rescheduling and reoptimization.</w:t>
      </w:r>
    </w:p>
    <w:p>
      <w:pPr>
        <w:pStyle w:val="ImagePara"/>
      </w:pPr>
      <w:r>
        <w:drawing>
          <wp:inline xmlns:wp="http://schemas.openxmlformats.org/drawingml/2006/wordprocessingDrawing" distT="0" distB="0" distL="0" distR="0">
            <wp:extent cx="5486400" cy="4267200"/>
            <wp:effectExtent l="0" t="0" r="0" b="0"/>
            <wp:docPr id="3" name="Figure_3_Manufacturing_Work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_3_Manufacturing_Workflow.png"/>
                    <pic:cNvPicPr/>
                  </pic:nvPicPr>
                  <pic:blipFill>
                    <a:blip xmlns:r="http://schemas.openxmlformats.org/officeDocument/2006/relationships" r:embed="rIdImg102"/>
                    <a:stretch>
                      <a:fillRect/>
                    </a:stretch>
                  </pic:blipFill>
                  <pic:spPr>
                    <a:xfrm>
                      <a:off x="0" y="0"/>
                      <a:ext cx="5486400" cy="4267200"/>
                    </a:xfrm>
                    <a:prstGeom prst="rect">
                      <a:avLst/>
                    </a:prstGeom>
                  </pic:spPr>
                </pic:pic>
              </a:graphicData>
            </a:graphic>
          </wp:inline>
        </w:drawing>
      </w:r>
    </w:p>
    <w:p>
      <w:pPr>
        <w:pStyle w:val="Caption"/>
      </w:pPr>
      <w:r>
        <w:t xml:space="preserve">Figure 3. Closed-loop smart manufacturing workflow in which plan, execute, sense, and adapt stages form a continuous cycle mediated by the factory digital twin.</w:t>
      </w:r>
    </w:p>
    <w:p>
      <w:pPr>
        <w:pStyle w:val="Normal"/>
      </w:pPr>
      <w:r>
        <w:t xml:space="preserve">The economic and operational case for such closed-loop workflows is compelling. Traditional manufacturing execution systems react to problems only after they have caused measurable losses, whereas a digital-twin-driven system anticipates and preempts them. Mass customization, in particular, benefits enormously from this architecture, because the twin can validate the feasibility of a bespoke configuration, allocate the necessary resources, and adjust the production plan without halting the line. As the cyclical structure of Figure 3 emphasizes, the intelligence of the system resides not in any single stage but in the tight coupling of all of them, so that the factory behaves less like a fixed pipeline and more like an adaptive organism that senses its environment and reconfigures itself in pursuit of its objectives.</w:t>
      </w:r>
    </w:p>
    <w:p>
      <w:pPr>
        <w:pStyle w:val="Normal"/>
      </w:pPr>
      <w:r>
        <w:t xml:space="preserve">Robotic automation and collaborative robots stand at the center of modern production systems, and digital twins have become indispensable to their deployment and operation. A digital twin of a robotic cell allows engineers to program, validate, and optimize robot motions in the virtual environment, dramatically reducing commissioning time and eliminating the risk of collisions during physical setup [34]. Collaborative robots, designed to work safely alongside human operators, exemplify the human-centric ethos of Industry 5.0 by combining the precision and endurance of machines with the dexterity and judgment of people. Digital twins enhance these systems by continuously monitoring their state, predicting maintenance needs, and adapting their behavior to the presence and actions of human coworkers [34]. The virtual representation allows the robot to reason about the shared workspace, to anticipate the movements of its human partner, and to modulate its own behavior so that collaboration is both safe and productive, transforming the robot from a caged, isolated machine into a genuine teammate.</w:t>
      </w:r>
    </w:p>
    <w:p>
      <w:pPr>
        <w:pStyle w:val="Normal"/>
      </w:pPr>
      <w:r>
        <w:t xml:space="preserve">Predictive maintenance and quality management deliver some of the clearest economic returns from digital twin adoption. By continuously analyzing sensor data against models of normal behavior, digital twins detect the subtle signatures of incipient faults long before they escalate into failures, enabling maintenance to be scheduled precisely when needed rather than on rigid calendar intervals or after costly breakdowns [35]. This condition-based approach reduces downtime, extends asset life, and lowers maintenance costs, while also improving safety by preventing catastrophic failures. In quality management, digital twins enable in-process inspection and control, comparing the emerging characteristics of each product against specifications and adjusting process parameters in real time to keep quality within bounds [35]. The integration of these capabilities into closed-loop control yields autonomous production systems that self-monitor, self-optimize, and self-correct with minimal human intervention, embodying the vision of the self-aware factory in which the burden of routine vigilance is lifted from human shoulders and placed upon tireless digital systems.</w:t>
      </w:r>
    </w:p>
    <w:p>
      <w:pPr>
        <w:pStyle w:val="Normal"/>
      </w:pPr>
      <w:r>
        <w:t xml:space="preserve">It is important to recognize, however, that the value of predictive maintenance depends heavily on the availability of representative failure data, which is often scarce precisely because well-maintained equipment fails infrequently. This scarcity has motivated the use of physics-informed models that encode engineering knowledge about degradation mechanisms, hybrid approaches that blend such models with data-driven learning, and transfer-learning techniques that adapt models trained on one asset to related assets. The digital twin serves as the natural home for these hybrid strategies, because it already contains both the physical model of the asset and the stream of operational data, allowing the two forms of knowledge to be fused in a principled manner. This fusion of first-principles understanding with empirical learning is emerging as a defining characteristic of the most capable industrial digital twins, distinguishing them from purely data-driven systems that struggle when confronted with conditions unlike anything in their training history.</w:t>
      </w:r>
    </w:p>
    <w:p>
      <w:pPr>
        <w:pStyle w:val="Heading2"/>
      </w:pPr>
      <w:r>
        <w:t xml:space="preserve">3.2 Human–Machine Collaboration and Personalized Automation</w:t>
      </w:r>
    </w:p>
    <w:p>
      <w:pPr>
        <w:pStyle w:val="Normal"/>
      </w:pPr>
      <w:r>
        <w:t xml:space="preserve">Human–machine collaboration lies at the philosophical core of Industry 5.0, and digital twins provide the technological substrate that makes rich, safe, and productive collaboration possible. Human-centric manufacturing environments are designed around the capabilities, limitations, and well-being of workers rather than treating people as mere adjuncts to machines [36]. Digital twins contribute to this vision by modeling not only the machines and processes but also the humans who interact with them, capturing ergonomic factors, cognitive workload, and skill profiles to design workplaces and tasks that are both efficient and humane [36]. Table 3 contrasts the automation philosophies of Industry 4.0 and Industry 5.0, highlighting the shift from replacing humans toward augmenting them, and it crystallizes the change in intent that distinguishes the two paradigms even as they share a common technological toolkit.</w:t>
      </w:r>
    </w:p>
    <w:p>
      <w:pPr>
        <w:pStyle w:val="TableCaption"/>
      </w:pPr>
      <w:r>
        <w:rPr>
          <w:b/>
        </w:rPr>
        <w:t xml:space="preserve">Table 3.</w:t>
      </w:r>
      <w:r>
        <w:t xml:space="preserve"> Contrasting automation philosophies of Industry 4.0 and Industry 5.0.</w:t>
      </w:r>
    </w:p>
    <w:tbl>
      <w:tblPr>
        <w:tblW w:w="9360" w:type="dxa"/>
        <w:tblLayout w:type="fixed"/>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Pr>
      <w:tblGrid>
        <w:gridCol w:w="3120"/>
        <w:gridCol w:w="3120"/>
        <w:gridCol w:w="3120"/>
      </w:tblGrid>
      <w:tr>
        <w:trPr>
          <w:tblHeader/>
        </w:trPr>
        <w:tc>
          <w:tcPr>
            <w:tcW w:w="3120" w:type="dxa"/>
            <w:shd w:val="clear" w:color="auto" w:fill="1F4E79"/>
            <w:vAlign w:val="center"/>
          </w:tcPr>
          <w:p>
            <w:pPr>
              <w:jc w:val="center"/>
              <w:spacing w:after="20" w:line="240" w:lineRule="auto"/>
            </w:pPr>
            <w:r>
              <w:rPr>
                <w:b/>
                <w:color w:val="FFFFFF"/>
                <w:sz w:val="21"/>
              </w:rPr>
              <w:t xml:space="preserve">Dimension</w:t>
            </w:r>
          </w:p>
        </w:tc>
        <w:tc>
          <w:tcPr>
            <w:tcW w:w="3120" w:type="dxa"/>
            <w:shd w:val="clear" w:color="auto" w:fill="1F4E79"/>
            <w:vAlign w:val="center"/>
          </w:tcPr>
          <w:p>
            <w:pPr>
              <w:jc w:val="center"/>
              <w:spacing w:after="20" w:line="240" w:lineRule="auto"/>
            </w:pPr>
            <w:r>
              <w:rPr>
                <w:b/>
                <w:color w:val="FFFFFF"/>
                <w:sz w:val="21"/>
              </w:rPr>
              <w:t xml:space="preserve">Industry 4.0 Emphasis</w:t>
            </w:r>
          </w:p>
        </w:tc>
        <w:tc>
          <w:tcPr>
            <w:tcW w:w="3120" w:type="dxa"/>
            <w:shd w:val="clear" w:color="auto" w:fill="1F4E79"/>
            <w:vAlign w:val="center"/>
          </w:tcPr>
          <w:p>
            <w:pPr>
              <w:jc w:val="center"/>
              <w:spacing w:after="20" w:line="240" w:lineRule="auto"/>
            </w:pPr>
            <w:r>
              <w:rPr>
                <w:b/>
                <w:color w:val="FFFFFF"/>
                <w:sz w:val="21"/>
              </w:rPr>
              <w:t xml:space="preserve">Industry 5.0 Emphasis</w:t>
            </w:r>
          </w:p>
        </w:tc>
      </w:tr>
      <w:tr>
        <w:tc>
          <w:tcPr>
            <w:tcW w:w="3120" w:type="dxa"/>
            <w:shd w:val="clear" w:color="auto" w:fill="F2F6FB"/>
            <w:vAlign w:val="center"/>
          </w:tcPr>
          <w:p>
            <w:pPr>
              <w:spacing w:after="20" w:line="240" w:lineRule="auto"/>
            </w:pPr>
            <w:r>
              <w:rPr>
                <w:sz w:val="21"/>
              </w:rPr>
              <w:t xml:space="preserve">Primary objective</w:t>
            </w:r>
          </w:p>
        </w:tc>
        <w:tc>
          <w:tcPr>
            <w:tcW w:w="3120" w:type="dxa"/>
            <w:shd w:val="clear" w:color="auto" w:fill="F2F6FB"/>
            <w:vAlign w:val="center"/>
          </w:tcPr>
          <w:p>
            <w:pPr>
              <w:spacing w:after="20" w:line="240" w:lineRule="auto"/>
            </w:pPr>
            <w:r>
              <w:rPr>
                <w:sz w:val="21"/>
              </w:rPr>
              <w:t xml:space="preserve">Efficiency and productivity</w:t>
            </w:r>
          </w:p>
        </w:tc>
        <w:tc>
          <w:tcPr>
            <w:tcW w:w="3120" w:type="dxa"/>
            <w:shd w:val="clear" w:color="auto" w:fill="F2F6FB"/>
            <w:vAlign w:val="center"/>
          </w:tcPr>
          <w:p>
            <w:pPr>
              <w:spacing w:after="20" w:line="240" w:lineRule="auto"/>
            </w:pPr>
            <w:r>
              <w:rPr>
                <w:sz w:val="21"/>
              </w:rPr>
              <w:t xml:space="preserve">Human well-being and value</w:t>
            </w:r>
          </w:p>
        </w:tc>
      </w:tr>
      <w:tr>
        <w:tc>
          <w:tcPr>
            <w:tcW w:w="3120" w:type="dxa"/>
            <w:shd w:val="clear" w:color="auto" w:fill="FFFFFF"/>
            <w:vAlign w:val="center"/>
          </w:tcPr>
          <w:p>
            <w:pPr>
              <w:spacing w:after="20" w:line="240" w:lineRule="auto"/>
            </w:pPr>
            <w:r>
              <w:rPr>
                <w:sz w:val="21"/>
              </w:rPr>
              <w:t xml:space="preserve">Role of the worker</w:t>
            </w:r>
          </w:p>
        </w:tc>
        <w:tc>
          <w:tcPr>
            <w:tcW w:w="3120" w:type="dxa"/>
            <w:shd w:val="clear" w:color="auto" w:fill="FFFFFF"/>
            <w:vAlign w:val="center"/>
          </w:tcPr>
          <w:p>
            <w:pPr>
              <w:spacing w:after="20" w:line="240" w:lineRule="auto"/>
            </w:pPr>
            <w:r>
              <w:rPr>
                <w:sz w:val="21"/>
              </w:rPr>
              <w:t xml:space="preserve">Operator and monitor</w:t>
            </w:r>
          </w:p>
        </w:tc>
        <w:tc>
          <w:tcPr>
            <w:tcW w:w="3120" w:type="dxa"/>
            <w:shd w:val="clear" w:color="auto" w:fill="FFFFFF"/>
            <w:vAlign w:val="center"/>
          </w:tcPr>
          <w:p>
            <w:pPr>
              <w:spacing w:after="20" w:line="240" w:lineRule="auto"/>
            </w:pPr>
            <w:r>
              <w:rPr>
                <w:sz w:val="21"/>
              </w:rPr>
              <w:t xml:space="preserve">Creative collaborator</w:t>
            </w:r>
          </w:p>
        </w:tc>
      </w:tr>
      <w:tr>
        <w:tc>
          <w:tcPr>
            <w:tcW w:w="3120" w:type="dxa"/>
            <w:shd w:val="clear" w:color="auto" w:fill="F2F6FB"/>
            <w:vAlign w:val="center"/>
          </w:tcPr>
          <w:p>
            <w:pPr>
              <w:spacing w:after="20" w:line="240" w:lineRule="auto"/>
            </w:pPr>
            <w:r>
              <w:rPr>
                <w:sz w:val="21"/>
              </w:rPr>
              <w:t xml:space="preserve">Automation goal</w:t>
            </w:r>
          </w:p>
        </w:tc>
        <w:tc>
          <w:tcPr>
            <w:tcW w:w="3120" w:type="dxa"/>
            <w:shd w:val="clear" w:color="auto" w:fill="F2F6FB"/>
            <w:vAlign w:val="center"/>
          </w:tcPr>
          <w:p>
            <w:pPr>
              <w:spacing w:after="20" w:line="240" w:lineRule="auto"/>
            </w:pPr>
            <w:r>
              <w:rPr>
                <w:sz w:val="21"/>
              </w:rPr>
              <w:t xml:space="preserve">Replace human labor</w:t>
            </w:r>
          </w:p>
        </w:tc>
        <w:tc>
          <w:tcPr>
            <w:tcW w:w="3120" w:type="dxa"/>
            <w:shd w:val="clear" w:color="auto" w:fill="F2F6FB"/>
            <w:vAlign w:val="center"/>
          </w:tcPr>
          <w:p>
            <w:pPr>
              <w:spacing w:after="20" w:line="240" w:lineRule="auto"/>
            </w:pPr>
            <w:r>
              <w:rPr>
                <w:sz w:val="21"/>
              </w:rPr>
              <w:t xml:space="preserve">Augment human capability</w:t>
            </w:r>
          </w:p>
        </w:tc>
      </w:tr>
      <w:tr>
        <w:tc>
          <w:tcPr>
            <w:tcW w:w="3120" w:type="dxa"/>
            <w:shd w:val="clear" w:color="auto" w:fill="FFFFFF"/>
            <w:vAlign w:val="center"/>
          </w:tcPr>
          <w:p>
            <w:pPr>
              <w:spacing w:after="20" w:line="240" w:lineRule="auto"/>
            </w:pPr>
            <w:r>
              <w:rPr>
                <w:sz w:val="21"/>
              </w:rPr>
              <w:t xml:space="preserve">Sustainability</w:t>
            </w:r>
          </w:p>
        </w:tc>
        <w:tc>
          <w:tcPr>
            <w:tcW w:w="3120" w:type="dxa"/>
            <w:shd w:val="clear" w:color="auto" w:fill="FFFFFF"/>
            <w:vAlign w:val="center"/>
          </w:tcPr>
          <w:p>
            <w:pPr>
              <w:spacing w:after="20" w:line="240" w:lineRule="auto"/>
            </w:pPr>
            <w:r>
              <w:rPr>
                <w:sz w:val="21"/>
              </w:rPr>
              <w:t xml:space="preserve">Secondary consideration</w:t>
            </w:r>
          </w:p>
        </w:tc>
        <w:tc>
          <w:tcPr>
            <w:tcW w:w="3120" w:type="dxa"/>
            <w:shd w:val="clear" w:color="auto" w:fill="FFFFFF"/>
            <w:vAlign w:val="center"/>
          </w:tcPr>
          <w:p>
            <w:pPr>
              <w:spacing w:after="20" w:line="240" w:lineRule="auto"/>
            </w:pPr>
            <w:r>
              <w:rPr>
                <w:sz w:val="21"/>
              </w:rPr>
              <w:t xml:space="preserve">Core design principle</w:t>
            </w:r>
          </w:p>
        </w:tc>
      </w:tr>
      <w:tr>
        <w:tc>
          <w:tcPr>
            <w:tcW w:w="3120" w:type="dxa"/>
            <w:shd w:val="clear" w:color="auto" w:fill="F2F6FB"/>
            <w:vAlign w:val="center"/>
          </w:tcPr>
          <w:p>
            <w:pPr>
              <w:spacing w:after="20" w:line="240" w:lineRule="auto"/>
            </w:pPr>
            <w:r>
              <w:rPr>
                <w:sz w:val="21"/>
              </w:rPr>
              <w:t xml:space="preserve">System quality</w:t>
            </w:r>
          </w:p>
        </w:tc>
        <w:tc>
          <w:tcPr>
            <w:tcW w:w="3120" w:type="dxa"/>
            <w:shd w:val="clear" w:color="auto" w:fill="F2F6FB"/>
            <w:vAlign w:val="center"/>
          </w:tcPr>
          <w:p>
            <w:pPr>
              <w:spacing w:after="20" w:line="240" w:lineRule="auto"/>
            </w:pPr>
            <w:r>
              <w:rPr>
                <w:sz w:val="21"/>
              </w:rPr>
              <w:t xml:space="preserve">Optimized for output</w:t>
            </w:r>
          </w:p>
        </w:tc>
        <w:tc>
          <w:tcPr>
            <w:tcW w:w="3120" w:type="dxa"/>
            <w:shd w:val="clear" w:color="auto" w:fill="F2F6FB"/>
            <w:vAlign w:val="center"/>
          </w:tcPr>
          <w:p>
            <w:pPr>
              <w:spacing w:after="20" w:line="240" w:lineRule="auto"/>
            </w:pPr>
            <w:r>
              <w:rPr>
                <w:sz w:val="21"/>
              </w:rPr>
              <w:t xml:space="preserve">Optimized for resilience</w:t>
            </w:r>
          </w:p>
        </w:tc>
      </w:tr>
    </w:tbl>
    <w:p>
      <w:pPr>
        <w:spacing w:after="120"/>
      </w:pPr>
    </w:p>
    <w:p>
      <w:pPr>
        <w:pStyle w:val="Normal"/>
      </w:pPr>
      <w:r>
        <w:t xml:space="preserve">Digital twins for worker assistance and safety are transforming how people interact with hazardous or complex industrial environments. By fusing data from wearable sensors, environmental monitors, and machine controllers, a digital twin can maintain a real-time model of worker location, physiological state, and surrounding hazards, issuing timely warnings and even halting equipment when danger is detected [37]. Augmented-reality interfaces driven by digital twins overlay contextual information onto the worker's field of view, guiding assembly, maintenance, and inspection tasks with step-by-step instructions that reduce errors and accelerate training [37]. These assistance systems embody the Industry 5.0 principle of technology serving human needs, enhancing safety and competence rather than surveilling or constraining the worker. The design of such systems must nonetheless tread carefully, for the same sensing that protects the worker could, if misused, become a tool of intrusive monitoring, a tension that the ethical discussion later in this chapter addresses directly.</w:t>
      </w:r>
    </w:p>
    <w:p>
      <w:pPr>
        <w:pStyle w:val="Normal"/>
      </w:pPr>
      <w:r>
        <w:t xml:space="preserve">Adaptive human–robot collaboration and augmented intelligence represent the frontier of personalized automation. In advanced collaborative systems, robots continuously adapt their speed, force, and trajectory to the behavior and preferences of individual human partners, learning over time to anticipate their coworkers' intentions and to complement their actions [38]. The digital twin serves as the shared model of the collaborative workspace, enabling the robot to reason about the human's likely next moves and to coordinate seamlessly. Augmented intelligence, in which the machine amplifies rather than supplants human cognition, emerges when the digital twin presents workers with predictive insights and decision support that extend their situational awareness and judgment [38]. This partnership between human intuition and machine analysis exemplifies the collaborative intelligence that defines the human-centric factory of the future, in which the combined performance of the human–machine team surpasses what either could achieve alone, and in which the worker's expertise is amplified rather than rendered obsolete. Realizing this partnership at scale also demands attention to the evolving skills that workers require, for the shift from operating machines to collaborating with intelligent systems changes the nature of industrial work profoundly. Investment in training, reskilling, and the thoughtful design of human roles is therefore inseparable from the technical deployment of digital twins, and organizations that neglect this human dimension often find that even technically excellent systems fail to deliver their promised value because the people expected to work alongside them have not been equipped or empowered to do so.</w:t>
      </w:r>
    </w:p>
    <w:p>
      <w:pPr>
        <w:pStyle w:val="Heading2"/>
      </w:pPr>
      <w:r>
        <w:t xml:space="preserve">3.3 Sustainable and Resilient Industrial Systems</w:t>
      </w:r>
    </w:p>
    <w:p>
      <w:pPr>
        <w:pStyle w:val="Normal"/>
      </w:pPr>
      <w:r>
        <w:t xml:space="preserve">Sustainability is a defining pillar of Industry 5.0, and digital twins have become powerful instruments for reducing the environmental footprint of industrial activity. Energy and resource optimization is among the most direct contributions, as digital twins model the energy consumption of processes and equipment in fine detail, revealing inefficiencies and enabling the identification of operating strategies that minimize consumption without compromising output [39]. By simulating alternative configurations, schedules, and control policies, digital twins allow organizations to reduce energy use, cut costs, and lower greenhouse-gas emissions, aligning economic and environmental objectives [39]. Table 4 summarizes representative applications of digital twins across manufacturing, energy, and supply-chain domains along with their principal Industry 5.0 benefits, illustrating how a single underlying technology serves each of the three pillars in distinct but complementary ways.</w:t>
      </w:r>
    </w:p>
    <w:p>
      <w:pPr>
        <w:pStyle w:val="TableCaption"/>
      </w:pPr>
      <w:r>
        <w:rPr>
          <w:b/>
        </w:rPr>
        <w:t xml:space="preserve">Table 4.</w:t>
      </w:r>
      <w:r>
        <w:t xml:space="preserve"> Representative digital twin applications and their Industry 5.0 contributions.</w:t>
      </w:r>
    </w:p>
    <w:tbl>
      <w:tblPr>
        <w:tblW w:w="9360" w:type="dxa"/>
        <w:tblLayout w:type="fixed"/>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Pr>
      <w:tblGrid>
        <w:gridCol w:w="2340"/>
        <w:gridCol w:w="2340"/>
        <w:gridCol w:w="2340"/>
        <w:gridCol w:w="2340"/>
      </w:tblGrid>
      <w:tr>
        <w:trPr>
          <w:tblHeader/>
        </w:trPr>
        <w:tc>
          <w:tcPr>
            <w:tcW w:w="2340" w:type="dxa"/>
            <w:shd w:val="clear" w:color="auto" w:fill="1F4E79"/>
            <w:vAlign w:val="center"/>
          </w:tcPr>
          <w:p>
            <w:pPr>
              <w:jc w:val="center"/>
              <w:spacing w:after="20" w:line="240" w:lineRule="auto"/>
            </w:pPr>
            <w:r>
              <w:rPr>
                <w:b/>
                <w:color w:val="FFFFFF"/>
                <w:sz w:val="21"/>
              </w:rPr>
              <w:t xml:space="preserve">Application Domain</w:t>
            </w:r>
          </w:p>
        </w:tc>
        <w:tc>
          <w:tcPr>
            <w:tcW w:w="2340" w:type="dxa"/>
            <w:shd w:val="clear" w:color="auto" w:fill="1F4E79"/>
            <w:vAlign w:val="center"/>
          </w:tcPr>
          <w:p>
            <w:pPr>
              <w:jc w:val="center"/>
              <w:spacing w:after="20" w:line="240" w:lineRule="auto"/>
            </w:pPr>
            <w:r>
              <w:rPr>
                <w:b/>
                <w:color w:val="FFFFFF"/>
                <w:sz w:val="21"/>
              </w:rPr>
              <w:t xml:space="preserve">Digital Twin Function</w:t>
            </w:r>
          </w:p>
        </w:tc>
        <w:tc>
          <w:tcPr>
            <w:tcW w:w="2340" w:type="dxa"/>
            <w:shd w:val="clear" w:color="auto" w:fill="1F4E79"/>
            <w:vAlign w:val="center"/>
          </w:tcPr>
          <w:p>
            <w:pPr>
              <w:jc w:val="center"/>
              <w:spacing w:after="20" w:line="240" w:lineRule="auto"/>
            </w:pPr>
            <w:r>
              <w:rPr>
                <w:b/>
                <w:color w:val="FFFFFF"/>
                <w:sz w:val="21"/>
              </w:rPr>
              <w:t xml:space="preserve">Primary Benefit</w:t>
            </w:r>
          </w:p>
        </w:tc>
        <w:tc>
          <w:tcPr>
            <w:tcW w:w="2340" w:type="dxa"/>
            <w:shd w:val="clear" w:color="auto" w:fill="1F4E79"/>
            <w:vAlign w:val="center"/>
          </w:tcPr>
          <w:p>
            <w:pPr>
              <w:jc w:val="center"/>
              <w:spacing w:after="20" w:line="240" w:lineRule="auto"/>
            </w:pPr>
            <w:r>
              <w:rPr>
                <w:b/>
                <w:color w:val="FFFFFF"/>
                <w:sz w:val="21"/>
              </w:rPr>
              <w:t xml:space="preserve">Industry 5.0 Pillar</w:t>
            </w:r>
          </w:p>
        </w:tc>
      </w:tr>
      <w:tr>
        <w:tc>
          <w:tcPr>
            <w:tcW w:w="2340" w:type="dxa"/>
            <w:shd w:val="clear" w:color="auto" w:fill="F2F6FB"/>
            <w:vAlign w:val="center"/>
          </w:tcPr>
          <w:p>
            <w:pPr>
              <w:spacing w:after="20" w:line="240" w:lineRule="auto"/>
            </w:pPr>
            <w:r>
              <w:rPr>
                <w:sz w:val="21"/>
              </w:rPr>
              <w:t xml:space="preserve">Discrete manufacturing</w:t>
            </w:r>
          </w:p>
        </w:tc>
        <w:tc>
          <w:tcPr>
            <w:tcW w:w="2340" w:type="dxa"/>
            <w:shd w:val="clear" w:color="auto" w:fill="F2F6FB"/>
            <w:vAlign w:val="center"/>
          </w:tcPr>
          <w:p>
            <w:pPr>
              <w:spacing w:after="20" w:line="240" w:lineRule="auto"/>
            </w:pPr>
            <w:r>
              <w:rPr>
                <w:sz w:val="21"/>
              </w:rPr>
              <w:t xml:space="preserve">Process simulation and control</w:t>
            </w:r>
          </w:p>
        </w:tc>
        <w:tc>
          <w:tcPr>
            <w:tcW w:w="2340" w:type="dxa"/>
            <w:shd w:val="clear" w:color="auto" w:fill="F2F6FB"/>
            <w:vAlign w:val="center"/>
          </w:tcPr>
          <w:p>
            <w:pPr>
              <w:spacing w:after="20" w:line="240" w:lineRule="auto"/>
            </w:pPr>
            <w:r>
              <w:rPr>
                <w:sz w:val="21"/>
              </w:rPr>
              <w:t xml:space="preserve">Reduced waste and rework</w:t>
            </w:r>
          </w:p>
        </w:tc>
        <w:tc>
          <w:tcPr>
            <w:tcW w:w="2340" w:type="dxa"/>
            <w:shd w:val="clear" w:color="auto" w:fill="F2F6FB"/>
            <w:vAlign w:val="center"/>
          </w:tcPr>
          <w:p>
            <w:pPr>
              <w:spacing w:after="20" w:line="240" w:lineRule="auto"/>
            </w:pPr>
            <w:r>
              <w:rPr>
                <w:sz w:val="21"/>
              </w:rPr>
              <w:t xml:space="preserve">Sustainability</w:t>
            </w:r>
          </w:p>
        </w:tc>
      </w:tr>
      <w:tr>
        <w:tc>
          <w:tcPr>
            <w:tcW w:w="2340" w:type="dxa"/>
            <w:shd w:val="clear" w:color="auto" w:fill="FFFFFF"/>
            <w:vAlign w:val="center"/>
          </w:tcPr>
          <w:p>
            <w:pPr>
              <w:spacing w:after="20" w:line="240" w:lineRule="auto"/>
            </w:pPr>
            <w:r>
              <w:rPr>
                <w:sz w:val="21"/>
              </w:rPr>
              <w:t xml:space="preserve">Predictive maintenance</w:t>
            </w:r>
          </w:p>
        </w:tc>
        <w:tc>
          <w:tcPr>
            <w:tcW w:w="2340" w:type="dxa"/>
            <w:shd w:val="clear" w:color="auto" w:fill="FFFFFF"/>
            <w:vAlign w:val="center"/>
          </w:tcPr>
          <w:p>
            <w:pPr>
              <w:spacing w:after="20" w:line="240" w:lineRule="auto"/>
            </w:pPr>
            <w:r>
              <w:rPr>
                <w:sz w:val="21"/>
              </w:rPr>
              <w:t xml:space="preserve">Fault prediction and scheduling</w:t>
            </w:r>
          </w:p>
        </w:tc>
        <w:tc>
          <w:tcPr>
            <w:tcW w:w="2340" w:type="dxa"/>
            <w:shd w:val="clear" w:color="auto" w:fill="FFFFFF"/>
            <w:vAlign w:val="center"/>
          </w:tcPr>
          <w:p>
            <w:pPr>
              <w:spacing w:after="20" w:line="240" w:lineRule="auto"/>
            </w:pPr>
            <w:r>
              <w:rPr>
                <w:sz w:val="21"/>
              </w:rPr>
              <w:t xml:space="preserve">Reduced downtime</w:t>
            </w:r>
          </w:p>
        </w:tc>
        <w:tc>
          <w:tcPr>
            <w:tcW w:w="2340" w:type="dxa"/>
            <w:shd w:val="clear" w:color="auto" w:fill="FFFFFF"/>
            <w:vAlign w:val="center"/>
          </w:tcPr>
          <w:p>
            <w:pPr>
              <w:spacing w:after="20" w:line="240" w:lineRule="auto"/>
            </w:pPr>
            <w:r>
              <w:rPr>
                <w:sz w:val="21"/>
              </w:rPr>
              <w:t xml:space="preserve">Resilience</w:t>
            </w:r>
          </w:p>
        </w:tc>
      </w:tr>
      <w:tr>
        <w:tc>
          <w:tcPr>
            <w:tcW w:w="2340" w:type="dxa"/>
            <w:shd w:val="clear" w:color="auto" w:fill="F2F6FB"/>
            <w:vAlign w:val="center"/>
          </w:tcPr>
          <w:p>
            <w:pPr>
              <w:spacing w:after="20" w:line="240" w:lineRule="auto"/>
            </w:pPr>
            <w:r>
              <w:rPr>
                <w:sz w:val="21"/>
              </w:rPr>
              <w:t xml:space="preserve">Energy management</w:t>
            </w:r>
          </w:p>
        </w:tc>
        <w:tc>
          <w:tcPr>
            <w:tcW w:w="2340" w:type="dxa"/>
            <w:shd w:val="clear" w:color="auto" w:fill="F2F6FB"/>
            <w:vAlign w:val="center"/>
          </w:tcPr>
          <w:p>
            <w:pPr>
              <w:spacing w:after="20" w:line="240" w:lineRule="auto"/>
            </w:pPr>
            <w:r>
              <w:rPr>
                <w:sz w:val="21"/>
              </w:rPr>
              <w:t xml:space="preserve">Consumption modeling and optimization</w:t>
            </w:r>
          </w:p>
        </w:tc>
        <w:tc>
          <w:tcPr>
            <w:tcW w:w="2340" w:type="dxa"/>
            <w:shd w:val="clear" w:color="auto" w:fill="F2F6FB"/>
            <w:vAlign w:val="center"/>
          </w:tcPr>
          <w:p>
            <w:pPr>
              <w:spacing w:after="20" w:line="240" w:lineRule="auto"/>
            </w:pPr>
            <w:r>
              <w:rPr>
                <w:sz w:val="21"/>
              </w:rPr>
              <w:t xml:space="preserve">Lower emissions</w:t>
            </w:r>
          </w:p>
        </w:tc>
        <w:tc>
          <w:tcPr>
            <w:tcW w:w="2340" w:type="dxa"/>
            <w:shd w:val="clear" w:color="auto" w:fill="F2F6FB"/>
            <w:vAlign w:val="center"/>
          </w:tcPr>
          <w:p>
            <w:pPr>
              <w:spacing w:after="20" w:line="240" w:lineRule="auto"/>
            </w:pPr>
            <w:r>
              <w:rPr>
                <w:sz w:val="21"/>
              </w:rPr>
              <w:t xml:space="preserve">Sustainability</w:t>
            </w:r>
          </w:p>
        </w:tc>
      </w:tr>
      <w:tr>
        <w:tc>
          <w:tcPr>
            <w:tcW w:w="2340" w:type="dxa"/>
            <w:shd w:val="clear" w:color="auto" w:fill="FFFFFF"/>
            <w:vAlign w:val="center"/>
          </w:tcPr>
          <w:p>
            <w:pPr>
              <w:spacing w:after="20" w:line="240" w:lineRule="auto"/>
            </w:pPr>
            <w:r>
              <w:rPr>
                <w:sz w:val="21"/>
              </w:rPr>
              <w:t xml:space="preserve">Worker assistance</w:t>
            </w:r>
          </w:p>
        </w:tc>
        <w:tc>
          <w:tcPr>
            <w:tcW w:w="2340" w:type="dxa"/>
            <w:shd w:val="clear" w:color="auto" w:fill="FFFFFF"/>
            <w:vAlign w:val="center"/>
          </w:tcPr>
          <w:p>
            <w:pPr>
              <w:spacing w:after="20" w:line="240" w:lineRule="auto"/>
            </w:pPr>
            <w:r>
              <w:rPr>
                <w:sz w:val="21"/>
              </w:rPr>
              <w:t xml:space="preserve">Ergonomic and safety monitoring</w:t>
            </w:r>
          </w:p>
        </w:tc>
        <w:tc>
          <w:tcPr>
            <w:tcW w:w="2340" w:type="dxa"/>
            <w:shd w:val="clear" w:color="auto" w:fill="FFFFFF"/>
            <w:vAlign w:val="center"/>
          </w:tcPr>
          <w:p>
            <w:pPr>
              <w:spacing w:after="20" w:line="240" w:lineRule="auto"/>
            </w:pPr>
            <w:r>
              <w:rPr>
                <w:sz w:val="21"/>
              </w:rPr>
              <w:t xml:space="preserve">Improved well-being</w:t>
            </w:r>
          </w:p>
        </w:tc>
        <w:tc>
          <w:tcPr>
            <w:tcW w:w="2340" w:type="dxa"/>
            <w:shd w:val="clear" w:color="auto" w:fill="FFFFFF"/>
            <w:vAlign w:val="center"/>
          </w:tcPr>
          <w:p>
            <w:pPr>
              <w:spacing w:after="20" w:line="240" w:lineRule="auto"/>
            </w:pPr>
            <w:r>
              <w:rPr>
                <w:sz w:val="21"/>
              </w:rPr>
              <w:t xml:space="preserve">Human-centricity</w:t>
            </w:r>
          </w:p>
        </w:tc>
      </w:tr>
      <w:tr>
        <w:tc>
          <w:tcPr>
            <w:tcW w:w="2340" w:type="dxa"/>
            <w:shd w:val="clear" w:color="auto" w:fill="F2F6FB"/>
            <w:vAlign w:val="center"/>
          </w:tcPr>
          <w:p>
            <w:pPr>
              <w:spacing w:after="20" w:line="240" w:lineRule="auto"/>
            </w:pPr>
            <w:r>
              <w:rPr>
                <w:sz w:val="21"/>
              </w:rPr>
              <w:t xml:space="preserve">Supply-chain management</w:t>
            </w:r>
          </w:p>
        </w:tc>
        <w:tc>
          <w:tcPr>
            <w:tcW w:w="2340" w:type="dxa"/>
            <w:shd w:val="clear" w:color="auto" w:fill="F2F6FB"/>
            <w:vAlign w:val="center"/>
          </w:tcPr>
          <w:p>
            <w:pPr>
              <w:spacing w:after="20" w:line="240" w:lineRule="auto"/>
            </w:pPr>
            <w:r>
              <w:rPr>
                <w:sz w:val="21"/>
              </w:rPr>
              <w:t xml:space="preserve">Disruption simulation and planning</w:t>
            </w:r>
          </w:p>
        </w:tc>
        <w:tc>
          <w:tcPr>
            <w:tcW w:w="2340" w:type="dxa"/>
            <w:shd w:val="clear" w:color="auto" w:fill="F2F6FB"/>
            <w:vAlign w:val="center"/>
          </w:tcPr>
          <w:p>
            <w:pPr>
              <w:spacing w:after="20" w:line="240" w:lineRule="auto"/>
            </w:pPr>
            <w:r>
              <w:rPr>
                <w:sz w:val="21"/>
              </w:rPr>
              <w:t xml:space="preserve">Continuity of operations</w:t>
            </w:r>
          </w:p>
        </w:tc>
        <w:tc>
          <w:tcPr>
            <w:tcW w:w="2340" w:type="dxa"/>
            <w:shd w:val="clear" w:color="auto" w:fill="F2F6FB"/>
            <w:vAlign w:val="center"/>
          </w:tcPr>
          <w:p>
            <w:pPr>
              <w:spacing w:after="20" w:line="240" w:lineRule="auto"/>
            </w:pPr>
            <w:r>
              <w:rPr>
                <w:sz w:val="21"/>
              </w:rPr>
              <w:t xml:space="preserve">Resilience</w:t>
            </w:r>
          </w:p>
        </w:tc>
      </w:tr>
    </w:tbl>
    <w:p>
      <w:pPr>
        <w:spacing w:after="120"/>
      </w:pPr>
    </w:p>
    <w:p>
      <w:pPr>
        <w:pStyle w:val="Normal"/>
      </w:pPr>
      <w:r>
        <w:t xml:space="preserve">Carbon-aware manufacturing and circular production extend the sustainability agenda beyond immediate efficiency toward systemic environmental stewardship. Carbon-aware systems account for the carbon intensity of energy sources and can shift flexible loads to periods when low-carbon electricity is abundant, reducing emissions without altering total output [40]. Circular production reimagines manufacturing as a closed loop in which materials are recovered, remanufactured, and reused rather than discarded, and digital twins support this vision by tracking the composition, condition, and history of products and materials throughout their life cycles [40]. Such life-cycle twins enable informed decisions about repair, refurbishment, and recycling, keeping materials in productive use and reducing the demand for virgin resources. As the applications catalogued in Table 4 suggest, the environmental contributions of digital twins are not confined to a single stage of production but extend across the entire life cycle, from design through operation to end-of-life recovery, embedding sustainability into the fabric of industrial decision-making.</w:t>
      </w:r>
    </w:p>
    <w:p>
      <w:pPr>
        <w:pStyle w:val="Normal"/>
      </w:pPr>
      <w:r>
        <w:t xml:space="preserve">Resilience, the third pillar of Industry 5.0, is powerfully served by digital twins that model risk and enhance the robustness of supply chains. Supply-chain digital twins create virtual representations of the entire network of suppliers, production sites, warehouses, and distribution channels, allowing organizations to simulate the propagation of disruptions and to evaluate mitigation strategies before crises strike [41]. When a disruption occurs, whether a supplier failure, a transportation bottleneck, or a demand shock, the twin can rapidly assess its impact and recommend responses such as rerouting shipments, adjusting production, or activating alternative suppliers [41]. This capacity for anticipation and rapid adaptation transforms supply chains from brittle, efficiency-optimized structures into resilient, adaptive networks capable of absorbing shocks and recovering quickly, embodying the resilient industrial systems that Industry 5.0 aspires to build [41]. The lessons of recent global disruptions have made painfully clear the cost of brittle, hyper-optimized supply chains, and digital twins offer a principled means of building in the redundancy, visibility, and agility that resilience demands without abandoning the efficiency that competitiveness requires. Figure 4 visualizes the mutually reinforcing relationships among the three pillars of Industry 5.0 and the digital twin capabilities that serve each, positioning human-centricity, sustainability, and resilience as complementary rather than competing goals.</w:t>
      </w:r>
    </w:p>
    <w:p>
      <w:pPr>
        <w:pStyle w:val="ImagePara"/>
      </w:pPr>
      <w:r>
        <w:drawing>
          <wp:inline xmlns:wp="http://schemas.openxmlformats.org/drawingml/2006/wordprocessingDrawing" distT="0" distB="0" distL="0" distR="0">
            <wp:extent cx="5486400" cy="3798276"/>
            <wp:effectExtent l="0" t="0" r="0" b="0"/>
            <wp:docPr id="4" name="Figure_4_Industry5_Pilla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_4_Industry5_Pillars.png"/>
                    <pic:cNvPicPr/>
                  </pic:nvPicPr>
                  <pic:blipFill>
                    <a:blip xmlns:r="http://schemas.openxmlformats.org/officeDocument/2006/relationships" r:embed="rIdImg103"/>
                    <a:stretch>
                      <a:fillRect/>
                    </a:stretch>
                  </pic:blipFill>
                  <pic:spPr>
                    <a:xfrm>
                      <a:off x="0" y="0"/>
                      <a:ext cx="5486400" cy="3798276"/>
                    </a:xfrm>
                    <a:prstGeom prst="rect">
                      <a:avLst/>
                    </a:prstGeom>
                  </pic:spPr>
                </pic:pic>
              </a:graphicData>
            </a:graphic>
          </wp:inline>
        </w:drawing>
      </w:r>
    </w:p>
    <w:p>
      <w:pPr>
        <w:pStyle w:val="Caption"/>
      </w:pPr>
      <w:r>
        <w:t xml:space="preserve">Figure 4. The three mutually reinforcing pillars of Industry 5.0 - human-centricity, sustainability, and resilience - and the digital twin capabilities that support each.</w:t>
      </w:r>
    </w:p>
    <w:p>
      <w:pPr>
        <w:pStyle w:val="Normal"/>
      </w:pPr>
      <w:r>
        <w:t xml:space="preserve">The interdependence depicted in Figure 4 is not merely conceptual but practical. A supply chain that is more resilient tends also to be more sustainable, because avoiding disruption-driven expediting, emergency air freight, and wasteful overproduction reduces both cost and emissions. Likewise, a more human-centric operation, in which experienced workers are engaged as informed collaborators rather than sidelined, tends to detect and resolve emerging problems earlier, contributing to resilience. Digital twins act as the connective tissue that allows these synergies to be recognized and exploited, providing a common analytical substrate on which the trade-offs and reinforcements among the three pillars can be modeled, quantified, and optimized in an integrated fashion rather than pursued in isolation.</w:t>
      </w:r>
    </w:p>
    <w:p>
      <w:pPr>
        <w:pStyle w:val="Heading1"/>
      </w:pPr>
      <w:r>
        <w:t xml:space="preserve">Section 4. Challenges, Opportunities, and Future Directions</w:t>
      </w:r>
    </w:p>
    <w:p>
      <w:pPr>
        <w:pStyle w:val="Heading2"/>
      </w:pPr>
      <w:r>
        <w:t xml:space="preserve">4.1 Security, Privacy, Interoperability, and Ethical Challenges</w:t>
      </w:r>
    </w:p>
    <w:p>
      <w:pPr>
        <w:pStyle w:val="Normal"/>
      </w:pPr>
      <w:r>
        <w:t xml:space="preserve">The deep connectivity that makes intelligent digital twins possible also renders them attractive targets and expands the attack surface of industrial systems, making cybersecurity a paramount concern. A digital twin that is tightly coupled to its physical counterpart through closed-loop control represents a potential pathway for adversaries to manipulate physical processes, with consequences ranging from production disruption to physical damage and threats to human safety [42]. Securing digital twins requires a defense-in-depth strategy encompassing device authentication, encrypted communication, network segmentation, intrusion detection, and continuous monitoring, all designed to protect the integrity and availability of both the data streams and the control pathways [42]. The convergence of information technology and operational technology further complicates security, since operational systems were historically designed for isolation and longevity rather than for the threat environment of connected networks. Legacy equipment that may remain in service for decades was never intended to withstand modern cyberattacks, and retrofitting security onto such systems poses formidable practical challenges that organizations must confront as they connect ever more of their infrastructure.</w:t>
      </w:r>
    </w:p>
    <w:p>
      <w:pPr>
        <w:pStyle w:val="Normal"/>
      </w:pPr>
      <w:r>
        <w:t xml:space="preserve">Data privacy and governance pose challenges that are both technical and organizational. Digital twins aggregate vast quantities of data, some of which may be sensitive, including proprietary process information, commercially valuable performance data, and, in human-centric applications, personal data about workers [42]. Responsible governance requires clear policies about what data is collected, how it is used, who may access it, and how long it is retained, along with technical measures such as anonymization, access control, and privacy-preserving computation that protect individuals and organizations [42]. In human-centric Industry 5.0 applications, the monitoring of workers raises particularly delicate questions about consent, autonomy, and the boundary between assistance and surveillance, questions that must be resolved through transparent policies and worker participation. A system that monitors a worker's physiological state to protect their safety can, with a change of purpose and without any change of technology, become an instrument of oppressive oversight, and only clear governance, meaningful consent, and worker involvement in design can keep such systems on the right side of that line.</w:t>
      </w:r>
    </w:p>
    <w:p>
      <w:pPr>
        <w:pStyle w:val="Normal"/>
      </w:pPr>
      <w:r>
        <w:t xml:space="preserve">Interoperability and ethical considerations round out the principal challenges. The heterogeneity of industrial systems means that achieving seamless integration across vendors, platforms, and generations of equipment remains difficult, and the absence of universally adopted standards impedes the composition of digital twins from diverse components [43]. Ongoing standardization efforts seek to define common reference architectures, data models, and interfaces that promote interoperability, but progress is gradual and the landscape remains fragmented. Ethical challenges arise from the increasing autonomy of intelligent systems, raising questions about accountability when autonomous decisions cause harm, about fairness when algorithms allocate resources or evaluate workers, and about transparency when opaque models drive consequential decisions [43]. Ethical artificial intelligence, grounded in principles of fairness, accountability, transparency, and respect for human autonomy, is essential to ensuring that intelligent digital twins serve rather than undermine the human-centric aspirations of Industry 5.0 [43]. These are not questions that technology alone can answer; they demand the engagement of workers, managers, regulators, and society at large in shaping how these powerful systems are deployed.</w:t>
      </w:r>
    </w:p>
    <w:p>
      <w:pPr>
        <w:pStyle w:val="Heading2"/>
      </w:pPr>
      <w:r>
        <w:t xml:space="preserve">4.2 Emerging Trends in Intelligent Industry 5.0 Automation</w:t>
      </w:r>
    </w:p>
    <w:p>
      <w:pPr>
        <w:pStyle w:val="Normal"/>
      </w:pPr>
      <w:r>
        <w:t xml:space="preserve">Generative artificial intelligence has rapidly emerged as a transformative force with profound implications for digital twins and intelligent automation. Generative models can synthesize realistic data to augment sparse training sets, propose novel designs that satisfy specified constraints, and generate natural-language explanations and interfaces that make complex twin behavior accessible to human users [44]. Large language models, in particular, are enabling conversational interfaces through which engineers and operators can query digital twins, request analyses, and issue instructions in natural language, lowering the barrier to interaction and democratizing access to sophisticated capabilities [44]. When embedded within industrial workflows, generative artificial intelligence promises to accelerate design, streamline troubleshooting, and enrich the collaboration between humans and their digital counterparts. The technology is not without risks, however, for generative models can produce plausible but incorrect outputs, and their deployment in safety-critical industrial contexts demands rigorous validation and human oversight to guard against confident errors.</w:t>
      </w:r>
    </w:p>
    <w:p>
      <w:pPr>
        <w:pStyle w:val="Normal"/>
      </w:pPr>
      <w:r>
        <w:t xml:space="preserve">Autonomous industrial agents represent a natural evolution in which artificial intelligence systems act with increasing independence to pursue goals within industrial environments. These agents perceive their surroundings through the digital twin, reason about the best course of action, and execute decisions through connected actuators, coordinating with other agents and with human supervisors to accomplish complex objectives [45]. Digital twin-driven autonomous decision-making extends this concept to the enterprise scale, where networks of twins and agents collaboratively manage production, logistics, and maintenance with minimal human intervention, escalating to human judgment only when situations exceed their competence or raise ethical questions [45]. This vision of orchestrated autonomy, tempered by human oversight, aligns with the Industry 5.0 principle of keeping humans meaningfully in the loop even as routine operations become increasingly self-directed. The design of such multi-agent systems raises deep questions about coordination, conflict resolution, and emergent behavior, for a collection of individually rational agents can, without careful design, produce collectively undesirable outcomes. Mechanisms drawn from game theory, market design, and consensus protocols are increasingly employed to align the incentives of individual agents with the goals of the system as a whole, ensuring that local optimization does not undermine global objectives.</w:t>
      </w:r>
    </w:p>
    <w:p>
      <w:pPr>
        <w:pStyle w:val="Normal"/>
      </w:pPr>
      <w:r>
        <w:t xml:space="preserve">The metaverse, extended reality, and immersive industrial environments constitute a third major trend reshaping how humans interact with digital twins. Extended reality technologies, encompassing virtual, augmented, and mixed reality, enable users to enter and manipulate digital twins in immersive three-dimensional environments, providing an intuitive medium for design, training, remote collaboration, and operations [46]. The industrial metaverse envisions persistent, shared virtual spaces in which distributed teams collaborate around common digital twins, conducting reviews, simulations, and interventions as though physically co-located [46]. These immersive environments make the abstract concrete, allowing humans to perceive and reason about complex systems in ways that flat displays cannot match, and they exemplify the human-centric orientation of Industry 5.0 by prioritizing intuitive, empowering interfaces that amplify human understanding and agency. As these technologies mature, the boundary between the physical factory and its virtual representation may become increasingly porous, with workers moving fluidly between direct physical action and immersive virtual interaction according to the demands of the task at hand.</w:t>
      </w:r>
    </w:p>
    <w:p>
      <w:pPr>
        <w:pStyle w:val="Heading2"/>
      </w:pPr>
      <w:r>
        <w:t xml:space="preserve">4.3 Future Research Directions and Industrial Perspectives</w:t>
      </w:r>
    </w:p>
    <w:p>
      <w:pPr>
        <w:pStyle w:val="Normal"/>
      </w:pPr>
      <w:r>
        <w:t xml:space="preserve">Self-evolving and cognitive digital twins represent perhaps the most ambitious frontier of ongoing research. A cognitive digital twin transcends the passive mirroring of its predecessors, incorporating reasoning, learning, and self-adaptation so that it can autonomously refine its own models, discover new relationships, and improve its performance over time without explicit reprogramming [47]. Such twins would continuously learn from the streams of data they receive, updating their internal representations to reflect the evolving reality of the physical system and adapting to changes in the environment, the asset, and the objectives they serve [47]. Realizing this vision demands advances in continual learning, causal reasoning, and knowledge representation, as well as architectures that can integrate diverse forms of knowledge, from first-principles physics to learned statistical patterns, into a coherent and self-improving whole [47]. The prospect of twins that grow more capable with experience is tantalizing, but it also intensifies the challenges of validation and trust, for a system that changes itself is inherently harder to certify and to predict than one that remains fixed. Addressing this tension is likely to require new approaches to certification that treat the twin's learning process itself as an object of verification, establishing bounds on how much and how quickly a self-evolving twin may adapt, and requiring that any consequential change to its behavior be subject to review before it takes effect in safety-critical settings. In this way, the benefits of continual adaptation can be reconciled with the assurance that regulated and hazardous industries demand.</w:t>
      </w:r>
    </w:p>
    <w:p>
      <w:pPr>
        <w:pStyle w:val="Normal"/>
      </w:pPr>
      <w:r>
        <w:t xml:space="preserve">Explainable, trustworthy, and human-centric automation constitutes a research priority that is essential to the responsible realization of Industry 5.0. As digital twins and their embedded intelligence assume greater autonomy and influence, the ability of humans to understand, trust, and appropriately rely upon them becomes critical [47]. Explainable artificial intelligence seeks to render the reasoning of complex models intelligible to human users, providing justifications for predictions and recommendations that enable informed oversight and calibrated trust [47]. Trustworthy automation extends beyond explainability to encompass reliability, robustness, fairness, and alignment with human values, ensuring that autonomous systems behave predictably and beneficially even in unforeseen circumstances [47]. Research in human-centric automation further investigates how to design the division of labor, the interfaces, and the interaction patterns between humans and intelligent systems so as to maximize the combined performance of the human–machine team while preserving human agency and dignity [47]. The goal is not blind trust but calibrated trust, in which humans understand both the capabilities and the limitations of their digital collaborators and rely upon them accordingly.</w:t>
      </w:r>
    </w:p>
    <w:p>
      <w:pPr>
        <w:pStyle w:val="Normal"/>
      </w:pPr>
      <w:r>
        <w:t xml:space="preserve">The ultimate horizon toward which these research directions converge is a vision of sustainable, resilient, and fully adaptive Industry 5.0 ecosystems. In such ecosystems, networks of intelligent, self-evolving digital twins would span organizations and sectors, coordinating to optimize not merely the efficiency of individual enterprises but the sustainability and resilience of entire industrial and ecological systems [47]. These ecosystems would adapt continuously to changing conditions, absorbing disruptions, minimizing environmental impact, and reconfiguring themselves to meet emerging needs, all while keeping human welfare and values at their center [47]. Achieving this vision will require not only technological advances but also new forms of governance, collaboration, and shared standards that align the many actors involved toward common goals [47]. The convergence of digital twins and intelligent automation thus points toward a future in which industry serves as a positive force for human flourishing and planetary stewardship [47]. Fulfilling the deepest aspirations of the Industry 5.0 paradigm will demand sustained interdisciplinary collaboration among engineers, computer scientists, social scientists, and policymakers, ensuring that as these systems grow more capable they remain firmly anchored to the human and ecological values they are meant to serve [47].</w:t>
      </w:r>
    </w:p>
    <w:p>
      <w:pPr>
        <w:pStyle w:val="Heading1"/>
      </w:pPr>
      <w:r>
        <w:t xml:space="preserve">References</w:t>
      </w:r>
    </w:p>
    <w:p>
      <w:pPr>
        <w:pStyle w:val="Reference"/>
      </w:pPr>
      <w:r>
        <w:t xml:space="preserve">[1] Grieves, M., &amp; Vickers, J. (2017). Digital twin: Mitigating unpredictable, undesirable emergent behavior in complex systems. Transdisciplinary Perspectives on Complex Systems, 85-113.</w:t>
      </w:r>
    </w:p>
    <w:p>
      <w:pPr>
        <w:pStyle w:val="Reference"/>
      </w:pPr>
      <w:r>
        <w:t xml:space="preserve">[2] Tao, F., Zhang, H., Liu, A., &amp; Nee, A. Y. C. (2019). Digital twin in industry: State-of-the-art. IEEE Transactions on Industrial Informatics, 15(4), 2405-2415.</w:t>
      </w:r>
    </w:p>
    <w:p>
      <w:pPr>
        <w:pStyle w:val="Reference"/>
      </w:pPr>
      <w:r>
        <w:t xml:space="preserve">[3] Jones, D., Snider, C., Nassehi, A., Yon, J., &amp; Hicks, B. (2020). Characterising the digital twin: A systematic literature review. CIRP Journal of Manufacturing Science and Technology, 29, 36-52.</w:t>
      </w:r>
    </w:p>
    <w:p>
      <w:pPr>
        <w:pStyle w:val="Reference"/>
      </w:pPr>
      <w:r>
        <w:t xml:space="preserve">[4] Qi, Q., &amp; Tao, F. (2018). Digital twin and big data towards smart manufacturing and Industry 4.0. IEEE Access, 6, 3585-3593.</w:t>
      </w:r>
    </w:p>
    <w:p>
      <w:pPr>
        <w:pStyle w:val="Reference"/>
      </w:pPr>
      <w:r>
        <w:t xml:space="preserve">[5] Kritzinger, W., Karner, M., Traar, G., Henjes, J., &amp; Sihn, W. (2018). Digital twin in manufacturing: A categorical literature review and classification. IFAC-PapersOnLine, 51(11), 1016-1022.</w:t>
      </w:r>
    </w:p>
    <w:p>
      <w:pPr>
        <w:pStyle w:val="Reference"/>
      </w:pPr>
      <w:r>
        <w:t xml:space="preserve">[6] Rasheed, A., San, O., &amp; Kvamsdal, T. (2020). Digital twin: Values, challenges and enablers from a modeling perspective. IEEE Access, 8, 21980-22012.</w:t>
      </w:r>
    </w:p>
    <w:p>
      <w:pPr>
        <w:pStyle w:val="Reference"/>
      </w:pPr>
      <w:r>
        <w:t xml:space="preserve">[7] Lu, Y. (2017). Industry 4.0: A survey on technologies, applications and open research issues. Journal of Industrial Information Integration, 6, 1-10.</w:t>
      </w:r>
    </w:p>
    <w:p>
      <w:pPr>
        <w:pStyle w:val="Reference"/>
      </w:pPr>
      <w:r>
        <w:t xml:space="preserve">[8] Xu, X., Lu, Y., Vogel-Heuser, B., &amp; Wang, L. (2021). Industry 4.0 and Industry 5.0 - Inception, conception and perception. Journal of Manufacturing Systems, 61, 530-535.</w:t>
      </w:r>
    </w:p>
    <w:p>
      <w:pPr>
        <w:pStyle w:val="Reference"/>
      </w:pPr>
      <w:r>
        <w:t xml:space="preserve">[9] Leng, J., Sha, W., Wang, B., Zheng, P., Zhuang, C., &amp; Liu, Q. (2022). Industry 5.0: Prospect and retrospect. Journal of Manufacturing Systems, 65, 279-295.</w:t>
      </w:r>
    </w:p>
    <w:p>
      <w:pPr>
        <w:pStyle w:val="Reference"/>
      </w:pPr>
      <w:r>
        <w:t xml:space="preserve">[10] Nahavandi, S. (2019). Industry 5.0 - A human-centric solution. Sustainability, 11(16), 4371.</w:t>
      </w:r>
    </w:p>
    <w:p>
      <w:pPr>
        <w:pStyle w:val="Reference"/>
      </w:pPr>
      <w:r>
        <w:t xml:space="preserve">[11] Ghobakhloo, M., Iranmanesh, M., Mubarak, M. F., Mubarik, M., Rejeb, A., &amp; Nilashi, M. (2022). Identifying Industry 5.0 contributions to sustainable development. Sustainable Production and Consumption, 33, 716-737.</w:t>
      </w:r>
    </w:p>
    <w:p>
      <w:pPr>
        <w:pStyle w:val="Reference"/>
      </w:pPr>
      <w:r>
        <w:t xml:space="preserve">[12] Ivanov, D. (2023). The Industry 5.0 framework: Viability-based integration of the resilience, sustainability, and human-centricity perspectives. International Journal of Production Research, 61(5), 1683-1695.</w:t>
      </w:r>
    </w:p>
    <w:p>
      <w:pPr>
        <w:pStyle w:val="Reference"/>
      </w:pPr>
      <w:r>
        <w:t xml:space="preserve">[13] Boyes, H., Hallaq, B., Cunningham, J., &amp; Watson, T. (2018). The industrial internet of things (IIoT): An analysis framework. Computers in Industry, 101, 1-12.</w:t>
      </w:r>
    </w:p>
    <w:p>
      <w:pPr>
        <w:pStyle w:val="Reference"/>
      </w:pPr>
      <w:r>
        <w:t xml:space="preserve">[14] Shi, W., Cao, J., Zhang, Q., Li, Y., &amp; Xu, L. (2016). Edge computing: Vision and challenges. IEEE Internet of Things Journal, 3(5), 637-646.</w:t>
      </w:r>
    </w:p>
    <w:p>
      <w:pPr>
        <w:pStyle w:val="Reference"/>
      </w:pPr>
      <w:r>
        <w:t xml:space="preserve">[15] Zhong, R. Y., Xu, X., Klotz, E., &amp; Newman, S. T. (2017). Intelligent manufacturing in the context of Industry 4.0: A review. Engineering, 3(5), 616-630.</w:t>
      </w:r>
    </w:p>
    <w:p>
      <w:pPr>
        <w:pStyle w:val="Reference"/>
      </w:pPr>
      <w:r>
        <w:t xml:space="preserve">[16] Lu, Y., Liu, C., Wang, K. I. K., Huang, H., &amp; Xu, X. (2020). Digital twin-driven smart manufacturing: Connotation, reference model, applications and research issues. Robotics and Computer-Integrated Manufacturing, 61, 101837.</w:t>
      </w:r>
    </w:p>
    <w:p>
      <w:pPr>
        <w:pStyle w:val="Reference"/>
      </w:pPr>
      <w:r>
        <w:t xml:space="preserve">[17] Wang, B., Zheng, P., Yin, Y., Shih, A., &amp; Wang, L. (2022). Toward human-centric smart manufacturing: A human-cyber-physical systems perspective. Journal of Manufacturing Systems, 63, 471-490.</w:t>
      </w:r>
    </w:p>
    <w:p>
      <w:pPr>
        <w:pStyle w:val="Reference"/>
      </w:pPr>
      <w:r>
        <w:t xml:space="preserve">[18] Tao, F., Cheng, J., Qi, Q., Zhang, M., Zhang, H., &amp; Sui, F. (2018). Digital twin-driven product design, manufacturing and service with big data. International Journal of Advanced Manufacturing Technology, 94, 3563-3576.</w:t>
      </w:r>
    </w:p>
    <w:p>
      <w:pPr>
        <w:pStyle w:val="Reference"/>
      </w:pPr>
      <w:r>
        <w:t xml:space="preserve">[19] Diez-Olivan, A., Del Ser, J., Galar, D., &amp; Sierra, B. (2019). Data fusion and machine learning for industrial prognosis: Trends and perspectives towards Industry 4.0. Information Fusion, 50, 92-111.</w:t>
      </w:r>
    </w:p>
    <w:p>
      <w:pPr>
        <w:pStyle w:val="Reference"/>
      </w:pPr>
      <w:r>
        <w:t xml:space="preserve">[20] Lepenioti, K., Bousdekis, A., Apostolou, D., &amp; Mentzas, G. (2020). Prescriptive analytics: Literature review and research challenges. International Journal of Information Management, 50, 57-70.</w:t>
      </w:r>
    </w:p>
    <w:p>
      <w:pPr>
        <w:pStyle w:val="Reference"/>
      </w:pPr>
      <w:r>
        <w:t xml:space="preserve">[21] Uhlemann, T. H. J., Lehmann, C., &amp; Steinhilper, R. (2017). The digital twin: Realizing the cyber-physical production system for Industry 4.0. Procedia CIRP, 61, 335-340.</w:t>
      </w:r>
    </w:p>
    <w:p>
      <w:pPr>
        <w:pStyle w:val="Reference"/>
      </w:pPr>
      <w:r>
        <w:t xml:space="preserve">[22] Kritzinger, W., Traar, G., Henjes, J., &amp; Sihn, W. (2020). Digital twin-based production scheduling and control. International Journal of Production Research, 58(15), 4652-4668.</w:t>
      </w:r>
    </w:p>
    <w:p>
      <w:pPr>
        <w:pStyle w:val="Reference"/>
      </w:pPr>
      <w:r>
        <w:t xml:space="preserve">[23] Romero, D., Stahre, J., &amp; Taisch, M. (2020). The Operator 4.0: Towards socially sustainable factories of the future. Computers &amp; Industrial Engineering, 139, 106128.</w:t>
      </w:r>
    </w:p>
    <w:p>
      <w:pPr>
        <w:pStyle w:val="Reference"/>
      </w:pPr>
      <w:r>
        <w:t xml:space="preserve">[24] Sisinni, E., Saifullah, A., Han, S., Jennehag, U., &amp; Gidlund, M. (2018). Industrial internet of things: Challenges, opportunities, and directions. IEEE Transactions on Industrial Informatics, 14(11), 4724-4734.</w:t>
      </w:r>
    </w:p>
    <w:p>
      <w:pPr>
        <w:pStyle w:val="Reference"/>
      </w:pPr>
      <w:r>
        <w:t xml:space="preserve">[25] Wollschlaeger, M., Sauter, T., &amp; Jasperneite, J. (2017). The future of industrial communication: Automation networks in the era of the internet of things and Industry 4.0. IEEE Industrial Electronics Magazine, 11(1), 17-27.</w:t>
      </w:r>
    </w:p>
    <w:p>
      <w:pPr>
        <w:pStyle w:val="Reference"/>
      </w:pPr>
      <w:r>
        <w:t xml:space="preserve">[26] Nasrallah, A., Thyagaturu, A. S., Alharbi, Z., Wang, C., Shao, X., &amp; Reisslein, M. (2019). Ultra-low latency in 5G networks and time-sensitive networking. IEEE Communications Surveys &amp; Tutorials, 21(1), 88-145.</w:t>
      </w:r>
    </w:p>
    <w:p>
      <w:pPr>
        <w:pStyle w:val="Reference"/>
      </w:pPr>
      <w:r>
        <w:t xml:space="preserve">[27] Cheng, J., Chen, W., Tao, F., &amp; Lin, C. L. (2018). Industrial IoT in 5G environment towards smart manufacturing. Journal of Industrial Information Integration, 10, 10-19.</w:t>
      </w:r>
    </w:p>
    <w:p>
      <w:pPr>
        <w:pStyle w:val="Reference"/>
      </w:pPr>
      <w:r>
        <w:t xml:space="preserve">[28] Lee, E. A. (2015). The past, present and future of cyber-physical systems: A focus on models. Sensors, 15(3), 4837-4869.</w:t>
      </w:r>
    </w:p>
    <w:p>
      <w:pPr>
        <w:pStyle w:val="Reference"/>
      </w:pPr>
      <w:r>
        <w:t xml:space="preserve">[29] Monostori, L., Kadar, B., Bauernhansl, T., Kondoh, S., Kumara, S., &amp; Reinhart, G. (2016). Cyber-physical systems in manufacturing. CIRP Annals, 65(2), 621-641.</w:t>
      </w:r>
    </w:p>
    <w:p>
      <w:pPr>
        <w:pStyle w:val="Reference"/>
      </w:pPr>
      <w:r>
        <w:t xml:space="preserve">[30] Lu, Y., Morris, K. C., &amp; Frechette, S. (2016). Current standards landscape for smart manufacturing systems. NIST Interagency Report, 8107, 1-39.</w:t>
      </w:r>
    </w:p>
    <w:p>
      <w:pPr>
        <w:pStyle w:val="Reference"/>
      </w:pPr>
      <w:r>
        <w:t xml:space="preserve">[31] Wang, J., Ma, Y., Zhang, L., Gao, R. X., &amp; Wu, D. (2018). Deep learning for smart manufacturing: Methods and applications. Journal of Manufacturing Systems, 48, 144-156.</w:t>
      </w:r>
    </w:p>
    <w:p>
      <w:pPr>
        <w:pStyle w:val="Reference"/>
      </w:pPr>
      <w:r>
        <w:t xml:space="preserve">[32] Nian, R., Liu, J., &amp; Huang, B. (2020). A review on reinforcement learning: Introduction and applications in industrial process control. Computers &amp; Chemical Engineering, 139, 106886.</w:t>
      </w:r>
    </w:p>
    <w:p>
      <w:pPr>
        <w:pStyle w:val="Reference"/>
      </w:pPr>
      <w:r>
        <w:t xml:space="preserve">[33] Qi, Q., Tao, F., Hu, T., Anwer, N., Liu, A., &amp; Wei, Y. (2021). Enabling technologies and tools for digital twin. Journal of Manufacturing Systems, 58, 3-21.</w:t>
      </w:r>
    </w:p>
    <w:p>
      <w:pPr>
        <w:pStyle w:val="Reference"/>
      </w:pPr>
      <w:r>
        <w:t xml:space="preserve">[34] Aheleroff, S., Xu, X., Zhong, R. Y., &amp; Lu, Y. (2021). Digital twin as a service (DTaaS) in Industry 4.0: An architecture reference model. Advanced Engineering Informatics, 47, 101225.</w:t>
      </w:r>
    </w:p>
    <w:p>
      <w:pPr>
        <w:pStyle w:val="Reference"/>
      </w:pPr>
      <w:r>
        <w:t xml:space="preserve">[35] Errandonea, I., Beltran, S., &amp; Arrizabalaga, S. (2020). Digital twin for maintenance: A literature review. Computers in Industry, 123, 103316.</w:t>
      </w:r>
    </w:p>
    <w:p>
      <w:pPr>
        <w:pStyle w:val="Reference"/>
      </w:pPr>
      <w:r>
        <w:t xml:space="preserve">[36] Longo, F., Padovano, A., &amp; Umbrello, S. (2020). Value-oriented and ethical technology engineering in Industry 5.0: A human-centric perspective. Applied Sciences, 10(12), 4182.</w:t>
      </w:r>
    </w:p>
    <w:p>
      <w:pPr>
        <w:pStyle w:val="Reference"/>
      </w:pPr>
      <w:r>
        <w:t xml:space="preserve">[37] Fraga-Lamas, P., Fernandez-Carames, T. M., Blanco-Novoa, O., &amp; Vilar-Montesinos, M. A. (2018). A review on industrial augmented reality systems for the Industry 4.0 shipyard. IEEE Access, 6, 13358-13375.</w:t>
      </w:r>
    </w:p>
    <w:p>
      <w:pPr>
        <w:pStyle w:val="Reference"/>
      </w:pPr>
      <w:r>
        <w:t xml:space="preserve">[38] Wang, L., Gao, R., Vancza, J., Kruger, J., Wang, X. V., Makris, S., &amp; Chryssolouris, G. (2019). Symbiotic human-robot collaborative assembly. CIRP Annals, 68(2), 701-726.</w:t>
      </w:r>
    </w:p>
    <w:p>
      <w:pPr>
        <w:pStyle w:val="Reference"/>
      </w:pPr>
      <w:r>
        <w:t xml:space="preserve">[39] He, B., &amp; Bai, K. J. (2021). Digital twin-based sustainable intelligent manufacturing: A review. Advances in Manufacturing, 9(1), 1-21.</w:t>
      </w:r>
    </w:p>
    <w:p>
      <w:pPr>
        <w:pStyle w:val="Reference"/>
      </w:pPr>
      <w:r>
        <w:t xml:space="preserve">[40] Wang, X. V., &amp; Wang, L. (2019). Digital twin-based WEEE recycling, recovery and remanufacturing in the background of Industry 4.0. International Journal of Production Research, 57(12), 3892-3902.</w:t>
      </w:r>
    </w:p>
    <w:p>
      <w:pPr>
        <w:pStyle w:val="Reference"/>
      </w:pPr>
      <w:r>
        <w:t xml:space="preserve">[41] Ivanov, D., &amp; Dolgui, A. (2021). A digital supply chain twin for managing the disruption risks and resilience in the era of Industry 4.0. Production Planning &amp; Control, 32(9), 775-788.</w:t>
      </w:r>
    </w:p>
    <w:p>
      <w:pPr>
        <w:pStyle w:val="Reference"/>
      </w:pPr>
      <w:r>
        <w:t xml:space="preserve">[42] Alcaraz, C., &amp; Lopez, J. (2022). Digital twin: A comprehensive survey of security threats. IEEE Communications Surveys &amp; Tutorials, 24(3), 1475-1503.</w:t>
      </w:r>
    </w:p>
    <w:p>
      <w:pPr>
        <w:pStyle w:val="Reference"/>
      </w:pPr>
      <w:r>
        <w:t xml:space="preserve">[43] Jobin, A., Ienca, M., &amp; Vayena, E. (2019). The global landscape of AI ethics guidelines. Nature Machine Intelligence, 1(9), 389-399.</w:t>
      </w:r>
    </w:p>
    <w:p>
      <w:pPr>
        <w:pStyle w:val="Reference"/>
      </w:pPr>
      <w:r>
        <w:t xml:space="preserve">[44] Makatura, L., Foshey, M., Wang, B., Hahnlein, F., Ma, P., &amp; Deng, B. (2023). How can large language models help humans in design and manufacturing? arXiv preprint arXiv:2307.14377.</w:t>
      </w:r>
    </w:p>
    <w:p>
      <w:pPr>
        <w:pStyle w:val="Reference"/>
      </w:pPr>
      <w:r>
        <w:t xml:space="preserve">[45] Maddikunta, P. K. R., Pham, Q. V., Prabadevi, B., Deepa, N., Dev, K., &amp; Gadekallu, T. R. (2022). Industry 5.0: A survey on enabling technologies and potential applications. Journal of Industrial Information Integration, 26, 100257.</w:t>
      </w:r>
    </w:p>
    <w:p>
      <w:pPr>
        <w:pStyle w:val="Reference"/>
      </w:pPr>
      <w:r>
        <w:t xml:space="preserve">[46] Mourtzis, D., Angelopoulos, J., &amp; Panopoulos, N. (2022). Metaverse and manufacturing: A review and future perspectives. Procedia CIRP, 107, 1436-1441.</w:t>
      </w:r>
    </w:p>
    <w:p>
      <w:pPr>
        <w:pStyle w:val="Reference"/>
      </w:pPr>
      <w:r>
        <w:t xml:space="preserve">[47] Zheng, X., Lu, J., &amp; Kiritsis, D. (2022). The emergence of cognitive digital twin: Vision, challenges and opportunities. International Journal of Production Research, 60(24), 7610-7632.</w:t>
      </w:r>
    </w:p>
    <w:sectPr>
      <w:pgSz w:w="12240" w:h="15840"/>
      <w:pgMar w:top="1440" w:right="1440" w:bottom="1440" w:left="1440" w:header="720" w:footer="720" w:gutter="0"/>
    </w:sectPr>
  </w:body>
</w:document>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spacing w:after="120" w:line="360" w:lineRule="auto"/>
      </w:pPr>
    </w:pPrDefault>
  </w:docDefaults>
  <w:style w:type="paragraph" w:styleId="Normal" w:default="1">
    <w:name w:val="Normal"/>
    <w:pPr>
      <w:jc w:val="both"/>
    </w:pPr>
  </w:style>
  <w:style w:type="paragraph" w:styleId="Title">
    <w:name w:val="Title"/>
    <w:basedOn w:val="Normal"/>
    <w:pPr>
      <w:jc w:val="center"/>
      <w:spacing w:before="240" w:after="240"/>
    </w:pPr>
    <w:rPr>
      <w:b/>
      <w:sz w:val="36"/>
      <w:szCs w:val="36"/>
    </w:rPr>
  </w:style>
  <w:style w:type="paragraph" w:styleId="Heading1">
    <w:name w:val="heading 1"/>
    <w:basedOn w:val="Normal"/>
    <w:pPr>
      <w:spacing w:before="360" w:after="120"/>
      <w:jc w:val="left"/>
      <w:keepNext/>
    </w:pPr>
    <w:rPr>
      <w:b/>
      <w:sz w:val="30"/>
      <w:szCs w:val="30"/>
      <w:color w:val="1F4E79"/>
    </w:rPr>
  </w:style>
  <w:style w:type="paragraph" w:styleId="Heading2">
    <w:name w:val="heading 2"/>
    <w:basedOn w:val="Normal"/>
    <w:pPr>
      <w:spacing w:before="240" w:after="120"/>
      <w:jc w:val="left"/>
      <w:keepNext/>
    </w:pPr>
    <w:rPr>
      <w:b/>
      <w:sz w:val="26"/>
      <w:szCs w:val="26"/>
      <w:color w:val="2E75B6"/>
    </w:rPr>
  </w:style>
  <w:style w:type="paragraph" w:styleId="Heading3">
    <w:name w:val="heading 3"/>
    <w:basedOn w:val="Normal"/>
    <w:pPr>
      <w:spacing w:before="200" w:after="100"/>
      <w:jc w:val="left"/>
      <w:keepNext/>
    </w:pPr>
    <w:rPr>
      <w:b/>
      <w:i/>
      <w:sz w:val="24"/>
      <w:szCs w:val="24"/>
    </w:rPr>
  </w:style>
  <w:style w:type="paragraph" w:styleId="Abstract">
    <w:name w:val="Abstract"/>
    <w:basedOn w:val="Normal"/>
    <w:pPr>
      <w:ind w:left="720" w:right="720"/>
    </w:pPr>
    <w:rPr>
      <w:i/>
    </w:rPr>
  </w:style>
  <w:style w:type="paragraph" w:styleId="Reference">
    <w:name w:val="Reference"/>
    <w:basedOn w:val="Normal"/>
    <w:pPr>
      <w:ind w:left="480" w:hanging="480"/>
      <w:spacing w:after="60"/>
      <w:jc w:val="left"/>
    </w:pPr>
    <w:rPr>
      <w:sz w:val="22"/>
      <w:szCs w:val="22"/>
    </w:rPr>
  </w:style>
  <w:style w:type="paragraph" w:styleId="Caption">
    <w:name w:val="Caption"/>
    <w:basedOn w:val="Normal"/>
    <w:pPr>
      <w:jc w:val="center"/>
      <w:spacing w:before="80" w:after="240"/>
      <w:keepLines/>
    </w:pPr>
    <w:rPr>
      <w:i/>
      <w:sz w:val="21"/>
      <w:szCs w:val="21"/>
    </w:rPr>
  </w:style>
  <w:style w:type="paragraph" w:styleId="ImagePara">
    <w:name w:val="ImagePara"/>
    <w:basedOn w:val="Normal"/>
    <w:pPr>
      <w:jc w:val="center"/>
      <w:spacing w:before="160" w:after="0"/>
      <w:keepNext/>
    </w:pPr>
  </w:style>
  <w:style w:type="paragraph" w:styleId="TableCaption">
    <w:name w:val="TableCaption"/>
    <w:basedOn w:val="Normal"/>
    <w:pPr>
      <w:spacing w:before="180" w:after="80"/>
      <w:jc w:val="left"/>
      <w:keepNext/>
    </w:pPr>
    <w:rPr>
      <w:b/>
      <w:sz w:val="22"/>
      <w:szCs w:val="22"/>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Img100" Type="http://schemas.openxmlformats.org/officeDocument/2006/relationships/image" Target="media/image1.png"/><Relationship Id="rIdImg101" Type="http://schemas.openxmlformats.org/officeDocument/2006/relationships/image" Target="media/image2.png"/><Relationship Id="rIdImg102" Type="http://schemas.openxmlformats.org/officeDocument/2006/relationships/image" Target="media/image3.png"/><Relationship Id="rIdImg103" Type="http://schemas.openxmlformats.org/officeDocument/2006/relationships/image" Target="media/image4.png"/></Relationships>
</file>