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Intersectionality, Climate Vulnerability, and Community Resilience</w:t>
      </w:r>
    </w:p>
    <w:p>
      <w:pPr>
        <w:pStyle w:val="Normal"/>
      </w:pPr>
      <w:r>
        <w:rPr>
          <w:b/>
        </w:rPr>
        <w:t xml:space="preserve">Book:</w:t>
      </w:r>
      <w:r>
        <w:t xml:space="preserve"> </w:t>
      </w:r>
      <w:r>
        <w:rPr>
          <w:i/>
        </w:rPr>
        <w:t xml:space="preserve">Inclusive Sustainability in the Global South: Gender, Communities, and Social Equity</w:t>
      </w:r>
    </w:p>
    <w:p>
      <w:pPr>
        <w:pStyle w:val="Normal"/>
      </w:pPr>
      <w:r>
        <w:rPr>
          <w:b/>
        </w:rPr>
        <w:t xml:space="preserve">Part II: Gender, Communities, and Social Equity</w:t>
      </w:r>
    </w:p>
    <w:p>
      <w:pPr>
        <w:pStyle w:val="Normal"/>
      </w:pPr>
      <w:r>
        <w:t xml:space="preserve">Amman Jakhar ^1,* and Sachin Kalsi ^1</w:t>
      </w:r>
    </w:p>
    <w:p>
      <w:pPr>
        <w:pStyle w:val="Normal"/>
      </w:pPr>
      <w:r>
        <w:t xml:space="preserve">^1 Department of Mechanical Engineering, Chandigarh University, Mohali, Punjab-140301</w:t>
      </w:r>
    </w:p>
    <w:p>
      <w:pPr>
        <w:pStyle w:val="Normal"/>
      </w:pPr>
      <w:r>
        <w:t xml:space="preserve">*Corresponding Email: ammanjakhar5000734@gmail.com</w:t>
      </w:r>
    </w:p>
    <w:p>
      <w:pPr>
        <w:pStyle w:val="Heading1"/>
      </w:pPr>
      <w:r>
        <w:t xml:space="preserve">Abstract</w:t>
      </w:r>
    </w:p>
    <w:p>
      <w:pPr>
        <w:pStyle w:val="Normal"/>
      </w:pPr>
      <w:r>
        <w:t xml:space="preserve">This chapter examines the critical intersections of gender, social identity, and climate vulnerability within communities across the Global South, arguing that effective climate resilience-building must be grounded in intersectional analysis and community-led approaches. While climate change disproportionately affects marginalized populations, mainstream adaptation strategies often fail to account for the complex, overlapping systems of oppression—including gender, caste, ethnicity, class, age, and disability—that shape differential vulnerabilities and adaptive capacities. Drawing on empirical case studies from South Asia, Sub-Saharan Africa, and Latin America, the chapter demonstrates how intersectional lenses reveal hidden dimensions of climate risk that conventional vulnerability assessments overlook. The analysis highlights how gendered divisions of labor, unequal access to productive resources, restricted mobility, and limited decision-making power compound climate impacts on women, particularly those facing additional marginalization based on indigeneity, socioeconomic status, or displacement status. Simultaneously, the chapter foregrounds the agency and resilience of marginalized communities, documenting how grassroots women's organizations, indigenous knowledge systems, and community-based adaptation initiatives are generating innovative, context-sensitive solutions to climate challenges. The discussion emphasizes the importance of participatory governance, recognizing that meaningful climate action requires the inclusion of diverse voices in policy design, resource allocation, and implementation processes. Critical attention is given to the limitations of top-down, technocratic approaches and the transformative potential of feminist, decolonial, and community-centered frameworks. The chapter concludes with actionable recommendations for policymakers, practitioners, and researchers, including gender-responsive climate finance, integration of traditional ecological knowledge, capacity-building for grassroots leadership, and institutional reforms to ensure equitable participation. By centering intersectionality and community resilience, this chapter contributes to a more just and effective climate agenda for the Global South.</w:t>
      </w:r>
    </w:p>
    <w:p>
      <w:pPr>
        <w:pStyle w:val="Normal"/>
      </w:pPr>
      <w:r>
        <w:rPr>
          <w:b/>
        </w:rPr>
        <w:t xml:space="preserve">Keywords:</w:t>
      </w:r>
      <w:r>
        <w:t xml:space="preserve"> Intersectionality, Climate Vulnerability, Community Resilience, Gender, Global South</w:t>
      </w:r>
    </w:p>
    <w:p>
      <w:pPr>
        <w:pStyle w:val="Heading1"/>
      </w:pPr>
      <w:r>
        <w:t xml:space="preserve">1. Introduction: Climate Change as an Unequal Predicament</w:t>
      </w:r>
    </w:p>
    <w:p>
      <w:pPr>
        <w:pStyle w:val="Normal"/>
      </w:pPr>
      <w:r>
        <w:t xml:space="preserve">The accelerating climate crisis is frequently described in the language of universality—a shared planetary emergency confronting all of humanity. Yet the lived experience of climate change is profoundly uneven, structured by long histories of colonialism, patriarchy, and economic exploitation that concentrate both the causes and consequences of environmental disruption in deeply asymmetrical ways (Ribot, 2014; Sultana, 2022). Communities across the Global South, which have contributed least to cumulative greenhouse gas emissions, nonetheless bear a disproportionate burden of climate-related harm through intensifying droughts, floods, cyclones, heat extremes, and the slow violence of ecological degradation (IPCC, 2022; Adger, 2006). Within these communities, the distribution of vulnerability is itself uneven, following the contours of pre-existing social hierarchies that determine who has access to resources, whose voice is heard in decision-making, and whose survival is treated as expendable (Wisner et al., 2004; Cutter et al., 2003).</w:t>
      </w:r>
    </w:p>
    <w:p>
      <w:pPr>
        <w:pStyle w:val="Normal"/>
      </w:pPr>
      <w:r>
        <w:t xml:space="preserve">This chapter advances the argument that meaningful climate resilience cannot be built on the fiction of an undifferentiated "community" or a generic "vulnerable population." Instead, it requires an intersectional analysis that attends to the ways in which multiple, overlapping systems of power—gender, caste, class, ethnicity, indigeneity, age, disability, and displacement status—combine to produce distinct configurations of risk and capacity (Crenshaw, 1991; Kaijser &amp; Kronsell, 2014). A woman is never simply a woman; she is a woman of a particular caste, class, age, and location, and her exposure to climate hazards, her ability to cope, and her access to adaptation resources are shaped by all of these positions simultaneously (Nightingale, 2011; Djoudi et al., 2016). Recognizing this complexity is not an academic nicety but a practical prerequisite for interventions that do not inadvertently reproduce the very inequalities they claim to address (Thompson-Hall et al., 2016).</w:t>
      </w:r>
    </w:p>
    <w:p>
      <w:pPr>
        <w:pStyle w:val="Normal"/>
      </w:pPr>
      <w:r>
        <w:t xml:space="preserve">The chapter is motivated by a persistent gap between the rhetoric of "inclusive" climate action and the reality of adaptation programming that remains largely technocratic, top-down, and blind to social difference (MacGregor, 2010; Mikulewicz, 2018). Mainstream vulnerability assessments have tended to treat social categories in isolation, producing checklists of "vulnerable groups" that obscure the relational and structural processes generating disadvantage (Djoudi et al., 2016; Ravera et al., 2016). At the same time, a reductive "women and environment" discourse has often essentialized women either as virtuous stewards of nature or as passive victims of climate change, denying their agency and flattening the enormous diversity among them (Arora-Jonsson, 2011; Resurrección, 2013). This chapter seeks to move beyond both the technocratic and the essentialist framings toward an approach that is simultaneously structural in its analysis of power and attentive to the creativity and leadership of marginalized communities themselves.</w:t>
      </w:r>
    </w:p>
    <w:p>
      <w:pPr>
        <w:pStyle w:val="Normal"/>
      </w:pPr>
      <w:r>
        <w:t xml:space="preserve">The conceptual architecture of the chapter is organized around the intersection of social identity and climate risk depicted in </w:t>
      </w:r>
      <w:r>
        <w:rPr>
          <w:b/>
        </w:rPr>
        <w:t xml:space="preserve">Figure 1</w:t>
      </w:r>
      <w:r>
        <w:t xml:space="preserve">, which illustrates how axes of gender, caste, class, ethnicity, age, disability, and indigeneity converge to shape differential vulnerability and adaptive capacity. Rather than treating these axes as additive—simply stacking one disadvantage upon another—the intersectional framework in </w:t>
      </w:r>
      <w:r>
        <w:rPr>
          <w:b/>
        </w:rPr>
        <w:t xml:space="preserve">Figure 1</w:t>
      </w:r>
      <w:r>
        <w:t xml:space="preserve"> emphasizes their mutually constitutive interaction, in which the combination of positions produces qualitatively distinct experiences that cannot be predicted from any single axis alone (Crenshaw, 1989; Collins, 2000). To make these dynamics concrete, </w:t>
      </w:r>
      <w:r>
        <w:rPr>
          <w:b/>
        </w:rPr>
        <w:t xml:space="preserve">Table 1</w:t>
      </w:r>
      <w:r>
        <w:t xml:space="preserve"> disaggregates the principal axes of social identity, the specific mechanisms through which each intersects with climate hazards, and the resulting implications for adaptive capacity, providing a reference map for the analysis that follows.</w:t>
      </w:r>
    </w:p>
    <w:p>
      <w:pPr>
        <w:pStyle w:val="Normal"/>
      </w:pPr>
      <w:r>
        <w:t xml:space="preserve">The remainder of the chapter proceeds in eight further sections. Section 2 develops the theoretical foundations of intersectionality and its application to climate vulnerability. Section 3 examines the gendered and intersecting dimensions of vulnerability in detail, tracing the pathways through which labor, resources, mobility, and decision-making power translate climate hazards into differentiated harm. Section 4 grounds the analysis in empirical case studies from South Asia, Sub-Saharan Africa, and Latin America. Section 5 critiques the limitations of conventional vulnerability assessment. Section 6 foregrounds community resilience and agency. Section 7 considers participatory governance and transformative frameworks. Section 8 offers actionable recommendations, and Section 9 concludes.</w:t>
      </w:r>
    </w:p>
    <w:p>
      <w:pPr>
        <w:pStyle w:val="Heading1"/>
      </w:pPr>
      <w:r>
        <w:t xml:space="preserve">2. Theoretical Foundations: Intersectionality Meets Climate Vulnerability</w:t>
      </w:r>
    </w:p>
    <w:p>
      <w:pPr>
        <w:pStyle w:val="Heading2"/>
      </w:pPr>
      <w:r>
        <w:t xml:space="preserve">2.1 The Origins and Evolution of Intersectionality</w:t>
      </w:r>
    </w:p>
    <w:p>
      <w:pPr>
        <w:pStyle w:val="Normal"/>
      </w:pPr>
      <w:r>
        <w:t xml:space="preserve">The concept of intersectionality was introduced by legal scholar Kimberlé Crenshaw (1989) to describe how Black women in the United States experienced forms of discrimination that were rendered invisible by anti-discrimination frameworks premised on a single axis of identity—either race or sex, but never both simultaneously. Crenshaw (1991) subsequently elaborated the concept to distinguish between structural intersectionality, the material ways in which overlapping systems of subordination shape lived experience, and political intersectionality, the ways in which single-axis political agendas marginalize those situated at the crossroads of multiple movements. Patricia Hill Collins (2000) further theorized intersectionality within a "matrix of domination," arguing that race, class, gender, and other categories operate as interlocking systems that organize power at the level of individual biography, community interaction, and social institutions alike.</w:t>
      </w:r>
    </w:p>
    <w:p>
      <w:pPr>
        <w:pStyle w:val="Normal"/>
      </w:pPr>
      <w:r>
        <w:t xml:space="preserve">Although intersectionality originated in Black feminist thought and critical legal studies, its analytical power has since been extended across disciplines and geographies. Postcolonial and transnational feminist scholars, most notably Mohanty (2003), cautioned against the tendency of Western feminism to construct a monolithic "Third World woman" as a singular object of knowledge, insisting instead on attention to the specific historical, material, and political conditions that shape women's lives in different contexts. This insistence on specificity is precisely what an intersectional approach to climate vulnerability requires: it demands that we resist universalizing claims about "the poor" or "women" and instead investigate how particular configurations of power produce particular vulnerabilities in particular places (Sultana, 2014; Nightingale, 2011).</w:t>
      </w:r>
    </w:p>
    <w:p>
      <w:pPr>
        <w:pStyle w:val="Heading2"/>
      </w:pPr>
      <w:r>
        <w:t xml:space="preserve">2.2 From Single-Axis to Intersectional Vulnerability</w:t>
      </w:r>
    </w:p>
    <w:p>
      <w:pPr>
        <w:pStyle w:val="Normal"/>
      </w:pPr>
      <w:r>
        <w:t xml:space="preserve">The dominant tradition in climate vulnerability research, drawing on hazards and political-ecology scholarship, has long recognized that vulnerability is socially produced rather than a natural consequence of physical exposure (Adger, 2006; Ribot, 2014; Wisner et al., 2004). The social vulnerability index literature, for example, demonstrated that factors such as poverty, gender, age, and race consistently shape differential exposure and coping capacity in the face of environmental hazards (Cutter et al., 2003). However, much of this work treated social categories as discrete, additive variables, quantifying vulnerability by summing indicators without theorizing how the categories interact. As </w:t>
      </w:r>
      <w:r>
        <w:rPr>
          <w:b/>
        </w:rPr>
        <w:t xml:space="preserve">Table 1</w:t>
      </w:r>
      <w:r>
        <w:t xml:space="preserve"> illustrates, an additive approach that simply counts disadvantages misses the qualitatively distinct predicaments that arise at intersections—for instance, the situation of an elderly widow from a marginalized caste in a flood-prone region cannot be understood by adding "gender," "age," and "caste" as separate scores (Nightingale, 2011; Djoudi et al., 2016).</w:t>
      </w:r>
    </w:p>
    <w:p>
      <w:pPr>
        <w:pStyle w:val="Normal"/>
      </w:pPr>
      <w:r>
        <w:t xml:space="preserve">Intersectional scholarship in climate studies emerged precisely to address this limitation. Kaijser and Kronsell (2014) argued that climate change should be analyzed "through the lens of intersectionality," attending to how categories of difference are co-produced with environmental change and how power relations are embedded in both climate impacts and climate policy. Djoudi and colleagues (2016), in a systematic review of gender and climate change research, found that the overwhelming majority of studies treated gender in a binary and isolated fashion, neglecting the ways in which gender intersects with other axes of inequality; they called for a decisive move "beyond dichotomies." Osborne (2015) similarly proposed intersectionality and the related notion of "kyriarchy"—interlocking, mutually reinforcing systems of domination—as frameworks for approaching power and justice in planning and adaptation. The conceptual shift represented in </w:t>
      </w:r>
      <w:r>
        <w:rPr>
          <w:b/>
        </w:rPr>
        <w:t xml:space="preserve">Figure 1</w:t>
      </w:r>
      <w:r>
        <w:t xml:space="preserve">, from single-axis to intersecting axes of vulnerability, captures the central theoretical move of this literature.</w:t>
      </w:r>
    </w:p>
    <w:p>
      <w:pPr>
        <w:pStyle w:val="Heading2"/>
      </w:pPr>
      <w:r>
        <w:t xml:space="preserve">2.3 Reframing Vulnerability as Relational and Structural</w:t>
      </w:r>
    </w:p>
    <w:p>
      <w:pPr>
        <w:pStyle w:val="Normal"/>
      </w:pPr>
      <w:r>
        <w:t xml:space="preserve">An intersectional reframing carries important implications for how vulnerability itself is understood. Rather than a fixed attribute possessed by certain individuals or groups, vulnerability is better conceived as a relational and dynamic condition produced through social processes of marginalization, dispossession, and exclusion (Ribot, 2014; Sultana, 2014). This relational view directs analytical attention away from the hazard itself and toward the political-economic structures that determine why some people are exposed to danger and deprived of the means to cope (Wisner et al., 2004; Mikulewicz, 2018). It also cautions against interventions that "responsibilize" the vulnerable—placing the burden of adaptation on those with the fewest resources while leaving the structures that generate vulnerability intact (Mikulewicz, 2018; Nagoda, 2015).</w:t>
      </w:r>
    </w:p>
    <w:p>
      <w:pPr>
        <w:pStyle w:val="Normal"/>
      </w:pPr>
      <w:r>
        <w:t xml:space="preserve">Equally important, an intersectional and relational reframing refuses to reduce marginalized people to their vulnerability. As Arora-Jonsson (2011) has argued, discourses that portray women in the Global South as uniformly vulnerable can be as harmful as those that portray them as uniquely virtuous environmental stewards, because both deny agency and obscure the structural roots of disadvantage. The framework advanced in this chapter therefore holds vulnerability and agency together in productive tension: the same social positions that generate exposure to climate harm are also sites from which knowledge, resistance, and innovation emerge (Sultana, 2022; Whyte, 2017). This dual attention to structure and agency provides the foundation for the analysis of differential vulnerability in Section 3 and the discussion of community resilience in Section 6.</w:t>
      </w:r>
    </w:p>
    <w:p>
      <w:pPr>
        <w:pStyle w:val="Heading2"/>
      </w:pPr>
      <w:r>
        <w:t xml:space="preserve">2.4 Feminist Political Ecology and the Matrix of Domination</w:t>
      </w:r>
    </w:p>
    <w:p>
      <w:pPr>
        <w:pStyle w:val="Normal"/>
      </w:pPr>
      <w:r>
        <w:t xml:space="preserve">Intersectional climate analysis draws additional theoretical strength from feminist political ecology, a tradition that examines how gendered power relations mediate access to and control over environmental resources at multiple scales, from the household to the global economy (Sultana, 2014; Resurrección, 2013). Feminist political ecology insists that environmental change is never socially neutral: the same drought or flood is experienced differently depending on one's position within intersecting hierarchies of gender, class, caste, and ethnicity, and these positions are themselves partly produced through environmental practices and struggles over resources (Nightingale, 2011; Sultana, 2014). This perspective aligns closely with Collins's (2000) concept of the matrix of domination, which locates the workings of power simultaneously at the level of personal biography, community and group interaction, and systemic institutions such as law, markets, and the state.</w:t>
      </w:r>
    </w:p>
    <w:p>
      <w:pPr>
        <w:pStyle w:val="Normal"/>
      </w:pPr>
      <w:r>
        <w:t xml:space="preserve">Reading climate vulnerability through the matrix of domination clarifies why interventions pitched at only one level so often fail. A microcredit scheme that expands a woman's personal assets may do little to reduce her vulnerability if community norms still restrict her mobility and if state institutions continue to deny her secure land rights (Agarwal, 1997; Kabeer, 1999). Conversely, national gender-equality legislation may remain hollow if it is not accompanied by shifts in community practice and household relations (Alston, 2014). Effective climate resilience therefore requires coordinated action across all three levels of the matrix—an insight that recurs throughout the recommendations advanced in Section 8 (Tschakert &amp; Machado, 2012; Djoudi et al., 2016). This multi-level, mutually constitutive understanding of power distinguishes a genuinely intersectional approach from the additive treatment of social categories critiqued above.</w:t>
      </w:r>
    </w:p>
    <w:p>
      <w:pPr>
        <w:pStyle w:val="FigureImage"/>
      </w:pPr>
      <w:r>
        <w:drawing>
          <wp:inline xmlns:wp="http://schemas.openxmlformats.org/drawingml/2006/wordprocessingDrawing" distT="0" distB="0" distL="0" distR="0">
            <wp:extent cx="5486400" cy="3516923"/>
            <wp:effectExtent l="0" t="0" r="0" b="0"/>
            <wp:docPr id="1001" name="Figure_1_Intersectional_Frame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e_1_Intersectional_Framework.png"/>
                    <pic:cNvPicPr/>
                  </pic:nvPicPr>
                  <pic:blipFill>
                    <a:blip xmlns:r="http://schemas.openxmlformats.org/officeDocument/2006/relationships" r:embed="rIdImg1"/>
                    <a:stretch>
                      <a:fillRect/>
                    </a:stretch>
                  </pic:blipFill>
                  <pic:spPr>
                    <a:xfrm>
                      <a:off x="0" y="0"/>
                      <a:ext cx="5486400" cy="3516923"/>
                    </a:xfrm>
                    <a:prstGeom prst="rect">
                      <a:avLst/>
                    </a:prstGeom>
                  </pic:spPr>
                </pic:pic>
              </a:graphicData>
            </a:graphic>
          </wp:inline>
        </w:drawing>
      </w:r>
    </w:p>
    <w:p>
      <w:pPr>
        <w:pStyle w:val="FigureCaption"/>
      </w:pPr>
      <w:r>
        <w:rPr>
          <w:b/>
        </w:rPr>
        <w:t xml:space="preserve">Figure 1.</w:t>
      </w:r>
      <w:r>
        <w:t xml:space="preserve"> Intersectional framework of climate vulnerability. Multiple axes of social identity—gender, caste, class, ethnicity, indigeneity, age, and disability—converge on the individual and household, jointly shaping exposure, sensitivity, and adaptive capacity. Rather than adding independently, the axes interact to produce qualitatively distinct configurations of climate risk and resilience.</w:t>
      </w:r>
    </w:p>
    <w:p>
      <w:pPr>
        <w:pStyle w:val="TableCaption"/>
      </w:pPr>
      <w:r>
        <w:rPr>
          <w:b/>
        </w:rPr>
        <w:t xml:space="preserve">Table 1.</w:t>
      </w:r>
      <w:r>
        <w:t xml:space="preserve"> Principal axes of social identity and their intersection with climate vulnerability and adaptive capacity.</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shd w:val="clear" w:color="auto" w:fill="D9E2F3"/>
          </w:tcPr>
          <w:p>
            <w:pPr>
              <w:jc w:val="center"/>
            </w:pPr>
            <w:r>
              <w:rPr>
                <w:b/>
              </w:rPr>
              <w:t xml:space="preserve">Axis of Identity</w:t>
            </w:r>
          </w:p>
        </w:tc>
        <w:tc>
          <w:tcPr>
            <w:shd w:val="clear" w:color="auto" w:fill="D9E2F3"/>
          </w:tcPr>
          <w:p>
            <w:pPr>
              <w:jc w:val="center"/>
            </w:pPr>
            <w:r>
              <w:rPr>
                <w:b/>
              </w:rPr>
              <w:t xml:space="preserve">Mechanism of Differential Vulnerability</w:t>
            </w:r>
          </w:p>
        </w:tc>
        <w:tc>
          <w:tcPr>
            <w:shd w:val="clear" w:color="auto" w:fill="D9E2F3"/>
          </w:tcPr>
          <w:p>
            <w:pPr>
              <w:jc w:val="center"/>
            </w:pPr>
            <w:r>
              <w:rPr>
                <w:b/>
              </w:rPr>
              <w:t xml:space="preserve">Illustrative Manifestation</w:t>
            </w:r>
          </w:p>
        </w:tc>
        <w:tc>
          <w:tcPr>
            <w:shd w:val="clear" w:color="auto" w:fill="D9E2F3"/>
          </w:tcPr>
          <w:p>
            <w:pPr>
              <w:jc w:val="center"/>
            </w:pPr>
            <w:r>
              <w:rPr>
                <w:b/>
              </w:rPr>
              <w:t xml:space="preserve">Implication for Adaptive Capacity</w:t>
            </w:r>
          </w:p>
        </w:tc>
      </w:tr>
      <w:tr>
        <w:tc>
          <w:p>
            <w:pPr>
              <w:spacing w:after="40"/>
            </w:pPr>
            <w:r>
              <w:t xml:space="preserve">Gender</w:t>
            </w:r>
          </w:p>
        </w:tc>
        <w:tc>
          <w:p>
            <w:pPr>
              <w:spacing w:after="40"/>
            </w:pPr>
            <w:r>
              <w:t xml:space="preserve">Gendered division of labor; unequal rights to land, credit, and information</w:t>
            </w:r>
          </w:p>
        </w:tc>
        <w:tc>
          <w:p>
            <w:pPr>
              <w:spacing w:after="40"/>
            </w:pPr>
            <w:r>
              <w:t xml:space="preserve">Women bear water and fuel collection burdens that intensify under drought</w:t>
            </w:r>
          </w:p>
        </w:tc>
        <w:tc>
          <w:p>
            <w:pPr>
              <w:spacing w:after="40"/>
            </w:pPr>
            <w:r>
              <w:t xml:space="preserve">Restricted independent access to adaptation resources and finance</w:t>
            </w:r>
          </w:p>
        </w:tc>
      </w:tr>
      <w:tr>
        <w:tc>
          <w:p>
            <w:pPr>
              <w:spacing w:after="40"/>
            </w:pPr>
            <w:r>
              <w:t xml:space="preserve">Class / Income</w:t>
            </w:r>
          </w:p>
        </w:tc>
        <w:tc>
          <w:p>
            <w:pPr>
              <w:spacing w:after="40"/>
            </w:pPr>
            <w:r>
              <w:t xml:space="preserve">Poverty limits asset buffers and insurance against shocks</w:t>
            </w:r>
          </w:p>
        </w:tc>
        <w:tc>
          <w:p>
            <w:pPr>
              <w:spacing w:after="40"/>
            </w:pPr>
            <w:r>
              <w:t xml:space="preserve">Landless laborers lose wages when floods halt agricultural work</w:t>
            </w:r>
          </w:p>
        </w:tc>
        <w:tc>
          <w:p>
            <w:pPr>
              <w:spacing w:after="40"/>
            </w:pPr>
            <w:r>
              <w:t xml:space="preserve">Low capacity to absorb losses or invest in protective measures</w:t>
            </w:r>
          </w:p>
        </w:tc>
      </w:tr>
      <w:tr>
        <w:tc>
          <w:p>
            <w:pPr>
              <w:spacing w:after="40"/>
            </w:pPr>
            <w:r>
              <w:t xml:space="preserve">Caste</w:t>
            </w:r>
          </w:p>
        </w:tc>
        <w:tc>
          <w:p>
            <w:pPr>
              <w:spacing w:after="40"/>
            </w:pPr>
            <w:r>
              <w:t xml:space="preserve">Social exclusion from common resources, relief, and decision spaces</w:t>
            </w:r>
          </w:p>
        </w:tc>
        <w:tc>
          <w:p>
            <w:pPr>
              <w:spacing w:after="40"/>
            </w:pPr>
            <w:r>
              <w:t xml:space="preserve">Dalit households settled on marginal, hazard-prone land</w:t>
            </w:r>
          </w:p>
        </w:tc>
        <w:tc>
          <w:p>
            <w:pPr>
              <w:spacing w:after="40"/>
            </w:pPr>
            <w:r>
              <w:t xml:space="preserve">Exclusion from relief distribution and collective institutions</w:t>
            </w:r>
          </w:p>
        </w:tc>
      </w:tr>
      <w:tr>
        <w:tc>
          <w:p>
            <w:pPr>
              <w:spacing w:after="40"/>
            </w:pPr>
            <w:r>
              <w:t xml:space="preserve">Ethnicity / Indigeneity</w:t>
            </w:r>
          </w:p>
        </w:tc>
        <w:tc>
          <w:p>
            <w:pPr>
              <w:spacing w:after="40"/>
            </w:pPr>
            <w:r>
              <w:t xml:space="preserve">Historical dispossession; devaluation of local knowledge</w:t>
            </w:r>
          </w:p>
        </w:tc>
        <w:tc>
          <w:p>
            <w:pPr>
              <w:spacing w:after="40"/>
            </w:pPr>
            <w:r>
              <w:t xml:space="preserve">Displacement from ancestral lands undermining subsistence systems</w:t>
            </w:r>
          </w:p>
        </w:tc>
        <w:tc>
          <w:p>
            <w:pPr>
              <w:spacing w:after="40"/>
            </w:pPr>
            <w:r>
              <w:t xml:space="preserve">Marginalization within formal adaptation planning</w:t>
            </w:r>
          </w:p>
        </w:tc>
      </w:tr>
      <w:tr>
        <w:tc>
          <w:p>
            <w:pPr>
              <w:spacing w:after="40"/>
            </w:pPr>
            <w:r>
              <w:t xml:space="preserve">Age</w:t>
            </w:r>
          </w:p>
        </w:tc>
        <w:tc>
          <w:p>
            <w:pPr>
              <w:spacing w:after="40"/>
            </w:pPr>
            <w:r>
              <w:t xml:space="preserve">Physiological sensitivity and dependence at life-cycle extremes</w:t>
            </w:r>
          </w:p>
        </w:tc>
        <w:tc>
          <w:p>
            <w:pPr>
              <w:spacing w:after="40"/>
            </w:pPr>
            <w:r>
              <w:t xml:space="preserve">Elderly and children face elevated heat and disease mortality</w:t>
            </w:r>
          </w:p>
        </w:tc>
        <w:tc>
          <w:p>
            <w:pPr>
              <w:spacing w:after="40"/>
            </w:pPr>
            <w:r>
              <w:t xml:space="preserve">Reduced mobility and reliance on others during disasters</w:t>
            </w:r>
          </w:p>
        </w:tc>
      </w:tr>
      <w:tr>
        <w:tc>
          <w:p>
            <w:pPr>
              <w:spacing w:after="40"/>
            </w:pPr>
            <w:r>
              <w:t xml:space="preserve">Disability</w:t>
            </w:r>
          </w:p>
        </w:tc>
        <w:tc>
          <w:p>
            <w:pPr>
              <w:spacing w:after="40"/>
            </w:pPr>
            <w:r>
              <w:t xml:space="preserve">Physical and institutional barriers to warning and evacuation</w:t>
            </w:r>
          </w:p>
        </w:tc>
        <w:tc>
          <w:p>
            <w:pPr>
              <w:spacing w:after="40"/>
            </w:pPr>
            <w:r>
              <w:t xml:space="preserve">Inaccessible early-warning systems and shelters</w:t>
            </w:r>
          </w:p>
        </w:tc>
        <w:tc>
          <w:p>
            <w:pPr>
              <w:spacing w:after="40"/>
            </w:pPr>
            <w:r>
              <w:t xml:space="preserve">Systematic exclusion from emergency response</w:t>
            </w:r>
          </w:p>
        </w:tc>
      </w:tr>
      <w:tr>
        <w:tc>
          <w:p>
            <w:pPr>
              <w:spacing w:after="40"/>
            </w:pPr>
            <w:r>
              <w:t xml:space="preserve">Displacement Status</w:t>
            </w:r>
          </w:p>
        </w:tc>
        <w:tc>
          <w:p>
            <w:pPr>
              <w:spacing w:after="40"/>
            </w:pPr>
            <w:r>
              <w:t xml:space="preserve">Loss of networks, entitlements, and legal recognition</w:t>
            </w:r>
          </w:p>
        </w:tc>
        <w:tc>
          <w:p>
            <w:pPr>
              <w:spacing w:after="40"/>
            </w:pPr>
            <w:r>
              <w:t xml:space="preserve">Climate migrants without documentation or tenure</w:t>
            </w:r>
          </w:p>
        </w:tc>
        <w:tc>
          <w:p>
            <w:pPr>
              <w:spacing w:after="40"/>
            </w:pPr>
            <w:r>
              <w:t xml:space="preserve">Precarious access to services, land, and livelihoods</w:t>
            </w:r>
          </w:p>
        </w:tc>
      </w:tr>
    </w:tbl>
    <w:p>
      <w:pPr>
        <w:pStyle w:val="Heading1"/>
      </w:pPr>
      <w:r>
        <w:t xml:space="preserve">3. Gendered and Intersecting Dimensions of Climate Vulnerability</w:t>
      </w:r>
    </w:p>
    <w:p>
      <w:pPr>
        <w:pStyle w:val="Normal"/>
      </w:pPr>
      <w:r>
        <w:t xml:space="preserve">The general claim that climate change is not gender-neutral has become widely accepted in policy discourse, yet the specific pathways through which gender and its intersections translate climate hazards into differentiated harm are frequently left unexamined (Denton, 2002; Pearse, 2017). This section traces four such pathways—the gendered division of labor, unequal access to productive resources, restricted mobility and voice, and the compounding effects of intersecting marginalization—each of which is represented as a distinct channel in the vulnerability pathway model of </w:t>
      </w:r>
      <w:r>
        <w:rPr>
          <w:b/>
        </w:rPr>
        <w:t xml:space="preserve">Figure 2</w:t>
      </w:r>
      <w:r>
        <w:t xml:space="preserve">.</w:t>
      </w:r>
    </w:p>
    <w:p>
      <w:pPr>
        <w:pStyle w:val="Heading2"/>
      </w:pPr>
      <w:r>
        <w:t xml:space="preserve">3.1 The Gendered Division of Labor</w:t>
      </w:r>
    </w:p>
    <w:p>
      <w:pPr>
        <w:pStyle w:val="Normal"/>
      </w:pPr>
      <w:r>
        <w:t xml:space="preserve">In many agrarian and pastoral societies of the Global South, socially assigned responsibilities place women at the frontline of climate stress. Women are typically responsible for securing water, fuelwood, and food for the household, tasks that become dramatically more arduous as droughts lengthen, water sources recede, and forests degrade (Denton, 2002; Nelson et al., 2002). When a well runs dry, it is usually women and girls who walk farther to fetch water, sacrificing time that might otherwise be devoted to education, income generation, or rest (Sultana, 2014; Goh, 2012). This reallocation of labor is a central mechanism—shown as the "reproductive and care labor" channel in </w:t>
      </w:r>
      <w:r>
        <w:rPr>
          <w:b/>
        </w:rPr>
        <w:t xml:space="preserve">Figure 2</w:t>
      </w:r>
      <w:r>
        <w:t xml:space="preserve">—through which climate variability erodes women's well-being and forecloses their opportunities, even when aggregate household income appears stable (Carr &amp; Thompson, 2014).</w:t>
      </w:r>
    </w:p>
    <w:p>
      <w:pPr>
        <w:pStyle w:val="Normal"/>
      </w:pPr>
      <w:r>
        <w:t xml:space="preserve">The gendered division of labor also shapes exposure to acute hazards. Because women's work is often concentrated in and around the home and in subsistence agriculture, women may be differentially exposed to floods, storms, and heat while performing domestic and care tasks (Enarson, 2012; Ajibade et al., 2013). Men's greater involvement in seasonal and long-distance migration, meanwhile, can leave women managing farms and households alone during climate shocks—a phenomenon of de facto female-headed households that both increases women's workload and, in some cases, expands their decision-making authority (Rao, 2019). The relationship between labor, gender, and vulnerability is therefore not uniform but contingent on local social arrangements, underscoring the need for the context-sensitive analysis emphasized throughout this chapter (Carr &amp; Thompson, 2014; Thompson-Hall et al., 2016).</w:t>
      </w:r>
    </w:p>
    <w:p>
      <w:pPr>
        <w:pStyle w:val="Heading2"/>
      </w:pPr>
      <w:r>
        <w:t xml:space="preserve">3.2 Unequal Access to Productive Resources</w:t>
      </w:r>
    </w:p>
    <w:p>
      <w:pPr>
        <w:pStyle w:val="Normal"/>
      </w:pPr>
      <w:r>
        <w:t xml:space="preserve">Adaptive capacity depends heavily on access to and control over productive resources—land, water, credit, technology, extension services, and information—and it is precisely along these dimensions that gendered and intersecting inequalities are most stark (Agarwal, 1997; Kabeer, 1999). Women across much of the Global South hold weak or non-existent independent rights to land, which constrains their ability to invest in soil and water conservation, access agricultural credit, or claim compensation and relief (Agarwal, 2010; World Bank, 2011). Bina Agarwal's (1997, 2010) influential work demonstrated that women's bargaining power within households and communities is tightly linked to their command over assets, and that group-based approaches to resource rights can substantially enhance both agricultural outcomes and women's agency in environmental governance.</w:t>
      </w:r>
    </w:p>
    <w:p>
      <w:pPr>
        <w:pStyle w:val="Normal"/>
      </w:pPr>
      <w:r>
        <w:t xml:space="preserve">These resource inequalities intersect with class, caste, and ethnicity to produce sharply differentiated capacities, as summarized in </w:t>
      </w:r>
      <w:r>
        <w:rPr>
          <w:b/>
        </w:rPr>
        <w:t xml:space="preserve">Table 1</w:t>
      </w:r>
      <w:r>
        <w:t xml:space="preserve">. A landowning woman from a dominant caste may command resources far exceeding those available to a landless Dalit man, illustrating why a single-axis "gender gap" framing is analytically insufficient (Nightingale, 2011). Access to climate information and early-warning systems is similarly unequal: where warnings are disseminated through channels—markets, mobile phones, public meetings—that women or marginalized groups cannot readily access, formally "available" information fails to reach those most at risk (Nelson et al., 2002; Bee, 2016). Perception of risk itself is gendered and socially situated, as Bee (2016) showed in northern Mexico, where women's environmental risk perceptions were shaped by their specific roles and constrained mobility. These resource inequalities are a decisive channel through which exposure is converted into materialized harm, disproportionately for those who lack independent command over assets (Agarwal, 2010; Kabeer, 1999).</w:t>
      </w:r>
    </w:p>
    <w:p>
      <w:pPr>
        <w:pStyle w:val="Heading2"/>
      </w:pPr>
      <w:r>
        <w:t xml:space="preserve">3.3 Restricted Mobility, Voice, and Decision-Making Power</w:t>
      </w:r>
    </w:p>
    <w:p>
      <w:pPr>
        <w:pStyle w:val="Normal"/>
      </w:pPr>
      <w:r>
        <w:t xml:space="preserve">A third pathway concerns mobility and political voice. Social norms that restrict women's physical mobility—through seclusion practices, safety concerns, or the burden of care responsibilities—can impede timely evacuation and limit access to shelters, markets, and services during and after disasters (Enarson, 2012; Ajibade et al., 2013). The tragic gender differentials in mortality documented in several major disasters have been attributed in part to such constraints, compounded by the fact that women were less likely to have learned survival skills or to receive warnings directly (Nelson et al., 2002). These dynamics are represented in </w:t>
      </w:r>
      <w:r>
        <w:rPr>
          <w:b/>
        </w:rPr>
        <w:t xml:space="preserve">Figure 2</w:t>
      </w:r>
      <w:r>
        <w:t xml:space="preserve"> as the mobility-and-safety channel linking hazard exposure to differential outcomes.</w:t>
      </w:r>
    </w:p>
    <w:p>
      <w:pPr>
        <w:pStyle w:val="Normal"/>
      </w:pPr>
      <w:r>
        <w:t xml:space="preserve">Beyond physical mobility, the exclusion of women and marginalized groups from decision-making forums means that adaptation priorities are frequently set without their input, producing interventions poorly matched to their needs (Alston, 2014; Resurrección, 2013). When climate finance, infrastructure, and technology are allocated through male-dominated institutions, the specific priorities of women—such as domestic water security, safe cooking energy, or child health—tend to be systematically deprioritized (Terry, 2009; UN Women, 2022). Kabeer's (1999) framework of empowerment as expanded agency underscores that access to resources is necessary but not sufficient; the capacity to define goals and act on them within decision-making institutions is equally central to reducing vulnerability (Kabeer, 1999; Tschakert &amp; Machado, 2012).</w:t>
      </w:r>
    </w:p>
    <w:p>
      <w:pPr>
        <w:pStyle w:val="Heading2"/>
      </w:pPr>
      <w:r>
        <w:t xml:space="preserve">3.4 Compounding Marginalization: Indigeneity, Caste, Age, and Displacement</w:t>
      </w:r>
    </w:p>
    <w:p>
      <w:pPr>
        <w:pStyle w:val="Normal"/>
      </w:pPr>
      <w:r>
        <w:t xml:space="preserve">The pathways above intensify sharply when gender intersects with additional axes of marginalization. Indigenous women often face the combined effects of colonial dispossession, the devaluation of their knowledge systems, and exclusion from national adaptation planning, even as they steward biodiverse landscapes central to collective resilience (Whyte, 2017; Gay-Antaki, 2020). In caste-stratified societies, Dalit and other marginalized-caste households are frequently relegated to hazard-prone land, excluded from common-property resources, and bypassed in relief distribution, so that a flood or drought reproduces and deepens caste hierarchy (Nightingale, 2011). Age intersects with gender and poverty to place elderly women and young girls at particular risk during heatwaves and epidemics, while disability compounds exclusion from early-warning and evacuation systems that are rarely designed with accessibility in mind (Cutter et al., 2003).</w:t>
      </w:r>
    </w:p>
    <w:p>
      <w:pPr>
        <w:pStyle w:val="Normal"/>
      </w:pPr>
      <w:r>
        <w:t xml:space="preserve">Displacement adds a further layer of precarity. Climate-driven migration and displacement can strip households of social networks, land tenure, and legal entitlements, with women and children disproportionately represented among the displaced and disproportionately exposed to insecurity in relief camps and informal settlements (Eastin, 2018; IPCC, 2022). As </w:t>
      </w:r>
      <w:r>
        <w:rPr>
          <w:b/>
        </w:rPr>
        <w:t xml:space="preserve">Figure 2</w:t>
      </w:r>
      <w:r>
        <w:t xml:space="preserve"> and </w:t>
      </w:r>
      <w:r>
        <w:rPr>
          <w:b/>
        </w:rPr>
        <w:t xml:space="preserve">Table 1</w:t>
      </w:r>
      <w:r>
        <w:t xml:space="preserve"> together make clear, the accumulation of intersecting disadvantages does not merely add risks; it produces distinctive predicaments that demand tailored responses rather than one-size-fits-all programming (Djoudi et al., 2016; Thompson-Hall et al., 2016).</w:t>
      </w:r>
    </w:p>
    <w:p>
      <w:pPr>
        <w:pStyle w:val="Normal"/>
      </w:pPr>
      <w:r>
        <w:t xml:space="preserve">These intersecting pathways also converge in the domains of health, nutrition, and personal security, where the gendered consequences of climate stress are especially acute. Food insecurity induced by crop failure and price volatility often falls hardest on women and girls, who in many households eat last and least, so that climate-driven shortfalls translate into gendered malnutrition and compromised maternal and child health (Goh, 2012; Nelson et al., 2002). Water scarcity and the collapse of sanitation during floods heighten women's exposure to disease and undermine menstrual and reproductive health, burdens rarely captured by conventional impact metrics (Sultana, 2014). Disasters and displacement are moreover associated with documented increases in gender-based violence, as the breakdown of protective structures, crowding in shelters, and heightened economic stress expose women and girls to heightened risk (Enarson, 2012; Eastin, 2018). Recognizing these embodied and often invisible dimensions of harm is essential to an intersectional accounting of climate vulnerability, and it reinforces the case for responses attuned to the specific, situated needs of those at the crossroads of multiple disadvantages (Denton, 2002; Resurrección, 2013). It is to concrete regional manifestations of these dynamics that the chapter now turns.</w:t>
      </w:r>
    </w:p>
    <w:p>
      <w:pPr>
        <w:pStyle w:val="FigureImage"/>
      </w:pPr>
      <w:r>
        <w:drawing>
          <wp:inline xmlns:wp="http://schemas.openxmlformats.org/drawingml/2006/wordprocessingDrawing" distT="0" distB="0" distL="0" distR="0">
            <wp:extent cx="5486400" cy="3345365"/>
            <wp:effectExtent l="0" t="0" r="0" b="0"/>
            <wp:docPr id="1002" name="Figure_2_Vulnerability_Pathway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ure_2_Vulnerability_Pathways.png"/>
                    <pic:cNvPicPr/>
                  </pic:nvPicPr>
                  <pic:blipFill>
                    <a:blip xmlns:r="http://schemas.openxmlformats.org/officeDocument/2006/relationships" r:embed="rIdImg2"/>
                    <a:stretch>
                      <a:fillRect/>
                    </a:stretch>
                  </pic:blipFill>
                  <pic:spPr>
                    <a:xfrm>
                      <a:off x="0" y="0"/>
                      <a:ext cx="5486400" cy="3345365"/>
                    </a:xfrm>
                    <a:prstGeom prst="rect">
                      <a:avLst/>
                    </a:prstGeom>
                  </pic:spPr>
                </pic:pic>
              </a:graphicData>
            </a:graphic>
          </wp:inline>
        </w:drawing>
      </w:r>
    </w:p>
    <w:p>
      <w:pPr>
        <w:pStyle w:val="FigureCaption"/>
      </w:pPr>
      <w:r>
        <w:rPr>
          <w:b/>
        </w:rPr>
        <w:t xml:space="preserve">Figure 2.</w:t>
      </w:r>
      <w:r>
        <w:t xml:space="preserve"> Pathways of differential climate vulnerability. A common climate hazard is refracted through four intersecting social channels—the gendered division of labor, unequal access to productive resources, restricted mobility and voice, and compounding marginalization—that together determine whether exposure translates into severe, moderate, or buffered outcomes for a given individual or household.</w:t>
      </w:r>
    </w:p>
    <w:p>
      <w:pPr>
        <w:pStyle w:val="Heading1"/>
      </w:pPr>
      <w:r>
        <w:t xml:space="preserve">4. Empirical Grounding: Case Studies from the Global South</w:t>
      </w:r>
    </w:p>
    <w:p>
      <w:pPr>
        <w:pStyle w:val="Normal"/>
      </w:pPr>
      <w:r>
        <w:t xml:space="preserve">Abstract frameworks acquire analytical force only when tested against concrete situations. This section examines intersectional climate vulnerability across three regions of the Global South—South Asia, Sub-Saharan Africa, and Latin America—drawing on the comparative synthesis presented in </w:t>
      </w:r>
      <w:r>
        <w:rPr>
          <w:b/>
        </w:rPr>
        <w:t xml:space="preserve">Table 2</w:t>
      </w:r>
      <w:r>
        <w:t xml:space="preserve">. The cases are not intended as exhaustive or representative but as illustrative demonstrations of how intersecting axes of identity produce differentiated vulnerability and, crucially, of how communities respond.</w:t>
      </w:r>
    </w:p>
    <w:p>
      <w:pPr>
        <w:pStyle w:val="Heading2"/>
      </w:pPr>
      <w:r>
        <w:t xml:space="preserve">4.1 South Asia: Caste, Gender, and Water in Agrarian Landscapes</w:t>
      </w:r>
    </w:p>
    <w:p>
      <w:pPr>
        <w:pStyle w:val="Normal"/>
      </w:pPr>
      <w:r>
        <w:t xml:space="preserve">South Asia offers a particularly clear illustration of how gender intersects with caste and class to structure climate vulnerability. In the agrarian and forest-dependent communities of Nepal and northern India, Nightingale (2011) demonstrated that the very categories of gender, caste, and class are materially produced through everyday environmental practices—who may draw water from which source, who may enter which forest, who performs which agricultural task—so that ecological change and social hierarchy are co-constituted. As droughts and erratic monsoons intensify, the burden of securing water falls most heavily on women of marginalized castes, who may be denied access to higher-caste wells and forced to travel farther or rely on contaminated sources (Nightingale, 2011; Sultana, 2014).</w:t>
      </w:r>
    </w:p>
    <w:p>
      <w:pPr>
        <w:pStyle w:val="Normal"/>
      </w:pPr>
      <w:r>
        <w:t xml:space="preserve">The experience of climate adaptation programming in the region has been sobering. Nagoda (2015) found that adaptation interventions in northwestern Nepal, despite participatory rhetoric, frequently reinforced existing power structures, channeling benefits toward more powerful households while the chronically food-insecure and socially marginalized remained excluded. This finding, echoed in </w:t>
      </w:r>
      <w:r>
        <w:rPr>
          <w:b/>
        </w:rPr>
        <w:t xml:space="preserve">Table 3</w:t>
      </w:r>
      <w:r>
        <w:t xml:space="preserve">'s contrast between conventional and intersectional approaches, illustrates the danger of adaptation that is blind to intersecting inequalities. At the same time, women's collective institutions—savings groups, forest user groups, and cooperatives—have in many cases expanded women's bargaining power and provided platforms for climate-resilient collective action (Agarwal, 2010; Rao, 2019). Such institutions have, in a number of documented instances, records of expanding women's voice in local resource management. Rao's (2019) longitudinal research in semi-arid India traced how women's strategies shifted from abandonment toward greater autonomy as male out-migration and climate stress reconfigured household relations. This trajectory illustrates a broader point emphasized throughout this chapter: intersecting identities are not static categories but dynamic positions that households actively renegotiate under pressure, sometimes expanding women's agency even as they intensify their burdens (Rao, 2019; Carr &amp; Thompson, 2014). Policy that assumes a fixed hierarchy of vulnerability will therefore misread rapidly changing realities on the ground, underscoring the value of the relational understanding of vulnerability developed in Section 2 (Nightingale, 2011; Djoudi et al., 2016).</w:t>
      </w:r>
    </w:p>
    <w:p>
      <w:pPr>
        <w:pStyle w:val="Heading2"/>
      </w:pPr>
      <w:r>
        <w:t xml:space="preserve">4.2 Sub-Saharan Africa: Land, Labor, and Livelihood Diversification</w:t>
      </w:r>
    </w:p>
    <w:p>
      <w:pPr>
        <w:pStyle w:val="Normal"/>
      </w:pPr>
      <w:r>
        <w:t xml:space="preserve">In Sub-Saharan Africa, where rain-fed smallholder agriculture sustains a large share of livelihoods, the intersection of gender with land tenure, labor, and poverty shapes vulnerability to increasingly erratic rainfall and recurrent drought (Carr &amp; Thompson, 2014; Goh, 2012). Women farmers frequently cultivate crops on land they do not own and to which their rights are mediated through male relatives, limiting their incentive and ability to invest in longer-term adaptation such as agroforestry or soil-and-water conservation (Goh, 2012; World Bank, 2011). Carr and Thompson's (2014) synthesis of gender and adaptation in agrarian settings emphasized that responses to climate stress are negotiated within households and communities in ways that reflect and reshape existing power relations, so that seemingly neutral interventions can have sharply gendered consequences.</w:t>
      </w:r>
    </w:p>
    <w:p>
      <w:pPr>
        <w:pStyle w:val="Normal"/>
      </w:pPr>
      <w:r>
        <w:t xml:space="preserve">Urban Africa presents its own intersectional dynamics. Ajibade and colleagues (2013) analyzed flooding in Lagos, Nigeria, showing that poor women in informal settlements were among the most vulnerable owing to their location in flood-prone areas, dependence on informal livelihoods disrupted by flooding, and responsibility for household recovery—yet these same women displayed considerable resilience through mutual-aid networks and adaptive livelihood strategies. As documented in </w:t>
      </w:r>
      <w:r>
        <w:rPr>
          <w:b/>
        </w:rPr>
        <w:t xml:space="preserve">Table 2</w:t>
      </w:r>
      <w:r>
        <w:t xml:space="preserve">, such networks are a recurring source of community resilience across the region. Djoudi and colleagues (2016), drawing partly on Sahelian evidence, cautioned against assuming that female-headed households are always the most vulnerable, noting that vulnerability depends on the specific intersection of gender with wealth, age, and social connection rather than on gender alone.</w:t>
      </w:r>
    </w:p>
    <w:p>
      <w:pPr>
        <w:pStyle w:val="Heading2"/>
      </w:pPr>
      <w:r>
        <w:t xml:space="preserve">4.3 Latin America: Indigeneity, Territory, and Feminized Environmental Knowledge</w:t>
      </w:r>
    </w:p>
    <w:p>
      <w:pPr>
        <w:pStyle w:val="Normal"/>
      </w:pPr>
      <w:r>
        <w:t xml:space="preserve">In Latin America, the intersection of gender with indigeneity and territorial dispossession is central to understanding climate vulnerability and resilience. Gay-Antaki (2020) documented how indigenous women in Mexico navigate climate change from positions shaped simultaneously by gender, ethnicity, and class, and how their knowledge and leadership are frequently marginalized within both national policy and international climate negotiations. Bee (2016) similarly showed, in northern Guanajuato, that women's perceptions of and responses to environmental risk were structured by gendered responsibilities and constrained mobility, shaping which adaptation options they perceived as feasible.</w:t>
      </w:r>
    </w:p>
    <w:p>
      <w:pPr>
        <w:pStyle w:val="Normal"/>
      </w:pPr>
      <w:r>
        <w:t xml:space="preserve">The Latin American cases in </w:t>
      </w:r>
      <w:r>
        <w:rPr>
          <w:b/>
        </w:rPr>
        <w:t xml:space="preserve">Table 2</w:t>
      </w:r>
      <w:r>
        <w:t xml:space="preserve"> also foreground the agency of indigenous and campesina women in defending territory and stewarding agrobiodiversity, often through community-based organizations that link environmental management to broader struggles for rights and recognition (Resurrección, 2013; Ravera et al., 2016). Ravera and colleagues (2016) argued for gender-sensitive and intersectional perspectives on resilience and adaptation that recognize such agency rather than treating women solely as a vulnerable category. Taken together, the three regional cases summarized in </w:t>
      </w:r>
      <w:r>
        <w:rPr>
          <w:b/>
        </w:rPr>
        <w:t xml:space="preserve">Table 2</w:t>
      </w:r>
      <w:r>
        <w:t xml:space="preserve"> reinforce the central argument that vulnerability is produced at intersections and that the pathways depicted in </w:t>
      </w:r>
      <w:r>
        <w:rPr>
          <w:b/>
        </w:rPr>
        <w:t xml:space="preserve">Figure 2</w:t>
      </w:r>
      <w:r>
        <w:t xml:space="preserve"> operate differently across contexts, demanding locally grounded rather than universal responses (Sultana, 2014; Thompson-Hall et al., 2016).</w:t>
      </w:r>
    </w:p>
    <w:p>
      <w:pPr>
        <w:pStyle w:val="TableCaption"/>
      </w:pPr>
      <w:r>
        <w:rPr>
          <w:b/>
        </w:rPr>
        <w:t xml:space="preserve">Table 2.</w:t>
      </w:r>
      <w:r>
        <w:t xml:space="preserve"> Comparative regional case studies of intersectional climate vulnerability and community response in the Global South.</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tcPr>
            <w:shd w:val="clear" w:color="auto" w:fill="D9E2F3"/>
          </w:tcPr>
          <w:p>
            <w:pPr>
              <w:jc w:val="center"/>
            </w:pPr>
            <w:r>
              <w:rPr>
                <w:b/>
              </w:rPr>
              <w:t xml:space="preserve">Region</w:t>
            </w:r>
          </w:p>
        </w:tc>
        <w:tc>
          <w:tcPr>
            <w:shd w:val="clear" w:color="auto" w:fill="D9E2F3"/>
          </w:tcPr>
          <w:p>
            <w:pPr>
              <w:jc w:val="center"/>
            </w:pPr>
            <w:r>
              <w:rPr>
                <w:b/>
              </w:rPr>
              <w:t xml:space="preserve">Primary Climate Hazard</w:t>
            </w:r>
          </w:p>
        </w:tc>
        <w:tc>
          <w:tcPr>
            <w:shd w:val="clear" w:color="auto" w:fill="D9E2F3"/>
          </w:tcPr>
          <w:p>
            <w:pPr>
              <w:jc w:val="center"/>
            </w:pPr>
            <w:r>
              <w:rPr>
                <w:b/>
              </w:rPr>
              <w:t xml:space="preserve">Key Intersecting Axes</w:t>
            </w:r>
          </w:p>
        </w:tc>
        <w:tc>
          <w:tcPr>
            <w:shd w:val="clear" w:color="auto" w:fill="D9E2F3"/>
          </w:tcPr>
          <w:p>
            <w:pPr>
              <w:jc w:val="center"/>
            </w:pPr>
            <w:r>
              <w:rPr>
                <w:b/>
              </w:rPr>
              <w:t xml:space="preserve">Mechanism of Differential Vulnerability</w:t>
            </w:r>
          </w:p>
        </w:tc>
        <w:tc>
          <w:tcPr>
            <w:shd w:val="clear" w:color="auto" w:fill="D9E2F3"/>
          </w:tcPr>
          <w:p>
            <w:pPr>
              <w:jc w:val="center"/>
            </w:pPr>
            <w:r>
              <w:rPr>
                <w:b/>
              </w:rPr>
              <w:t xml:space="preserve">Community Response</w:t>
            </w:r>
          </w:p>
        </w:tc>
      </w:tr>
      <w:tr>
        <w:tc>
          <w:p>
            <w:pPr>
              <w:spacing w:after="40"/>
            </w:pPr>
            <w:r>
              <w:t xml:space="preserve">South Asia (Nepal, N. India)</w:t>
            </w:r>
          </w:p>
        </w:tc>
        <w:tc>
          <w:p>
            <w:pPr>
              <w:spacing w:after="40"/>
            </w:pPr>
            <w:r>
              <w:t xml:space="preserve">Drought, erratic monsoon, flooding</w:t>
            </w:r>
          </w:p>
        </w:tc>
        <w:tc>
          <w:p>
            <w:pPr>
              <w:spacing w:after="40"/>
            </w:pPr>
            <w:r>
              <w:t xml:space="preserve">Gender x caste x class</w:t>
            </w:r>
          </w:p>
        </w:tc>
        <w:tc>
          <w:p>
            <w:pPr>
              <w:spacing w:after="40"/>
            </w:pPr>
            <w:r>
              <w:t xml:space="preserve">Caste-based exclusion from water sources; women's water-collection burden</w:t>
            </w:r>
          </w:p>
        </w:tc>
        <w:tc>
          <w:p>
            <w:pPr>
              <w:spacing w:after="40"/>
            </w:pPr>
            <w:r>
              <w:t xml:space="preserve">Women's savings and forest user groups; collective bargaining</w:t>
            </w:r>
          </w:p>
        </w:tc>
      </w:tr>
      <w:tr>
        <w:tc>
          <w:p>
            <w:pPr>
              <w:spacing w:after="40"/>
            </w:pPr>
            <w:r>
              <w:t xml:space="preserve">Sub-Saharan Africa (Sahel, Nigeria)</w:t>
            </w:r>
          </w:p>
        </w:tc>
        <w:tc>
          <w:p>
            <w:pPr>
              <w:spacing w:after="40"/>
            </w:pPr>
            <w:r>
              <w:t xml:space="preserve">Drought, rainfall variability, urban flooding</w:t>
            </w:r>
          </w:p>
        </w:tc>
        <w:tc>
          <w:p>
            <w:pPr>
              <w:spacing w:after="40"/>
            </w:pPr>
            <w:r>
              <w:t xml:space="preserve">Gender x land tenure x poverty</w:t>
            </w:r>
          </w:p>
        </w:tc>
        <w:tc>
          <w:p>
            <w:pPr>
              <w:spacing w:after="40"/>
            </w:pPr>
            <w:r>
              <w:t xml:space="preserve">Insecure land rights; disrupted informal livelihoods</w:t>
            </w:r>
          </w:p>
        </w:tc>
        <w:tc>
          <w:p>
            <w:pPr>
              <w:spacing w:after="40"/>
            </w:pPr>
            <w:r>
              <w:t xml:space="preserve">Mutual-aid networks; livelihood diversification</w:t>
            </w:r>
          </w:p>
        </w:tc>
      </w:tr>
      <w:tr>
        <w:tc>
          <w:p>
            <w:pPr>
              <w:spacing w:after="40"/>
            </w:pPr>
            <w:r>
              <w:t xml:space="preserve">Latin America (Mexico, Andes)</w:t>
            </w:r>
          </w:p>
        </w:tc>
        <w:tc>
          <w:p>
            <w:pPr>
              <w:spacing w:after="40"/>
            </w:pPr>
            <w:r>
              <w:t xml:space="preserve">Drought, changing growing seasons</w:t>
            </w:r>
          </w:p>
        </w:tc>
        <w:tc>
          <w:p>
            <w:pPr>
              <w:spacing w:after="40"/>
            </w:pPr>
            <w:r>
              <w:t xml:space="preserve">Gender x indigeneity x class</w:t>
            </w:r>
          </w:p>
        </w:tc>
        <w:tc>
          <w:p>
            <w:pPr>
              <w:spacing w:after="40"/>
            </w:pPr>
            <w:r>
              <w:t xml:space="preserve">Territorial dispossession; marginalization of local knowledge</w:t>
            </w:r>
          </w:p>
        </w:tc>
        <w:tc>
          <w:p>
            <w:pPr>
              <w:spacing w:after="40"/>
            </w:pPr>
            <w:r>
              <w:t xml:space="preserve">Indigenous women's organizations; agrobiodiversity stewardship</w:t>
            </w:r>
          </w:p>
        </w:tc>
      </w:tr>
    </w:tbl>
    <w:p>
      <w:pPr>
        <w:pStyle w:val="Heading1"/>
      </w:pPr>
      <w:r>
        <w:t xml:space="preserve">5. The Limits of Conventional Vulnerability Assessment</w:t>
      </w:r>
    </w:p>
    <w:p>
      <w:pPr>
        <w:pStyle w:val="Normal"/>
      </w:pPr>
      <w:r>
        <w:t xml:space="preserve">The dominant tools for assessing climate vulnerability—indicator-based indices, household surveys, and expert-driven risk mappings—have delivered valuable insights but carry systematic blind spots when confronted with intersectional realities (Cutter et al., 2003; Ribot, 2014). This section examines three interrelated limitations, summarized in the comparison of conventional and intersectional approaches presented in </w:t>
      </w:r>
      <w:r>
        <w:rPr>
          <w:b/>
        </w:rPr>
        <w:t xml:space="preserve">Table 3</w:t>
      </w:r>
      <w:r>
        <w:t xml:space="preserve">.</w:t>
      </w:r>
    </w:p>
    <w:p>
      <w:pPr>
        <w:pStyle w:val="Normal"/>
      </w:pPr>
      <w:r>
        <w:t xml:space="preserve">The first limitation is methodological individualism combined with additive treatment of social categories. Conventional assessments typically disaggregate populations by single variables—sex, age, income—and treat these as independent contributors to a composite vulnerability score (Cutter et al., 2003). As argued in Section 2 and depicted in </w:t>
      </w:r>
      <w:r>
        <w:rPr>
          <w:b/>
        </w:rPr>
        <w:t xml:space="preserve">Figure 1</w:t>
      </w:r>
      <w:r>
        <w:t xml:space="preserve">, this additive logic cannot capture the qualitatively distinct predicaments that arise at intersections, and it may obscure both the most acutely vulnerable and the sources of resilience within apparently vulnerable groups (Kaijser &amp; Kronsell, 2014; Djoudi et al., 2016). A woman-headed household, counted as vulnerable on gender grounds, may in fact command significant resources and autonomy, while a married woman in an asset-poor, marginalized-caste household may be far more exposed—a distinction invisible to single-axis metrics (Djoudi et al., 2016; Rao, 2019).</w:t>
      </w:r>
    </w:p>
    <w:p>
      <w:pPr>
        <w:pStyle w:val="Normal"/>
      </w:pPr>
      <w:r>
        <w:t xml:space="preserve">The second limitation is depoliticization. By foregrounding proximate indicators and technical thresholds, conventional assessments frequently detach vulnerability from the political-economic structures and histories that produce it (Ribot, 2014; Mikulewicz, 2018). Ribot (2014) argued forcefully that vulnerability has causes that lie in social relations and institutions, and that failing to trace these causes reduces analysis to description while leaving root drivers untouched. When assessments locate vulnerability solely in the attributes of the poor, they risk legitimizing interventions that responsibilize marginalized people for their own adaptation while leaving intact the inequalities that generate risk (Mikulewicz, 2018; Nagoda, 2015). </w:t>
      </w:r>
      <w:r>
        <w:rPr>
          <w:b/>
        </w:rPr>
        <w:t xml:space="preserve">Table 3</w:t>
      </w:r>
      <w:r>
        <w:t xml:space="preserve"> contrasts this depoliticized orientation with an intersectional approach that centers structural drivers and power relations.</w:t>
      </w:r>
    </w:p>
    <w:p>
      <w:pPr>
        <w:pStyle w:val="Normal"/>
      </w:pPr>
      <w:r>
        <w:t xml:space="preserve">The third limitation is the marginalization of local and experiential knowledge. Expert-driven, top-down assessments tend to privilege quantifiable, generalizable data over the situated knowledge of those who live with climate risk daily, thereby reproducing the epistemic hierarchies that an intersectional and decolonial approach seeks to unsettle (Whyte, 2017; MacGregor, 2010). MacGregor (2010) called attention to the relative absence of feminist and qualitative social research in climate scholarship, warning that a narrowly technical framing of the climate problem forecloses the very questions of power, justice, and difference that intersectionality raises. Addressing these three limitations requires not merely better indicators but a different orientation—one that is relational, structural, participatory, and attentive to knowledge from below, as elaborated in Sections 6 and 7.</w:t>
      </w:r>
    </w:p>
    <w:p>
      <w:pPr>
        <w:pStyle w:val="TableCaption"/>
      </w:pPr>
      <w:r>
        <w:rPr>
          <w:b/>
        </w:rPr>
        <w:t xml:space="preserve">Table 3.</w:t>
      </w:r>
      <w:r>
        <w:t xml:space="preserve"> Comparison of conventional and intersectional approaches to climate vulnerability assessment.</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tcPr>
            <w:shd w:val="clear" w:color="auto" w:fill="D9E2F3"/>
          </w:tcPr>
          <w:p>
            <w:pPr>
              <w:jc w:val="center"/>
            </w:pPr>
            <w:r>
              <w:rPr>
                <w:b/>
              </w:rPr>
              <w:t xml:space="preserve">Dimension</w:t>
            </w:r>
          </w:p>
        </w:tc>
        <w:tc>
          <w:tcPr>
            <w:shd w:val="clear" w:color="auto" w:fill="D9E2F3"/>
          </w:tcPr>
          <w:p>
            <w:pPr>
              <w:jc w:val="center"/>
            </w:pPr>
            <w:r>
              <w:rPr>
                <w:b/>
              </w:rPr>
              <w:t xml:space="preserve">Conventional Approach</w:t>
            </w:r>
          </w:p>
        </w:tc>
        <w:tc>
          <w:tcPr>
            <w:shd w:val="clear" w:color="auto" w:fill="D9E2F3"/>
          </w:tcPr>
          <w:p>
            <w:pPr>
              <w:jc w:val="center"/>
            </w:pPr>
            <w:r>
              <w:rPr>
                <w:b/>
              </w:rPr>
              <w:t xml:space="preserve">Intersectional Approach</w:t>
            </w:r>
          </w:p>
        </w:tc>
      </w:tr>
      <w:tr>
        <w:tc>
          <w:p>
            <w:pPr>
              <w:spacing w:after="40"/>
            </w:pPr>
            <w:r>
              <w:t xml:space="preserve">Unit of analysis</w:t>
            </w:r>
          </w:p>
        </w:tc>
        <w:tc>
          <w:p>
            <w:pPr>
              <w:spacing w:after="40"/>
            </w:pPr>
            <w:r>
              <w:t xml:space="preserve">Individual or household with single-axis attributes</w:t>
            </w:r>
          </w:p>
        </w:tc>
        <w:tc>
          <w:p>
            <w:pPr>
              <w:spacing w:after="40"/>
            </w:pPr>
            <w:r>
              <w:t xml:space="preserve">Person situated within intersecting systems of power</w:t>
            </w:r>
          </w:p>
        </w:tc>
      </w:tr>
      <w:tr>
        <w:tc>
          <w:p>
            <w:pPr>
              <w:spacing w:after="40"/>
            </w:pPr>
            <w:r>
              <w:t xml:space="preserve">Treatment of categories</w:t>
            </w:r>
          </w:p>
        </w:tc>
        <w:tc>
          <w:p>
            <w:pPr>
              <w:spacing w:after="40"/>
            </w:pPr>
            <w:r>
              <w:t xml:space="preserve">Additive, independent indicators</w:t>
            </w:r>
          </w:p>
        </w:tc>
        <w:tc>
          <w:p>
            <w:pPr>
              <w:spacing w:after="40"/>
            </w:pPr>
            <w:r>
              <w:t xml:space="preserve">Mutually constitutive, interacting axes</w:t>
            </w:r>
          </w:p>
        </w:tc>
      </w:tr>
      <w:tr>
        <w:tc>
          <w:p>
            <w:pPr>
              <w:spacing w:after="40"/>
            </w:pPr>
            <w:r>
              <w:t xml:space="preserve">View of vulnerability</w:t>
            </w:r>
          </w:p>
        </w:tc>
        <w:tc>
          <w:p>
            <w:pPr>
              <w:spacing w:after="40"/>
            </w:pPr>
            <w:r>
              <w:t xml:space="preserve">Fixed attribute measured by exposure and sensitivity</w:t>
            </w:r>
          </w:p>
        </w:tc>
        <w:tc>
          <w:p>
            <w:pPr>
              <w:spacing w:after="40"/>
            </w:pPr>
            <w:r>
              <w:t xml:space="preserve">Relational condition produced by social processes</w:t>
            </w:r>
          </w:p>
        </w:tc>
      </w:tr>
      <w:tr>
        <w:tc>
          <w:p>
            <w:pPr>
              <w:spacing w:after="40"/>
            </w:pPr>
            <w:r>
              <w:t xml:space="preserve">Attention to power</w:t>
            </w:r>
          </w:p>
        </w:tc>
        <w:tc>
          <w:p>
            <w:pPr>
              <w:spacing w:after="40"/>
            </w:pPr>
            <w:r>
              <w:t xml:space="preserve">Limited; often depoliticized and technical</w:t>
            </w:r>
          </w:p>
        </w:tc>
        <w:tc>
          <w:p>
            <w:pPr>
              <w:spacing w:after="40"/>
            </w:pPr>
            <w:r>
              <w:t xml:space="preserve">Central; foregrounds structural drivers and history</w:t>
            </w:r>
          </w:p>
        </w:tc>
      </w:tr>
      <w:tr>
        <w:tc>
          <w:p>
            <w:pPr>
              <w:spacing w:after="40"/>
            </w:pPr>
            <w:r>
              <w:t xml:space="preserve">Knowledge source</w:t>
            </w:r>
          </w:p>
        </w:tc>
        <w:tc>
          <w:p>
            <w:pPr>
              <w:spacing w:after="40"/>
            </w:pPr>
            <w:r>
              <w:t xml:space="preserve">Expert-driven, quantitative, generalizable</w:t>
            </w:r>
          </w:p>
        </w:tc>
        <w:tc>
          <w:p>
            <w:pPr>
              <w:spacing w:after="40"/>
            </w:pPr>
            <w:r>
              <w:t xml:space="preserve">Participatory, situated, plural ways of knowing</w:t>
            </w:r>
          </w:p>
        </w:tc>
      </w:tr>
      <w:tr>
        <w:tc>
          <w:p>
            <w:pPr>
              <w:spacing w:after="40"/>
            </w:pPr>
            <w:r>
              <w:t xml:space="preserve">Policy implication</w:t>
            </w:r>
          </w:p>
        </w:tc>
        <w:tc>
          <w:p>
            <w:pPr>
              <w:spacing w:after="40"/>
            </w:pPr>
            <w:r>
              <w:t xml:space="preserve">Targeting of predefined vulnerable groups</w:t>
            </w:r>
          </w:p>
        </w:tc>
        <w:tc>
          <w:p>
            <w:pPr>
              <w:spacing w:after="40"/>
            </w:pPr>
            <w:r>
              <w:t xml:space="preserve">Transforming the relations that produce vulnerability</w:t>
            </w:r>
          </w:p>
        </w:tc>
      </w:tr>
    </w:tbl>
    <w:p>
      <w:pPr>
        <w:pStyle w:val="Heading1"/>
      </w:pPr>
      <w:r>
        <w:t xml:space="preserve">6. Community Resilience and the Agency of the Marginalized</w:t>
      </w:r>
    </w:p>
    <w:p>
      <w:pPr>
        <w:pStyle w:val="Normal"/>
      </w:pPr>
      <w:r>
        <w:t xml:space="preserve">If the preceding sections emphasized how intersecting systems of power produce differentiated vulnerability, this section turns deliberately to agency, documenting how marginalized communities across the Global South are generating context-sensitive responses to climate change. The point is not to romanticize local capacity or to imply that communities can adapt their way out of structurally imposed risk, but to insist—following Arora-Jonsson (2011) and Sultana (2022)—that the same social locations that generate vulnerability are also sites of knowledge, organization, and innovation. The community resilience ecosystem synthesized in </w:t>
      </w:r>
      <w:r>
        <w:rPr>
          <w:b/>
        </w:rPr>
        <w:t xml:space="preserve">Figure 3</w:t>
      </w:r>
      <w:r>
        <w:t xml:space="preserve"> organizes this discussion around three interacting sources of resilience: grassroots women's organizations, indigenous and traditional ecological knowledge, and community-based adaptation.</w:t>
      </w:r>
    </w:p>
    <w:p>
      <w:pPr>
        <w:pStyle w:val="Heading2"/>
      </w:pPr>
      <w:r>
        <w:t xml:space="preserve">6.1 Grassroots Women's Organizations</w:t>
      </w:r>
    </w:p>
    <w:p>
      <w:pPr>
        <w:pStyle w:val="Normal"/>
      </w:pPr>
      <w:r>
        <w:t xml:space="preserve">Across the Global South, women's collective organizations—self-help groups, savings and credit cooperatives, producer collectives, and forest and water user associations—have proven to be powerful vehicles for building climate resilience (Agarwal, 2010; Rao, 2019). By pooling savings, sharing labor and information, and negotiating collectively with markets and states, these organizations expand members' access to resources and, crucially, their bargaining power and voice within households and communities (Kabeer, 1999; Agarwal, 2010). Agarwal's (2010) research on community forestry in South Asia demonstrated that increasing women's presence in governance institutions—beyond token participation to a critical mass—improved both conservation outcomes and the responsiveness of institutions to women's priorities, a finding reflected in the "collective institutions" node of </w:t>
      </w:r>
      <w:r>
        <w:rPr>
          <w:b/>
        </w:rPr>
        <w:t xml:space="preserve">Figure 3</w:t>
      </w:r>
      <w:r>
        <w:t xml:space="preserve">.</w:t>
      </w:r>
    </w:p>
    <w:p>
      <w:pPr>
        <w:pStyle w:val="Normal"/>
      </w:pPr>
      <w:r>
        <w:t xml:space="preserve">These organizations also perform vital functions during and after climate shocks, operating as mutual-aid networks that redistribute risk and accelerate recovery, as observed among women in flood-affected Lagos (Ajibade et al., 2013) and in the savings groups of South Asia (Rao, 2019). Their significance is amplified where they link local action to broader movements for rights and recognition, transforming adaptation from a technical exercise into a vehicle for empowerment and structural change (Terry, 2009; Tschakert &amp; Machado, 2012). The resilience contribution of women's organizations is greatest when they are connected to, rather than isolated from, the knowledge systems and adaptation practices discussed below.</w:t>
      </w:r>
    </w:p>
    <w:p>
      <w:pPr>
        <w:pStyle w:val="Heading2"/>
      </w:pPr>
      <w:r>
        <w:t xml:space="preserve">6.2 Indigenous and Traditional Ecological Knowledge</w:t>
      </w:r>
    </w:p>
    <w:p>
      <w:pPr>
        <w:pStyle w:val="Normal"/>
      </w:pPr>
      <w:r>
        <w:t xml:space="preserve">Indigenous peoples and long-settled local communities hold sophisticated bodies of ecological knowledge, accumulated and transmitted across generations, that are increasingly recognized as vital resources for climate adaptation (Whyte, 2017; Gay-Antaki, 2020). This traditional ecological knowledge encompasses detailed understanding of local weather patterns, biodiversity, soil and water management, seed selection, and seasonal calendars, enabling communities to anticipate and respond to environmental variability in ways that generic technical prescriptions often cannot (Whyte, 2017; Ravera et al., 2016). Within these knowledge systems, women frequently serve as custodians of seed diversity, medicinal plants, and food-processing techniques central to household and community resilience (Ravera et al., 2016; Gay-Antaki, 2020).</w:t>
      </w:r>
    </w:p>
    <w:p>
      <w:pPr>
        <w:pStyle w:val="Normal"/>
      </w:pPr>
      <w:r>
        <w:t xml:space="preserve">Yet the integration of such knowledge into formal adaptation planning remains fraught. Whyte (2017) cautions that superficial incorporation of indigenous knowledge—extracting discrete data points while ignoring the relational, ethical, and political contexts in which that knowledge is embedded—can perpetuate the very colonial dynamics that intersectional and decolonial approaches seek to overcome. Meaningful integration, reflected in the "plural knowledge" node of </w:t>
      </w:r>
      <w:r>
        <w:rPr>
          <w:b/>
        </w:rPr>
        <w:t xml:space="preserve">Figure 3</w:t>
      </w:r>
      <w:r>
        <w:t xml:space="preserve">, requires respecting indigenous sovereignty, recognizing communities as knowledge-holders rather than mere data sources, and building genuine partnerships across ways of knowing (Whyte, 2017; Sultana, 2022). The comparative cases in </w:t>
      </w:r>
      <w:r>
        <w:rPr>
          <w:b/>
        </w:rPr>
        <w:t xml:space="preserve">Table 2</w:t>
      </w:r>
      <w:r>
        <w:t xml:space="preserve"> reinforce that where such knowledge is respected and resourced, it substantially strengthens locally appropriate adaptation.</w:t>
      </w:r>
    </w:p>
    <w:p>
      <w:pPr>
        <w:pStyle w:val="Heading2"/>
      </w:pPr>
      <w:r>
        <w:t xml:space="preserve">6.3 Community-Based Adaptation</w:t>
      </w:r>
    </w:p>
    <w:p>
      <w:pPr>
        <w:pStyle w:val="Normal"/>
      </w:pPr>
      <w:r>
        <w:t xml:space="preserve">Community-based adaptation has emerged as an approach that seeks to place local communities at the center of identifying, prioritizing, and implementing adaptation actions, in contrast to top-down interventions designed remotely (Reid, 2016; Mikulewicz, 2018). At its best, community-based adaptation combines local and scientific knowledge, builds on existing institutions, and strengthens the capacity of communities to manage climate risk on their own terms (Reid, 2016). Reid (2016) emphasized the close relationship between ecosystem-based and community-based adaptation, noting that healthy ecosystems underpin the livelihoods on which vulnerable communities depend, and that community stewardship is often the most effective means of maintaining them.</w:t>
      </w:r>
    </w:p>
    <w:p>
      <w:pPr>
        <w:pStyle w:val="Normal"/>
      </w:pPr>
      <w:r>
        <w:t xml:space="preserve">However, the promise of community-based adaptation is not automatically realized. As Nagoda (2015) and Mikulewicz (2018) have shown, participatory approaches can be captured by local elites or implemented in ways that ignore intersecting inequalities, so that benefits flow to the already powerful while the most marginalized remain excluded. An intersectional lens is therefore essential even within ostensibly community-driven approaches, ensuring that "the community" is not treated as a homogeneous unit but disaggregated along the axes of </w:t>
      </w:r>
      <w:r>
        <w:rPr>
          <w:b/>
        </w:rPr>
        <w:t xml:space="preserve">Figure 1</w:t>
      </w:r>
      <w:r>
        <w:t xml:space="preserve"> and </w:t>
      </w:r>
      <w:r>
        <w:rPr>
          <w:b/>
        </w:rPr>
        <w:t xml:space="preserve">Table 1</w:t>
      </w:r>
      <w:r>
        <w:t xml:space="preserve"> (Djoudi et al., 2016; Thompson-Hall et al., 2016). The three sources of resilience in </w:t>
      </w:r>
      <w:r>
        <w:rPr>
          <w:b/>
        </w:rPr>
        <w:t xml:space="preserve">Figure 3</w:t>
      </w:r>
      <w:r>
        <w:t xml:space="preserve">—organizations, knowledge, and adaptation practice—are mutually reinforcing, but their equitable realization depends on the governance arrangements examined in the next section.</w:t>
      </w:r>
    </w:p>
    <w:p>
      <w:pPr>
        <w:pStyle w:val="FigureImage"/>
      </w:pPr>
      <w:r>
        <w:drawing>
          <wp:inline xmlns:wp="http://schemas.openxmlformats.org/drawingml/2006/wordprocessingDrawing" distT="0" distB="0" distL="0" distR="0">
            <wp:extent cx="5486400" cy="3516923"/>
            <wp:effectExtent l="0" t="0" r="0" b="0"/>
            <wp:docPr id="1003" name="Figure_3_Resilience_Ecosyst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e_3_Resilience_Ecosystem.png"/>
                    <pic:cNvPicPr/>
                  </pic:nvPicPr>
                  <pic:blipFill>
                    <a:blip xmlns:r="http://schemas.openxmlformats.org/officeDocument/2006/relationships" r:embed="rIdImg3"/>
                    <a:stretch>
                      <a:fillRect/>
                    </a:stretch>
                  </pic:blipFill>
                  <pic:spPr>
                    <a:xfrm>
                      <a:off x="0" y="0"/>
                      <a:ext cx="5486400" cy="3516923"/>
                    </a:xfrm>
                    <a:prstGeom prst="rect">
                      <a:avLst/>
                    </a:prstGeom>
                  </pic:spPr>
                </pic:pic>
              </a:graphicData>
            </a:graphic>
          </wp:inline>
        </w:drawing>
      </w:r>
    </w:p>
    <w:p>
      <w:pPr>
        <w:pStyle w:val="FigureCaption"/>
      </w:pPr>
      <w:r>
        <w:rPr>
          <w:b/>
        </w:rPr>
        <w:t xml:space="preserve">Figure 3.</w:t>
      </w:r>
      <w:r>
        <w:t xml:space="preserve"> The community resilience ecosystem. Three mutually reinforcing sources of resilience—grassroots women's organizations, indigenous and traditional ecological knowledge, and community-based adaptation—interact within an enabling environment of rights, resources, and participatory governance to produce adaptive, equitable, and locally grounded climate resilience.</w:t>
      </w:r>
    </w:p>
    <w:p>
      <w:pPr>
        <w:pStyle w:val="Heading1"/>
      </w:pPr>
      <w:r>
        <w:t xml:space="preserve">7. Participatory Governance and Transformative Frameworks</w:t>
      </w:r>
    </w:p>
    <w:p>
      <w:pPr>
        <w:pStyle w:val="Normal"/>
      </w:pPr>
      <w:r>
        <w:t xml:space="preserve">Realizing the resilience potential mapped in </w:t>
      </w:r>
      <w:r>
        <w:rPr>
          <w:b/>
        </w:rPr>
        <w:t xml:space="preserve">Figure 3</w:t>
      </w:r>
      <w:r>
        <w:t xml:space="preserve"> depends fundamentally on how climate action is governed—on who participates, whose knowledge counts, and how power is distributed in decisions about priorities, resources, and implementation (Alston, 2014; Sultana, 2022). This section argues that intersectional climate resilience requires a shift from technocratic, top-down governance toward participatory arrangements informed by feminist and decolonial frameworks.</w:t>
      </w:r>
    </w:p>
    <w:p>
      <w:pPr>
        <w:pStyle w:val="Heading2"/>
      </w:pPr>
      <w:r>
        <w:t xml:space="preserve">7.1 Beyond Technocracy: Feminist and Decolonial Framings</w:t>
      </w:r>
    </w:p>
    <w:p>
      <w:pPr>
        <w:pStyle w:val="Normal"/>
      </w:pPr>
      <w:r>
        <w:t xml:space="preserve">Mainstream climate governance has been dominated by technical and managerial framings that treat climate change as an engineering and economic problem to be solved through expert-designed interventions (MacGregor, 2010; Mikulewicz, 2018). Feminist scholars have criticized this framing for obscuring the social relations of power that determine both the causes of climate change and the distribution of its impacts, and for marginalizing the knowledge, priorities, and leadership of women and other subordinated groups (MacGregor, 2010; Jerneck, 2018). Jerneck (2018) distilled a set of feminist lessons from development studies for climate research, emphasizing attention to gendered power, unpaid care work, and the need to question whose knowledge and whose interests shape the climate agenda.</w:t>
      </w:r>
    </w:p>
    <w:p>
      <w:pPr>
        <w:pStyle w:val="Normal"/>
      </w:pPr>
      <w:r>
        <w:t xml:space="preserve">Decolonial framings extend this critique by foregrounding the colonial histories that produced both the ecological crisis and the global inequalities that structure its impacts (Sultana, 2022; Whyte, 2017). A decolonial approach to climate justice, as Sultana (2022) articulates, insists that responses to climate change confront these histories rather than reproduce them through externally imposed, extractive interventions. Together, feminist and decolonial frameworks reorient climate governance from a narrow focus on technical efficiency toward the broader questions of justice, recognition, and redistribution that intersectionality places at the center (Tschakert &amp; Machado, 2012; Osborne, 2015). This transformative orientation is captured in the governance layer of the action framework presented in </w:t>
      </w:r>
      <w:r>
        <w:rPr>
          <w:b/>
        </w:rPr>
        <w:t xml:space="preserve">Figure 4</w:t>
      </w:r>
      <w:r>
        <w:t xml:space="preserve">.</w:t>
      </w:r>
    </w:p>
    <w:p>
      <w:pPr>
        <w:pStyle w:val="Heading2"/>
      </w:pPr>
      <w:r>
        <w:t xml:space="preserve">7.2 Participatory Governance in Practice</w:t>
      </w:r>
    </w:p>
    <w:p>
      <w:pPr>
        <w:pStyle w:val="Normal"/>
      </w:pPr>
      <w:r>
        <w:t xml:space="preserve">Translating these framings into practice requires institutional arrangements that enable the meaningful participation of diverse voices—not as a procedural formality but as a genuine redistribution of decision-making power (Agarwal, 2010; Alston, 2014). Evidence from natural resource governance indicates that participation must reach a critical mass and be supported by measures that address underlying inequalities—such as quotas, capacity-building, and safe spaces for marginalized voices—if it is to move beyond tokenism to substantive influence (Agarwal, 2010; Kabeer, 1999). As </w:t>
      </w:r>
      <w:r>
        <w:rPr>
          <w:b/>
        </w:rPr>
        <w:t xml:space="preserve">Table 3</w:t>
      </w:r>
      <w:r>
        <w:t xml:space="preserve"> implies, an intersectional approach to governance disaggregates "the community" and actively creates channels through which those situated at multiple intersections of disadvantage can shape outcomes (Djoudi et al., 2016; Thompson-Hall et al., 2016).</w:t>
      </w:r>
    </w:p>
    <w:p>
      <w:pPr>
        <w:pStyle w:val="Normal"/>
      </w:pPr>
      <w:r>
        <w:t xml:space="preserve">Participatory governance also entails accountability and the integration of plural knowledge systems into planning, monitoring, and evaluation (Reid, 2016; Whyte, 2017). Gender-responsive budgeting, community scorecards, and co-production of knowledge between communities and technical experts are among the mechanisms that can institutionalize this integration (Alston, 2014; UN Women, 2022). Crucially, participation must be understood as a means of transforming, not merely accommodating, existing power relations—aligning with the empowerment-as-agency perspective of Kabeer (1999) and the transformative adaptation agenda advanced by Tschakert and Machado (2012). The governance principles discussed here provide the foundation for the concrete recommendations that follow, organized around the stakeholder mapping in </w:t>
      </w:r>
      <w:r>
        <w:rPr>
          <w:b/>
        </w:rPr>
        <w:t xml:space="preserve">Table 4</w:t>
      </w:r>
      <w:r>
        <w:t xml:space="preserve">.</w:t>
      </w:r>
    </w:p>
    <w:p>
      <w:pPr>
        <w:pStyle w:val="Heading1"/>
      </w:pPr>
      <w:r>
        <w:t xml:space="preserve">8. Toward Just and Effective Climate Action: Recommendations</w:t>
      </w:r>
    </w:p>
    <w:p>
      <w:pPr>
        <w:pStyle w:val="Normal"/>
      </w:pPr>
      <w:r>
        <w:t xml:space="preserve">Building on the analysis developed throughout this chapter, this section offers actionable recommendations for policymakers, practitioners, and researchers. The recommendations are organized around four interconnected pillars depicted in the transformative action framework of </w:t>
      </w:r>
      <w:r>
        <w:rPr>
          <w:b/>
        </w:rPr>
        <w:t xml:space="preserve">Figure 4</w:t>
      </w:r>
      <w:r>
        <w:t xml:space="preserve">—gender-responsive climate finance, integration of traditional ecological knowledge, capacity-building for grassroots leadership, and institutional reform—and mapped to specific stakeholders and indicative actions in </w:t>
      </w:r>
      <w:r>
        <w:rPr>
          <w:b/>
        </w:rPr>
        <w:t xml:space="preserve">Table 4</w:t>
      </w:r>
      <w:r>
        <w:t xml:space="preserve">.</w:t>
      </w:r>
    </w:p>
    <w:p>
      <w:pPr>
        <w:pStyle w:val="Heading2"/>
      </w:pPr>
      <w:r>
        <w:t xml:space="preserve">8.1 Gender-Responsive and Intersectional Climate Finance</w:t>
      </w:r>
    </w:p>
    <w:p>
      <w:pPr>
        <w:pStyle w:val="Normal"/>
      </w:pPr>
      <w:r>
        <w:t xml:space="preserve">Climate finance remains one of the most consequential and least equitable dimensions of climate action. Despite growing commitments, only a small fraction of climate finance reaches the local level or is designed to address gender and intersecting inequalities (UN Women, 2022; World Bank, 2011). As the finance pillar of </w:t>
      </w:r>
      <w:r>
        <w:rPr>
          <w:b/>
        </w:rPr>
        <w:t xml:space="preserve">Figure 4</w:t>
      </w:r>
      <w:r>
        <w:t xml:space="preserve"> emphasizes, gender-responsive climate finance requires more than earmarking funds for women; it requires financing instruments accessible to marginalized groups—including direct access modalities, flexible small grants, and support for women's collective enterprises—and the systematic application of gender and intersectional analysis to funding decisions (Terry, 2009; Eastin, 2018). Concrete actions include gender-responsive budgeting, simplified access for community organizations, and disaggregated tracking of who benefits from climate investments.</w:t>
      </w:r>
    </w:p>
    <w:p>
      <w:pPr>
        <w:pStyle w:val="Heading2"/>
      </w:pPr>
      <w:r>
        <w:t xml:space="preserve">8.2 Integrating Traditional Ecological Knowledge</w:t>
      </w:r>
    </w:p>
    <w:p>
      <w:pPr>
        <w:pStyle w:val="Normal"/>
      </w:pPr>
      <w:r>
        <w:t xml:space="preserve">Adaptation planning should systematically and respectfully integrate traditional ecological and local knowledge alongside scientific data, recognizing communities as knowledge-holders and partners rather than passive recipients (Whyte, 2017; Ravera et al., 2016). As reflected in </w:t>
      </w:r>
      <w:r>
        <w:rPr>
          <w:b/>
        </w:rPr>
        <w:t xml:space="preserve">Table 4</w:t>
      </w:r>
      <w:r>
        <w:t xml:space="preserve">, this entails establishing protocols for the ethical co-production of knowledge, protecting indigenous data sovereignty, and resourcing community-led documentation and monitoring (Whyte, 2017; Reid, 2016). Such integration strengthens the legitimacy and effectiveness of adaptation while advancing epistemic justice for communities long excluded from formal planning (Sultana, 2022; Gay-Antaki, 2020).</w:t>
      </w:r>
    </w:p>
    <w:p>
      <w:pPr>
        <w:pStyle w:val="Heading2"/>
      </w:pPr>
      <w:r>
        <w:t xml:space="preserve">8.3 Capacity-Building for Grassroots Leadership</w:t>
      </w:r>
    </w:p>
    <w:p>
      <w:pPr>
        <w:pStyle w:val="Normal"/>
      </w:pPr>
      <w:r>
        <w:t xml:space="preserve">Sustained resilience depends on the leadership capacity of marginalized communities themselves. Investment in the organizational, technical, and advocacy capacities of grassroots women's groups, indigenous organizations, and community institutions is therefore essential (Agarwal, 2010; Kabeer, 1999). Priority actions include leadership development, quotas and support for women's participation in decision-making bodies, and long-term core funding for community organizations rather than short project cycles (Alston, 2014; Rao, 2019). Such investment should be understood not as charity but as the cultivation of the collective agency on which durable, self-directed adaptation depends (Tschakert &amp; Machado, 2012; Kabeer, 1999).</w:t>
      </w:r>
    </w:p>
    <w:p>
      <w:pPr>
        <w:pStyle w:val="Heading2"/>
      </w:pPr>
      <w:r>
        <w:t xml:space="preserve">8.4 Institutional and Structural Reform</w:t>
      </w:r>
    </w:p>
    <w:p>
      <w:pPr>
        <w:pStyle w:val="Normal"/>
      </w:pPr>
      <w:r>
        <w:t xml:space="preserve">Finally, and most fundamentally, addressing intersectional climate vulnerability requires reforms to the institutions and structures that produce it. This includes securing women's and marginalized groups' rights to land and resources, reforming exclusionary governance institutions, embedding intersectional analysis in planning mandates, and confronting the political-economic drivers of vulnerability identified in Section 5 (Agarwal, 2010; Ribot, 2014). As the institutional pillar of </w:t>
      </w:r>
      <w:r>
        <w:rPr>
          <w:b/>
        </w:rPr>
        <w:t xml:space="preserve">Figure 4</w:t>
      </w:r>
      <w:r>
        <w:t xml:space="preserve"> and the corresponding row of </w:t>
      </w:r>
      <w:r>
        <w:rPr>
          <w:b/>
        </w:rPr>
        <w:t xml:space="preserve">Table 4</w:t>
      </w:r>
      <w:r>
        <w:t xml:space="preserve"> make clear, without such structural change, finance, knowledge integration, and capacity-building risk being absorbed by existing power relations rather than transforming them (Mikulewicz, 2018; Nagoda, 2015). Research, too, must be reformed: scholars are called to adopt intersectional, participatory, and reflexive methodologies that center the knowledge and priorities of marginalized communities (Djoudi et al., 2016; Thompson-Hall et al., 2016).</w:t>
      </w:r>
    </w:p>
    <w:p>
      <w:pPr>
        <w:pStyle w:val="Heading2"/>
      </w:pPr>
      <w:r>
        <w:t xml:space="preserve">8.5 A Research and Knowledge Agenda</w:t>
      </w:r>
    </w:p>
    <w:p>
      <w:pPr>
        <w:pStyle w:val="Normal"/>
      </w:pPr>
      <w:r>
        <w:t xml:space="preserve">The preceding recommendations imply a distinct agenda for research and knowledge production. First, there is an urgent need for disaggregated, intersectional data that move beyond binary sex-disaggregation to capture the interaction of gender with caste, class, ethnicity, age, disability, and displacement status; without such data, the most acutely vulnerable remain statistically invisible and the sources of resilience within communities go unrecognized (Djoudi et al., 2016; Kaijser &amp; Kronsell, 2014). Second, methodological pluralism is essential: qualitative, ethnographic, and participatory methods are necessary to illuminate the relational processes and lived experiences that quantitative indices cannot capture, complementing rather than displacing statistical analysis (MacGregor, 2010; Nightingale, 2011). Third, research must be reflexive about its own power relations, guarding against extractive practices that treat communities as data sources and instead building genuine partnerships that respect local knowledge and data sovereignty (Whyte, 2017; Sultana, 2022).</w:t>
      </w:r>
    </w:p>
    <w:p>
      <w:pPr>
        <w:pStyle w:val="Normal"/>
      </w:pPr>
      <w:r>
        <w:t xml:space="preserve">Longitudinal and comparative studies are particularly valuable, since vulnerability and resilience are dynamic and context-dependent, evolving as households renegotiate roles and strategies under sustained climate stress (Rao, 2019; Carr &amp; Thompson, 2014). Equally important is research that evaluates interventions themselves—asking not only whether adaptation programs reduce aggregate risk but who benefits, who is excluded, and whether existing inequalities are reproduced or transformed (Nagoda, 2015; Mikulewicz, 2018). Such an agenda repositions research as a collaborator in the pursuit of climate justice rather than a detached observer of it, closing the loop between knowledge, policy, and the empowerment of those most affected (Tschakert &amp; Machado, 2012; Ravera et al., 2016).</w:t>
      </w:r>
    </w:p>
    <w:p>
      <w:pPr>
        <w:pStyle w:val="TableCaption"/>
      </w:pPr>
      <w:r>
        <w:rPr>
          <w:b/>
        </w:rPr>
        <w:t xml:space="preserve">Table 4.</w:t>
      </w:r>
      <w:r>
        <w:t xml:space="preserve"> Recommendations for intersectional and gender-responsive climate action, mapped to pillars, stakeholders, and indicative actions.</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shd w:val="clear" w:color="auto" w:fill="D9E2F3"/>
          </w:tcPr>
          <w:p>
            <w:pPr>
              <w:jc w:val="center"/>
            </w:pPr>
            <w:r>
              <w:rPr>
                <w:b/>
              </w:rPr>
              <w:t xml:space="preserve">Pillar</w:t>
            </w:r>
          </w:p>
        </w:tc>
        <w:tc>
          <w:tcPr>
            <w:shd w:val="clear" w:color="auto" w:fill="D9E2F3"/>
          </w:tcPr>
          <w:p>
            <w:pPr>
              <w:jc w:val="center"/>
            </w:pPr>
            <w:r>
              <w:rPr>
                <w:b/>
              </w:rPr>
              <w:t xml:space="preserve">Primary Stakeholders</w:t>
            </w:r>
          </w:p>
        </w:tc>
        <w:tc>
          <w:tcPr>
            <w:shd w:val="clear" w:color="auto" w:fill="D9E2F3"/>
          </w:tcPr>
          <w:p>
            <w:pPr>
              <w:jc w:val="center"/>
            </w:pPr>
            <w:r>
              <w:rPr>
                <w:b/>
              </w:rPr>
              <w:t xml:space="preserve">Indicative Actions</w:t>
            </w:r>
          </w:p>
        </w:tc>
        <w:tc>
          <w:tcPr>
            <w:shd w:val="clear" w:color="auto" w:fill="D9E2F3"/>
          </w:tcPr>
          <w:p>
            <w:pPr>
              <w:jc w:val="center"/>
            </w:pPr>
            <w:r>
              <w:rPr>
                <w:b/>
              </w:rPr>
              <w:t xml:space="preserve">Expected Outcome</w:t>
            </w:r>
          </w:p>
        </w:tc>
      </w:tr>
      <w:tr>
        <w:tc>
          <w:p>
            <w:pPr>
              <w:spacing w:after="40"/>
            </w:pPr>
            <w:r>
              <w:t xml:space="preserve">Gender-responsive climate finance</w:t>
            </w:r>
          </w:p>
        </w:tc>
        <w:tc>
          <w:p>
            <w:pPr>
              <w:spacing w:after="40"/>
            </w:pPr>
            <w:r>
              <w:t xml:space="preserve">Funds, national governments, donors</w:t>
            </w:r>
          </w:p>
        </w:tc>
        <w:tc>
          <w:p>
            <w:pPr>
              <w:spacing w:after="40"/>
            </w:pPr>
            <w:r>
              <w:t xml:space="preserve">Gender-responsive budgeting; direct-access small grants; disaggregated benefit tracking</w:t>
            </w:r>
          </w:p>
        </w:tc>
        <w:tc>
          <w:p>
            <w:pPr>
              <w:spacing w:after="40"/>
            </w:pPr>
            <w:r>
              <w:t xml:space="preserve">Equitable resource flows to marginalized groups</w:t>
            </w:r>
          </w:p>
        </w:tc>
      </w:tr>
      <w:tr>
        <w:tc>
          <w:p>
            <w:pPr>
              <w:spacing w:after="40"/>
            </w:pPr>
            <w:r>
              <w:t xml:space="preserve">Traditional ecological knowledge</w:t>
            </w:r>
          </w:p>
        </w:tc>
        <w:tc>
          <w:p>
            <w:pPr>
              <w:spacing w:after="40"/>
            </w:pPr>
            <w:r>
              <w:t xml:space="preserve">Communities, planners, researchers</w:t>
            </w:r>
          </w:p>
        </w:tc>
        <w:tc>
          <w:p>
            <w:pPr>
              <w:spacing w:after="40"/>
            </w:pPr>
            <w:r>
              <w:t xml:space="preserve">Ethical knowledge co-production; data sovereignty protocols; community monitoring</w:t>
            </w:r>
          </w:p>
        </w:tc>
        <w:tc>
          <w:p>
            <w:pPr>
              <w:spacing w:after="40"/>
            </w:pPr>
            <w:r>
              <w:t xml:space="preserve">Locally grounded, legitimate adaptation</w:t>
            </w:r>
          </w:p>
        </w:tc>
      </w:tr>
      <w:tr>
        <w:tc>
          <w:p>
            <w:pPr>
              <w:spacing w:after="40"/>
            </w:pPr>
            <w:r>
              <w:t xml:space="preserve">Grassroots leadership capacity</w:t>
            </w:r>
          </w:p>
        </w:tc>
        <w:tc>
          <w:p>
            <w:pPr>
              <w:spacing w:after="40"/>
            </w:pPr>
            <w:r>
              <w:t xml:space="preserve">Community organizations, NGOs, local government</w:t>
            </w:r>
          </w:p>
        </w:tc>
        <w:tc>
          <w:p>
            <w:pPr>
              <w:spacing w:after="40"/>
            </w:pPr>
            <w:r>
              <w:t xml:space="preserve">Leadership development; participation quotas; long-term core funding</w:t>
            </w:r>
          </w:p>
        </w:tc>
        <w:tc>
          <w:p>
            <w:pPr>
              <w:spacing w:after="40"/>
            </w:pPr>
            <w:r>
              <w:t xml:space="preserve">Strengthened collective agency and voice</w:t>
            </w:r>
          </w:p>
        </w:tc>
      </w:tr>
      <w:tr>
        <w:tc>
          <w:p>
            <w:pPr>
              <w:spacing w:after="40"/>
            </w:pPr>
            <w:r>
              <w:t xml:space="preserve">Institutional and structural reform</w:t>
            </w:r>
          </w:p>
        </w:tc>
        <w:tc>
          <w:p>
            <w:pPr>
              <w:spacing w:after="40"/>
            </w:pPr>
            <w:r>
              <w:t xml:space="preserve">Governments, legal systems, institutions</w:t>
            </w:r>
          </w:p>
        </w:tc>
        <w:tc>
          <w:p>
            <w:pPr>
              <w:spacing w:after="40"/>
            </w:pPr>
            <w:r>
              <w:t xml:space="preserve">Secure land and resource rights; intersectional planning mandates; governance reform</w:t>
            </w:r>
          </w:p>
        </w:tc>
        <w:tc>
          <w:p>
            <w:pPr>
              <w:spacing w:after="40"/>
            </w:pPr>
            <w:r>
              <w:t xml:space="preserve">Transformation of vulnerability-producing structures</w:t>
            </w:r>
          </w:p>
        </w:tc>
      </w:tr>
    </w:tbl>
    <w:p>
      <w:pPr>
        <w:pStyle w:val="FigureImage"/>
      </w:pPr>
      <w:r>
        <w:drawing>
          <wp:inline xmlns:wp="http://schemas.openxmlformats.org/drawingml/2006/wordprocessingDrawing" distT="0" distB="0" distL="0" distR="0">
            <wp:extent cx="5486400" cy="3345365"/>
            <wp:effectExtent l="0" t="0" r="0" b="0"/>
            <wp:docPr id="1004" name="Figure_4_Action_Frame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ure_4_Action_Framework.png"/>
                    <pic:cNvPicPr/>
                  </pic:nvPicPr>
                  <pic:blipFill>
                    <a:blip xmlns:r="http://schemas.openxmlformats.org/officeDocument/2006/relationships" r:embed="rIdImg4"/>
                    <a:stretch>
                      <a:fillRect/>
                    </a:stretch>
                  </pic:blipFill>
                  <pic:spPr>
                    <a:xfrm>
                      <a:off x="0" y="0"/>
                      <a:ext cx="5486400" cy="3345365"/>
                    </a:xfrm>
                    <a:prstGeom prst="rect">
                      <a:avLst/>
                    </a:prstGeom>
                  </pic:spPr>
                </pic:pic>
              </a:graphicData>
            </a:graphic>
          </wp:inline>
        </w:drawing>
      </w:r>
    </w:p>
    <w:p>
      <w:pPr>
        <w:pStyle w:val="FigureCaption"/>
      </w:pPr>
      <w:r>
        <w:rPr>
          <w:b/>
        </w:rPr>
        <w:t xml:space="preserve">Figure 4.</w:t>
      </w:r>
      <w:r>
        <w:t xml:space="preserve"> A transformative framework for intersectional, gender-responsive climate action. Four interdependent pillars—gender-responsive climate finance, integration of traditional ecological knowledge, grassroots leadership capacity, and institutional and structural reform—rest on a foundation of participatory, feminist, and decolonial governance and are oriented toward the shared goal of just and effective climate resilience.</w:t>
      </w:r>
    </w:p>
    <w:p>
      <w:pPr>
        <w:pStyle w:val="Heading1"/>
      </w:pPr>
      <w:r>
        <w:t xml:space="preserve">9. Conclusion</w:t>
      </w:r>
    </w:p>
    <w:p>
      <w:pPr>
        <w:pStyle w:val="Normal"/>
      </w:pPr>
      <w:r>
        <w:t xml:space="preserve">This chapter has argued that effective and just climate resilience in the Global South cannot be achieved without an intersectional analysis that attends to the overlapping systems of power—gender, caste, class, ethnicity, indigeneity, age, disability, and displacement—that shape who is exposed to climate harm and who is equipped to respond. Moving beyond both technocratic framings that ignore social difference and essentialist framings that flatten it, the analysis has shown that vulnerability is not a fixed attribute but a relational condition produced through social processes, and that the same locations of marginalization are also sites of profound knowledge, organization, and agency (Ribot, 2014; Arora-Jonsson, 2011; Sultana, 2022).</w:t>
      </w:r>
    </w:p>
    <w:p>
      <w:pPr>
        <w:pStyle w:val="Normal"/>
      </w:pPr>
      <w:r>
        <w:t xml:space="preserve">The empirical cases from South Asia, Sub-Saharan Africa, and Latin America demonstrate that intersecting inequalities produce distinctive predicaments that single-axis assessments render invisible, while also revealing the creativity of grassroots women's organizations, indigenous knowledge-holders, and community-based adaptation initiatives (Nightingale, 2011; Gay-Antaki, 2020; Rao, 2019). The critique of conventional vulnerability assessment developed in Section 5 underscored the need for approaches that are relational, structural, participatory, and epistemically plural (Djoudi et al., 2016; MacGregor, 2010). The recommendations mapped in </w:t>
      </w:r>
      <w:r>
        <w:rPr>
          <w:b/>
        </w:rPr>
        <w:t xml:space="preserve">Table 4</w:t>
      </w:r>
      <w:r>
        <w:t xml:space="preserve"> and the transformative framework in </w:t>
      </w:r>
      <w:r>
        <w:rPr>
          <w:b/>
        </w:rPr>
        <w:t xml:space="preserve">Figure 4</w:t>
      </w:r>
      <w:r>
        <w:t xml:space="preserve"> translate this orientation into concrete commitments: gender-responsive and intersectional climate finance, respectful integration of traditional ecological knowledge, sustained investment in grassroots leadership, and the institutional and structural reforms without which the other pillars cannot deliver lasting change (Agarwal, 2010; Whyte, 2017; Tschakert &amp; Machado, 2012).</w:t>
      </w:r>
    </w:p>
    <w:p>
      <w:pPr>
        <w:pStyle w:val="Normal"/>
      </w:pPr>
      <w:r>
        <w:t xml:space="preserve">Ultimately, centering intersectionality and community resilience is not a peripheral concern but a prerequisite for a climate agenda that is both effective and just. Interventions that ignore the intersecting dimensions of vulnerability risk deepening the very inequalities they purport to address; those that recognize and build upon the agency of marginalized communities can advance resilience and social equity together (Sen, 1999; Sultana, 2022). The path toward inclusive sustainability in the Global South runs through the redistribution of power, resources, and recognition—placing the knowledge, priorities, and leadership of those most affected at the center of climate action (Kabeer, 1999; Terry, 2009).</w:t>
      </w:r>
    </w:p>
    <w:p>
      <w:pPr>
        <w:pStyle w:val="Normal"/>
      </w:pPr>
      <w:r>
        <w:t xml:space="preserve">Several caveats temper these conclusions and mark directions for future work. The regional cases examined here are illustrative rather than exhaustive, and the enormous heterogeneity within South Asia, Sub-Saharan Africa, and Latin America means that findings cannot be mechanically transferred across contexts; the value of an intersectional lens lies precisely in its insistence on situated, context-specific analysis (Sultana, 2014; Thompson-Hall et al., 2016). Moreover, intersectionality is demanding to operationalize: attending to many interacting axes simultaneously can strain data systems, program design, and evaluation, and there is a real risk that the language of intersectionality is adopted rhetorically while practice remains business as usual (Kaijser &amp; Kronsell, 2014; Mikulewicz, 2018). Guarding against this requires sustained commitment, adequate resourcing, and mechanisms of accountability that keep marginalized communities at the center rather than the margins of decision-making (Alston, 2014; Nagoda, 2015). Finally, the analysis affirms that climate resilience and social equity are not competing objectives to be traded off but complementary goals that reinforce one another: investments that build the agency and rights of the most marginalized simultaneously strengthen the adaptive capacity of communities as a whole (Sen, 1999; Agarwal, 2010). A climate agenda for the Global South that internalizes this insight—rejecting both technocratic universalism and essentialist reduction in favor of intersectional, community-centered action—offers the most credible path to a future that is at once more resilient and more just (Ribot, 2014; Sultana, 2022).</w:t>
      </w:r>
    </w:p>
    <w:p>
      <w:pPr>
        <w:pStyle w:val="Heading1"/>
      </w:pPr>
      <w:r>
        <w:t xml:space="preserve">References</w:t>
      </w:r>
    </w:p>
    <w:p>
      <w:pPr>
        <w:pStyle w:val="References"/>
      </w:pPr>
      <w:r>
        <w:t xml:space="preserve">Adger, W. N. (2006). Vulnerability. </w:t>
      </w:r>
      <w:r>
        <w:rPr>
          <w:i/>
        </w:rPr>
        <w:t xml:space="preserve">Global Environmental Change, 16</w:t>
      </w:r>
      <w:r>
        <w:t xml:space="preserve">(3), 268–281.</w:t>
      </w:r>
    </w:p>
    <w:p>
      <w:pPr>
        <w:pStyle w:val="References"/>
      </w:pPr>
      <w:r>
        <w:t xml:space="preserve">Agarwal, B. (1997). "Bargaining" and gender relations: Within and beyond the household. </w:t>
      </w:r>
      <w:r>
        <w:rPr>
          <w:i/>
        </w:rPr>
        <w:t xml:space="preserve">Feminist Economics, 3</w:t>
      </w:r>
      <w:r>
        <w:t xml:space="preserve">(1), 1–51.</w:t>
      </w:r>
    </w:p>
    <w:p>
      <w:pPr>
        <w:pStyle w:val="References"/>
      </w:pPr>
      <w:r>
        <w:t xml:space="preserve">Agarwal, B. (2010). </w:t>
      </w:r>
      <w:r>
        <w:rPr>
          <w:i/>
        </w:rPr>
        <w:t xml:space="preserve">Gender and green governance: The political economy of women's presence within and beyond community forestry</w:t>
      </w:r>
      <w:r>
        <w:t xml:space="preserve">. Oxford University Press.</w:t>
      </w:r>
    </w:p>
    <w:p>
      <w:pPr>
        <w:pStyle w:val="References"/>
      </w:pPr>
      <w:r>
        <w:t xml:space="preserve">Ajibade, I., McBean, G., &amp; Bezner-Kerr, R. (2013). Urban flooding in Lagos, Nigeria: Patterns of vulnerability and resilience among women. </w:t>
      </w:r>
      <w:r>
        <w:rPr>
          <w:i/>
        </w:rPr>
        <w:t xml:space="preserve">Global Environmental Change, 23</w:t>
      </w:r>
      <w:r>
        <w:t xml:space="preserve">(6), 1714–1725.</w:t>
      </w:r>
    </w:p>
    <w:p>
      <w:pPr>
        <w:pStyle w:val="References"/>
      </w:pPr>
      <w:r>
        <w:t xml:space="preserve">Alston, M. (2014). Gender mainstreaming and climate change. </w:t>
      </w:r>
      <w:r>
        <w:rPr>
          <w:i/>
        </w:rPr>
        <w:t xml:space="preserve">Women's Studies International Forum, 47</w:t>
      </w:r>
      <w:r>
        <w:t xml:space="preserve">, 287–294.</w:t>
      </w:r>
    </w:p>
    <w:p>
      <w:pPr>
        <w:pStyle w:val="References"/>
      </w:pPr>
      <w:r>
        <w:t xml:space="preserve">Arora-Jonsson, S. (2011). Virtue and vulnerability: Discourses on women, gender and climate change. </w:t>
      </w:r>
      <w:r>
        <w:rPr>
          <w:i/>
        </w:rPr>
        <w:t xml:space="preserve">Global Environmental Change, 21</w:t>
      </w:r>
      <w:r>
        <w:t xml:space="preserve">(2), 744–751.</w:t>
      </w:r>
    </w:p>
    <w:p>
      <w:pPr>
        <w:pStyle w:val="References"/>
      </w:pPr>
      <w:r>
        <w:t xml:space="preserve">Bee, B. A. (2016). Power, perception, and adaptation: Exploring gender and social–environmental risk perception in northern Guanajuato, Mexico. </w:t>
      </w:r>
      <w:r>
        <w:rPr>
          <w:i/>
        </w:rPr>
        <w:t xml:space="preserve">Geoforum, 69</w:t>
      </w:r>
      <w:r>
        <w:t xml:space="preserve">, 71–80.</w:t>
      </w:r>
    </w:p>
    <w:p>
      <w:pPr>
        <w:pStyle w:val="References"/>
      </w:pPr>
      <w:r>
        <w:t xml:space="preserve">Carr, E. R., &amp; Thompson, M. C. (2014). Gender and climate change adaptation in agrarian settings: Current thinking, new directions, and research frontiers. </w:t>
      </w:r>
      <w:r>
        <w:rPr>
          <w:i/>
        </w:rPr>
        <w:t xml:space="preserve">Geography Compass, 8</w:t>
      </w:r>
      <w:r>
        <w:t xml:space="preserve">(3), 182–197.</w:t>
      </w:r>
    </w:p>
    <w:p>
      <w:pPr>
        <w:pStyle w:val="References"/>
      </w:pPr>
      <w:r>
        <w:t xml:space="preserve">Collins, P. H. (2000). </w:t>
      </w:r>
      <w:r>
        <w:rPr>
          <w:i/>
        </w:rPr>
        <w:t xml:space="preserve">Black feminist thought: Knowledge, consciousness, and the politics of empowerment</w:t>
      </w:r>
      <w:r>
        <w:t xml:space="preserve"> (2nd ed.). Routledge.</w:t>
      </w:r>
    </w:p>
    <w:p>
      <w:pPr>
        <w:pStyle w:val="References"/>
      </w:pPr>
      <w:r>
        <w:t xml:space="preserve">Crenshaw, K. (1989). Demarginalizing the intersection of race and sex: A Black feminist critique of antidiscrimination doctrine, feminist theory and antiracist politics. </w:t>
      </w:r>
      <w:r>
        <w:rPr>
          <w:i/>
        </w:rPr>
        <w:t xml:space="preserve">University of Chicago Legal Forum, 1989</w:t>
      </w:r>
      <w:r>
        <w:t xml:space="preserve">(1), 139–167.</w:t>
      </w:r>
    </w:p>
    <w:p>
      <w:pPr>
        <w:pStyle w:val="References"/>
      </w:pPr>
      <w:r>
        <w:t xml:space="preserve">Crenshaw, K. (1991). Mapping the margins: Intersectionality, identity politics, and violence against women of color. </w:t>
      </w:r>
      <w:r>
        <w:rPr>
          <w:i/>
        </w:rPr>
        <w:t xml:space="preserve">Stanford Law Review, 43</w:t>
      </w:r>
      <w:r>
        <w:t xml:space="preserve">(6), 1241–1299.</w:t>
      </w:r>
    </w:p>
    <w:p>
      <w:pPr>
        <w:pStyle w:val="References"/>
      </w:pPr>
      <w:r>
        <w:t xml:space="preserve">Cutter, S. L., Boruff, B. J., &amp; Shirley, W. L. (2003). Social vulnerability to environmental hazards. </w:t>
      </w:r>
      <w:r>
        <w:rPr>
          <w:i/>
        </w:rPr>
        <w:t xml:space="preserve">Social Science Quarterly, 84</w:t>
      </w:r>
      <w:r>
        <w:t xml:space="preserve">(2), 242–261.</w:t>
      </w:r>
    </w:p>
    <w:p>
      <w:pPr>
        <w:pStyle w:val="References"/>
      </w:pPr>
      <w:r>
        <w:t xml:space="preserve">Denton, F. (2002). Climate change vulnerability, impacts, and adaptation: Why does gender matter? </w:t>
      </w:r>
      <w:r>
        <w:rPr>
          <w:i/>
        </w:rPr>
        <w:t xml:space="preserve">Gender &amp; Development, 10</w:t>
      </w:r>
      <w:r>
        <w:t xml:space="preserve">(2), 10–20.</w:t>
      </w:r>
    </w:p>
    <w:p>
      <w:pPr>
        <w:pStyle w:val="References"/>
      </w:pPr>
      <w:r>
        <w:t xml:space="preserve">Djoudi, H., Locatelli, B., Vaast, C., Asher, K., Brockhaus, M., &amp; Sijapati, B. B. (2016). Beyond dichotomies: Gender and intersecting inequalities in climate change studies. </w:t>
      </w:r>
      <w:r>
        <w:rPr>
          <w:i/>
        </w:rPr>
        <w:t xml:space="preserve">Ambio, 45</w:t>
      </w:r>
      <w:r>
        <w:t xml:space="preserve">(S3), 248–262.</w:t>
      </w:r>
    </w:p>
    <w:p>
      <w:pPr>
        <w:pStyle w:val="References"/>
      </w:pPr>
      <w:r>
        <w:t xml:space="preserve">Eastin, J. (2018). Climate change and gender equality in developing states. </w:t>
      </w:r>
      <w:r>
        <w:rPr>
          <w:i/>
        </w:rPr>
        <w:t xml:space="preserve">World Development, 107</w:t>
      </w:r>
      <w:r>
        <w:t xml:space="preserve">, 289–305.</w:t>
      </w:r>
    </w:p>
    <w:p>
      <w:pPr>
        <w:pStyle w:val="References"/>
      </w:pPr>
      <w:r>
        <w:t xml:space="preserve">Enarson, E. (2012). </w:t>
      </w:r>
      <w:r>
        <w:rPr>
          <w:i/>
        </w:rPr>
        <w:t xml:space="preserve">Women confronting natural disaster: From vulnerability to resilience</w:t>
      </w:r>
      <w:r>
        <w:t xml:space="preserve">. Lynne Rienner Publishers.</w:t>
      </w:r>
    </w:p>
    <w:p>
      <w:pPr>
        <w:pStyle w:val="References"/>
      </w:pPr>
      <w:r>
        <w:t xml:space="preserve">Gay-Antaki, M. (2020). Feminist geographies of climate change: Negotiating gender at climate talks. </w:t>
      </w:r>
      <w:r>
        <w:rPr>
          <w:i/>
        </w:rPr>
        <w:t xml:space="preserve">Geoforum, 115</w:t>
      </w:r>
      <w:r>
        <w:t xml:space="preserve">, 1–10.</w:t>
      </w:r>
    </w:p>
    <w:p>
      <w:pPr>
        <w:pStyle w:val="References"/>
      </w:pPr>
      <w:r>
        <w:t xml:space="preserve">Goh, A. H. (2012). </w:t>
      </w:r>
      <w:r>
        <w:rPr>
          <w:i/>
        </w:rPr>
        <w:t xml:space="preserve">A literature review of the gender-differentiated impacts of climate change on women's and men's assets and well-being in developing countries</w:t>
      </w:r>
      <w:r>
        <w:t xml:space="preserve"> (CAPRi Working Paper No. 106). International Food Policy Research Institute.</w:t>
      </w:r>
    </w:p>
    <w:p>
      <w:pPr>
        <w:pStyle w:val="References"/>
      </w:pPr>
      <w:r>
        <w:t xml:space="preserve">Intergovernmental Panel on Climate Change. (2022). </w:t>
      </w:r>
      <w:r>
        <w:rPr>
          <w:i/>
        </w:rPr>
        <w:t xml:space="preserve">Climate change 2022: Impacts, adaptation and vulnerability. Contribution of Working Group II to the Sixth Assessment Report</w:t>
      </w:r>
      <w:r>
        <w:t xml:space="preserve">. Cambridge University Press.</w:t>
      </w:r>
    </w:p>
    <w:p>
      <w:pPr>
        <w:pStyle w:val="References"/>
      </w:pPr>
      <w:r>
        <w:t xml:space="preserve">Jerneck, A. (2018). What about gender in climate change? Twelve feminist lessons from development. </w:t>
      </w:r>
      <w:r>
        <w:rPr>
          <w:i/>
        </w:rPr>
        <w:t xml:space="preserve">Sustainability, 10</w:t>
      </w:r>
      <w:r>
        <w:t xml:space="preserve">(3), 627.</w:t>
      </w:r>
    </w:p>
    <w:p>
      <w:pPr>
        <w:pStyle w:val="References"/>
      </w:pPr>
      <w:r>
        <w:t xml:space="preserve">Kabeer, N. (1999). Resources, agency, achievements: Reflections on the measurement of women's empowerment. </w:t>
      </w:r>
      <w:r>
        <w:rPr>
          <w:i/>
        </w:rPr>
        <w:t xml:space="preserve">Development and Change, 30</w:t>
      </w:r>
      <w:r>
        <w:t xml:space="preserve">(3), 435–464.</w:t>
      </w:r>
    </w:p>
    <w:p>
      <w:pPr>
        <w:pStyle w:val="References"/>
      </w:pPr>
      <w:r>
        <w:t xml:space="preserve">Kaijser, A., &amp; Kronsell, A. (2014). Climate change through the lens of intersectionality. </w:t>
      </w:r>
      <w:r>
        <w:rPr>
          <w:i/>
        </w:rPr>
        <w:t xml:space="preserve">Environmental Politics, 23</w:t>
      </w:r>
      <w:r>
        <w:t xml:space="preserve">(3), 417–433.</w:t>
      </w:r>
    </w:p>
    <w:p>
      <w:pPr>
        <w:pStyle w:val="References"/>
      </w:pPr>
      <w:r>
        <w:t xml:space="preserve">MacGregor, S. (2010). A stranger silence still: The need for feminist social research on climate change. </w:t>
      </w:r>
      <w:r>
        <w:rPr>
          <w:i/>
        </w:rPr>
        <w:t xml:space="preserve">The Sociological Review, 57</w:t>
      </w:r>
      <w:r>
        <w:t xml:space="preserve">(2_suppl), 124–140.</w:t>
      </w:r>
    </w:p>
    <w:p>
      <w:pPr>
        <w:pStyle w:val="References"/>
      </w:pPr>
      <w:r>
        <w:t xml:space="preserve">Mikulewicz, M. (2018). Politicizing vulnerability and adaptation: On the need to democratize local responses to climate impacts in developing countries. </w:t>
      </w:r>
      <w:r>
        <w:rPr>
          <w:i/>
        </w:rPr>
        <w:t xml:space="preserve">Climate and Development, 10</w:t>
      </w:r>
      <w:r>
        <w:t xml:space="preserve">(1), 18–34.</w:t>
      </w:r>
    </w:p>
    <w:p>
      <w:pPr>
        <w:pStyle w:val="References"/>
      </w:pPr>
      <w:r>
        <w:t xml:space="preserve">Mohanty, C. T. (2003). </w:t>
      </w:r>
      <w:r>
        <w:rPr>
          <w:i/>
        </w:rPr>
        <w:t xml:space="preserve">Feminism without borders: Decolonizing theory, practicing solidarity</w:t>
      </w:r>
      <w:r>
        <w:t xml:space="preserve">. Duke University Press.</w:t>
      </w:r>
    </w:p>
    <w:p>
      <w:pPr>
        <w:pStyle w:val="References"/>
      </w:pPr>
      <w:r>
        <w:t xml:space="preserve">Nagoda, S. (2015). New discourses but same old development approaches? Climate change adaptation policies, chronic food insecurity and development interventions in northwestern Nepal. </w:t>
      </w:r>
      <w:r>
        <w:rPr>
          <w:i/>
        </w:rPr>
        <w:t xml:space="preserve">Global Environmental Change, 35</w:t>
      </w:r>
      <w:r>
        <w:t xml:space="preserve">, 570–579.</w:t>
      </w:r>
    </w:p>
    <w:p>
      <w:pPr>
        <w:pStyle w:val="References"/>
      </w:pPr>
      <w:r>
        <w:t xml:space="preserve">Nelson, V., Meadows, K., Cannon, T., Morton, J., &amp; Martin, A. (2002). Uncertain predictions, invisible impacts, and the need to mainstream gender in climate change adaptations. </w:t>
      </w:r>
      <w:r>
        <w:rPr>
          <w:i/>
        </w:rPr>
        <w:t xml:space="preserve">Gender &amp; Development, 10</w:t>
      </w:r>
      <w:r>
        <w:t xml:space="preserve">(2), 51–59.</w:t>
      </w:r>
    </w:p>
    <w:p>
      <w:pPr>
        <w:pStyle w:val="References"/>
      </w:pPr>
      <w:r>
        <w:t xml:space="preserve">Nightingale, A. J. (2011). Bounding difference: Intersectionality and the material production of gender, caste, class and environment in Nepal. </w:t>
      </w:r>
      <w:r>
        <w:rPr>
          <w:i/>
        </w:rPr>
        <w:t xml:space="preserve">Geoforum, 42</w:t>
      </w:r>
      <w:r>
        <w:t xml:space="preserve">(2), 153–162.</w:t>
      </w:r>
    </w:p>
    <w:p>
      <w:pPr>
        <w:pStyle w:val="References"/>
      </w:pPr>
      <w:r>
        <w:t xml:space="preserve">Osborne, N. (2015). Intersectionality and kyriarchy: A framework for approaching power and social justice in planning and climate change adaptation. </w:t>
      </w:r>
      <w:r>
        <w:rPr>
          <w:i/>
        </w:rPr>
        <w:t xml:space="preserve">Planning Theory, 14</w:t>
      </w:r>
      <w:r>
        <w:t xml:space="preserve">(2), 130–151.</w:t>
      </w:r>
    </w:p>
    <w:p>
      <w:pPr>
        <w:pStyle w:val="References"/>
      </w:pPr>
      <w:r>
        <w:t xml:space="preserve">Pearse, R. (2017). Gender and climate change. </w:t>
      </w:r>
      <w:r>
        <w:rPr>
          <w:i/>
        </w:rPr>
        <w:t xml:space="preserve">WIREs Climate Change, 8</w:t>
      </w:r>
      <w:r>
        <w:t xml:space="preserve">(2), e451.</w:t>
      </w:r>
    </w:p>
    <w:p>
      <w:pPr>
        <w:pStyle w:val="References"/>
      </w:pPr>
      <w:r>
        <w:t xml:space="preserve">Rao, N. (2019). From abandonment to autonomy: Gendered strategies for coping with climate change, Isiolo County, Kenya. </w:t>
      </w:r>
      <w:r>
        <w:rPr>
          <w:i/>
        </w:rPr>
        <w:t xml:space="preserve">Geoforum, 102</w:t>
      </w:r>
      <w:r>
        <w:t xml:space="preserve">, 27–37.</w:t>
      </w:r>
    </w:p>
    <w:p>
      <w:pPr>
        <w:pStyle w:val="References"/>
      </w:pPr>
      <w:r>
        <w:t xml:space="preserve">Ravera, F., Iniesta-Arandia, I., Martín-López, B., Pascual, U., &amp; Bose, P. (2016). Gender perspectives in resilience, vulnerability and adaptation to global environmental change. </w:t>
      </w:r>
      <w:r>
        <w:rPr>
          <w:i/>
        </w:rPr>
        <w:t xml:space="preserve">Ambio, 45</w:t>
      </w:r>
      <w:r>
        <w:t xml:space="preserve">(S3), 235–247.</w:t>
      </w:r>
    </w:p>
    <w:p>
      <w:pPr>
        <w:pStyle w:val="References"/>
      </w:pPr>
      <w:r>
        <w:t xml:space="preserve">Reid, H. (2016). Ecosystem- and community-based adaptation: Learning from community-based natural resource management. </w:t>
      </w:r>
      <w:r>
        <w:rPr>
          <w:i/>
        </w:rPr>
        <w:t xml:space="preserve">Climate and Development, 8</w:t>
      </w:r>
      <w:r>
        <w:t xml:space="preserve">(1), 4–9.</w:t>
      </w:r>
    </w:p>
    <w:p>
      <w:pPr>
        <w:pStyle w:val="References"/>
      </w:pPr>
      <w:r>
        <w:t xml:space="preserve">Resurrección, B. P. (2013). Persistent women and environment linkages in climate change and sustainable development agendas. </w:t>
      </w:r>
      <w:r>
        <w:rPr>
          <w:i/>
        </w:rPr>
        <w:t xml:space="preserve">Women's Studies International Forum, 40</w:t>
      </w:r>
      <w:r>
        <w:t xml:space="preserve">, 33–43.</w:t>
      </w:r>
    </w:p>
    <w:p>
      <w:pPr>
        <w:pStyle w:val="References"/>
      </w:pPr>
      <w:r>
        <w:t xml:space="preserve">Ribot, J. (2014). Cause and response: Vulnerability and climate in the Anthropocene. </w:t>
      </w:r>
      <w:r>
        <w:rPr>
          <w:i/>
        </w:rPr>
        <w:t xml:space="preserve">The Journal of Peasant Studies, 41</w:t>
      </w:r>
      <w:r>
        <w:t xml:space="preserve">(5), 667–705.</w:t>
      </w:r>
    </w:p>
    <w:p>
      <w:pPr>
        <w:pStyle w:val="References"/>
      </w:pPr>
      <w:r>
        <w:t xml:space="preserve">Sen, A. (1999). </w:t>
      </w:r>
      <w:r>
        <w:rPr>
          <w:i/>
        </w:rPr>
        <w:t xml:space="preserve">Development as freedom</w:t>
      </w:r>
      <w:r>
        <w:t xml:space="preserve">. Oxford University Press.</w:t>
      </w:r>
    </w:p>
    <w:p>
      <w:pPr>
        <w:pStyle w:val="References"/>
      </w:pPr>
      <w:r>
        <w:t xml:space="preserve">Sultana, F. (2014). Gendering climate change: Geographical insights. </w:t>
      </w:r>
      <w:r>
        <w:rPr>
          <w:i/>
        </w:rPr>
        <w:t xml:space="preserve">The Professional Geographer, 66</w:t>
      </w:r>
      <w:r>
        <w:t xml:space="preserve">(3), 372–381.</w:t>
      </w:r>
    </w:p>
    <w:p>
      <w:pPr>
        <w:pStyle w:val="References"/>
      </w:pPr>
      <w:r>
        <w:t xml:space="preserve">Sultana, F. (2022). Critical climate justice. </w:t>
      </w:r>
      <w:r>
        <w:rPr>
          <w:i/>
        </w:rPr>
        <w:t xml:space="preserve">The Geographical Journal, 188</w:t>
      </w:r>
      <w:r>
        <w:t xml:space="preserve">(1), 118–124.</w:t>
      </w:r>
    </w:p>
    <w:p>
      <w:pPr>
        <w:pStyle w:val="References"/>
      </w:pPr>
      <w:r>
        <w:t xml:space="preserve">Terry, G. (2009). No climate justice without gender justice: An overview of the issues. </w:t>
      </w:r>
      <w:r>
        <w:rPr>
          <w:i/>
        </w:rPr>
        <w:t xml:space="preserve">Gender &amp; Development, 17</w:t>
      </w:r>
      <w:r>
        <w:t xml:space="preserve">(1), 5–18.</w:t>
      </w:r>
    </w:p>
    <w:p>
      <w:pPr>
        <w:pStyle w:val="References"/>
      </w:pPr>
      <w:r>
        <w:t xml:space="preserve">Thompson-Hall, M., Carr, E. R., &amp; Pascual, U. (2016). Enhancing and expanding intersectional research for climate change adaptation in agrarian settings. </w:t>
      </w:r>
      <w:r>
        <w:rPr>
          <w:i/>
        </w:rPr>
        <w:t xml:space="preserve">Ambio, 45</w:t>
      </w:r>
      <w:r>
        <w:t xml:space="preserve">(S3), 373–382.</w:t>
      </w:r>
    </w:p>
    <w:p>
      <w:pPr>
        <w:pStyle w:val="References"/>
      </w:pPr>
      <w:r>
        <w:t xml:space="preserve">Tschakert, P., &amp; Machado, M. (2012). Gender justice and rights in climate change adaptation: Opportunities and pitfalls. </w:t>
      </w:r>
      <w:r>
        <w:rPr>
          <w:i/>
        </w:rPr>
        <w:t xml:space="preserve">Ethics and Social Welfare, 6</w:t>
      </w:r>
      <w:r>
        <w:t xml:space="preserve">(3), 275–289.</w:t>
      </w:r>
    </w:p>
    <w:p>
      <w:pPr>
        <w:pStyle w:val="References"/>
      </w:pPr>
      <w:r>
        <w:t xml:space="preserve">UN Women. (2022). </w:t>
      </w:r>
      <w:r>
        <w:rPr>
          <w:i/>
        </w:rPr>
        <w:t xml:space="preserve">Progress on the Sustainable Development Goals: The gender snapshot 2022</w:t>
      </w:r>
      <w:r>
        <w:t xml:space="preserve">. UN Women and United Nations Department of Economic and Social Affairs.</w:t>
      </w:r>
    </w:p>
    <w:p>
      <w:pPr>
        <w:pStyle w:val="References"/>
      </w:pPr>
      <w:r>
        <w:t xml:space="preserve">Whyte, K. P. (2017). Indigenous climate change studies: Indigenizing futures, decolonizing the Anthropocene. </w:t>
      </w:r>
      <w:r>
        <w:rPr>
          <w:i/>
        </w:rPr>
        <w:t xml:space="preserve">English Language Notes, 55</w:t>
      </w:r>
      <w:r>
        <w:t xml:space="preserve">(1–2), 153–162.</w:t>
      </w:r>
    </w:p>
    <w:p>
      <w:pPr>
        <w:pStyle w:val="References"/>
      </w:pPr>
      <w:r>
        <w:t xml:space="preserve">Wisner, B., Blaikie, P., Cannon, T., &amp; Davis, I. (2004). </w:t>
      </w:r>
      <w:r>
        <w:rPr>
          <w:i/>
        </w:rPr>
        <w:t xml:space="preserve">At risk: Natural hazards, people's vulnerability and disasters</w:t>
      </w:r>
      <w:r>
        <w:t xml:space="preserve"> (2nd ed.). Routledge.</w:t>
      </w:r>
    </w:p>
    <w:p>
      <w:pPr>
        <w:pStyle w:val="References"/>
      </w:pPr>
      <w:r>
        <w:t xml:space="preserve">World Bank. (2011). </w:t>
      </w:r>
      <w:r>
        <w:rPr>
          <w:i/>
        </w:rPr>
        <w:t xml:space="preserve">Gender and climate change: Three things you should know</w:t>
      </w:r>
      <w:r>
        <w:t xml:space="preserve">. The World Bank.</w:t>
      </w:r>
    </w:p>
    <w:sectPr>
      <w:pgSz w:w="12240" w:h="15840"/>
      <w:pgMar w:top="1440" w:right="1440" w:bottom="1440" w:left="1440" w:header="720" w:footer="720" w:gutter="0"/>
    </w:sectPr>
  </w:body>
</w:document>
</file>

<file path=word/numbering.xml><?xml version="1.0" encoding="utf-8"?>
<w:numbering xmlns:w="http://schemas.openxmlformats.org/wordprocessingml/2006/main"/>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120" w:line="360" w:lineRule="auto"/>
      </w:pPr>
    </w:pPrDefault>
  </w:docDefaults>
  <w:style w:type="paragraph" w:styleId="Normal" w:default="1">
    <w:name w:val="Normal"/>
    <w:pPr>
      <w:jc w:val="both"/>
    </w:pPr>
  </w:style>
  <w:style w:type="paragraph" w:styleId="Title">
    <w:name w:val="Title"/>
    <w:basedOn w:val="Normal"/>
    <w:pPr>
      <w:jc w:val="center"/>
      <w:spacing w:after="240"/>
    </w:pPr>
    <w:rPr>
      <w:b/>
      <w:sz w:val="32"/>
      <w:szCs w:val="32"/>
    </w:rPr>
  </w:style>
  <w:style w:type="paragraph" w:styleId="Heading1">
    <w:name w:val="heading 1"/>
    <w:basedOn w:val="Normal"/>
    <w:pPr>
      <w:spacing w:before="360" w:after="120"/>
      <w:jc w:val="left"/>
    </w:pPr>
    <w:rPr>
      <w:b/>
      <w:sz w:val="28"/>
      <w:szCs w:val="28"/>
    </w:rPr>
  </w:style>
  <w:style w:type="paragraph" w:styleId="Heading2">
    <w:name w:val="heading 2"/>
    <w:basedOn w:val="Normal"/>
    <w:pPr>
      <w:spacing w:before="240" w:after="120"/>
      <w:jc w:val="left"/>
    </w:pPr>
    <w:rPr>
      <w:b/>
      <w:sz w:val="26"/>
      <w:szCs w:val="26"/>
    </w:rPr>
  </w:style>
  <w:style w:type="paragraph" w:styleId="Heading3">
    <w:name w:val="heading 3"/>
    <w:basedOn w:val="Normal"/>
    <w:pPr>
      <w:spacing w:before="200" w:after="100"/>
      <w:jc w:val="left"/>
    </w:pPr>
    <w:rPr>
      <w:b/>
      <w:i/>
      <w:sz w:val="24"/>
      <w:szCs w:val="24"/>
    </w:rPr>
  </w:style>
  <w:style w:type="paragraph" w:styleId="Abstract">
    <w:name w:val="Abstract"/>
    <w:basedOn w:val="Normal"/>
    <w:pPr>
      <w:ind w:left="720" w:right="720"/>
    </w:pPr>
    <w:rPr>
      <w:i/>
    </w:rPr>
  </w:style>
  <w:style w:type="paragraph" w:styleId="References">
    <w:name w:val="References"/>
    <w:basedOn w:val="Normal"/>
    <w:pPr>
      <w:ind w:left="480" w:hanging="480"/>
      <w:spacing w:after="120"/>
    </w:pPr>
    <w:rPr>
      <w:sz w:val="22"/>
      <w:szCs w:val="22"/>
    </w:rPr>
  </w:style>
  <w:style w:type="paragraph" w:styleId="FigureCaption">
    <w:name w:val="Figure Caption"/>
    <w:basedOn w:val="Normal"/>
    <w:pPr>
      <w:jc w:val="center"/>
      <w:spacing w:before="120" w:after="240"/>
    </w:pPr>
    <w:rPr>
      <w:i/>
      <w:sz w:val="22"/>
      <w:szCs w:val="22"/>
    </w:rPr>
  </w:style>
  <w:style w:type="paragraph" w:styleId="FigureImage">
    <w:name w:val="Figure Image"/>
    <w:basedOn w:val="Normal"/>
    <w:pPr>
      <w:jc w:val="center"/>
      <w:spacing w:before="120" w:after="0"/>
    </w:pPr>
  </w:style>
  <w:style w:type="paragraph" w:styleId="TableCaption">
    <w:name w:val="Table Caption"/>
    <w:basedOn w:val="Normal"/>
    <w:pPr>
      <w:spacing w:before="180" w:after="60"/>
      <w:jc w:val="left"/>
    </w:pPr>
    <w:rPr>
      <w:b/>
      <w:sz w:val="22"/>
      <w:szCs w:val="22"/>
    </w:rPr>
  </w:style>
  <w:style w:type="table" w:styleId="TableGrid">
    <w:name w:val="Table Gri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Img1" Type="http://schemas.openxmlformats.org/officeDocument/2006/relationships/image" Target="media/Figure_1_Intersectional_Framework.png"/>
  <Relationship Id="rIdImg2" Type="http://schemas.openxmlformats.org/officeDocument/2006/relationships/image" Target="media/Figure_2_Vulnerability_Pathways.png"/>
  <Relationship Id="rIdImg3" Type="http://schemas.openxmlformats.org/officeDocument/2006/relationships/image" Target="media/Figure_3_Resilience_Ecosystem.png"/>
  <Relationship Id="rIdImg4" Type="http://schemas.openxmlformats.org/officeDocument/2006/relationships/image" Target="media/Figure_4_Action_Framework.png"/>
</Relationships>
</file>