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rPr>
          <w:b/>
        </w:rPr>
        <w:t xml:space="preserve">Phase Change and Thermal Energy Storage Materials</w:t>
      </w:r>
    </w:p>
    <w:p>
      <w:pPr>
        <w:jc w:val="center"/>
      </w:pPr>
      <w:r>
        <w:rPr>
          <w:i/>
          <w:sz w:val="22"/>
          <w:szCs w:val="22"/>
        </w:rPr>
        <w:t xml:space="preserve">Book: Emerging Materials and Technologies for Sustainable Development and Clean Energy</w:t>
      </w:r>
    </w:p>
    <w:p/>
    <w:p>
      <w:pPr>
        <w:pStyle w:val="Heading2"/>
      </w:pPr>
      <w:r>
        <w:rPr>
          <w:b/>
        </w:rPr>
        <w:t xml:space="preserve">Abstract</w:t>
      </w:r>
    </w:p>
    <w:p>
      <w:pPr/>
      <w:r>
        <w:rPr/>
        <w:t xml:space="preserve">Thermal energy storage (TES) technologies have emerged as a cornerstone in the global transition toward sustainable energy systems. Among TES approaches, phase change materials (PCMs) offer unparalleled advantages in storing and releasing thermal energy at nearly constant temperatures, providing high energy density per unit volume. This chapter provides a comprehensive overview of PCM science, engineering, and applications within the context of sustainable development and clean energy. Beginning with the fundamental principles of thermal energy storage and the classification of PCMs, the discussion progresses through the key challenges limiting PCM performance and the advanced strategies developed to overcome them, including thermal conductivity enhancement, encapsulation, and computational modeling. The chapter then examines critical applications spanning building energy management, renewable energy integration, battery thermal management, and industrial systems. Finally, a forward-looking analysis addresses life cycle assessment, emerging smart technologies, and the policy landscape necessary to accelerate PCM deployment in the global energy transition.</w:t>
      </w:r>
    </w:p>
    <w:p/>
    <w:p>
      <w:pPr/>
      <w:r>
        <w:rPr>
          <w:b/>
          <w:sz w:val="20"/>
          <w:szCs w:val="20"/>
        </w:rPr>
        <w:t xml:space="preserve">Keywords: Phase change materials, thermal energy storage, latent heat, sustainability, energy efficiency, encapsulation, renewable energy integration</w:t>
      </w:r>
    </w:p>
    <w:p/>
    <w:p>
      <w:pPr>
        <w:pStyle w:val="Heading1"/>
      </w:pPr>
      <w:r>
        <w:rPr>
          <w:b/>
        </w:rPr>
        <w:t xml:space="preserve">Section 1: Fundamentals of Thermal Energy Storage and Phase Change Materials</w:t>
      </w:r>
    </w:p>
    <w:p>
      <w:pPr>
        <w:pStyle w:val="Heading2"/>
      </w:pPr>
      <w:r>
        <w:rPr>
          <w:b/>
        </w:rPr>
        <w:t xml:space="preserve">1.1 The Role of Thermal Energy Storage in Sustainable Energy Systems</w:t>
      </w:r>
    </w:p>
    <w:p>
      <w:pPr/>
      <w:r>
        <w:rPr/>
        <w:t xml:space="preserve">The twenty-first century presents an unprecedented challenge in reconciling growing global energy demand with the imperative to decarbonize energy systems [6]. Renewable energy sources, particularly solar and wind power, have experienced remarkable growth over the past two decades, driven by dramatic cost reductions and supportive policy frameworks [7]. However, the inherent intermittency of these resources remains a fundamental obstacle to their widespread integration into energy grids [8]. Solar energy is available only during daylight hours and is subject to cloud cover, while wind energy fluctuates with atmospheric conditions. This temporal mismatch between energy supply and demand necessitates effective energy storage solutions capable of bridging the gap between generation and consumption [9].</w:t>
      </w:r>
    </w:p>
    <w:p>
      <w:pPr/>
      <w:r>
        <w:rPr/>
        <w:t xml:space="preserve">Thermal energy storage (TES) represents one of the most promising and cost-effective approaches to addressing this intermittency challenge [10]. Unlike electrochemical storage systems such as batteries, TES systems store energy in the form of heat or cold, which can subsequently be retrieved for heating, cooling, or power generation purposes [11]. The fundamental operating principle of any TES system involves three distinct phases: charging, during which thermal energy is absorbed and stored; storing, during which the energy is maintained with minimal losses over the required duration; and discharging, during which the stored energy is released to meet demand [12].</w:t>
      </w:r>
    </w:p>
    <w:p/>
    <w:p>
      <w:pPr>
        <w:jc w:val="center"/>
      </w:pPr>
      <w:r>
        <w:drawing>
          <wp:inline distT="0" distB="0" distL="0" distR="0">
            <wp:extent cx="5400000" cy="30375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r:embed="rId15"/>
                    <a:stretch>
                      <a:fillRect/>
                    </a:stretch>
                  </pic:blipFill>
                  <pic:spPr>
                    <a:xfrm>
                      <a:off x="0" y="0"/>
                      <a:ext cx="5400000" cy="3037500"/>
                    </a:xfrm>
                    <a:prstGeom prst="rect">
                      <a:avLst/>
                    </a:prstGeom>
                  </pic:spPr>
                </pic:pic>
              </a:graphicData>
            </a:graphic>
          </wp:inline>
        </w:drawing>
      </w:r>
    </w:p>
    <w:p>
      <w:pPr>
        <w:jc w:val="center"/>
      </w:pPr>
      <w:r>
        <w:rPr>
          <w:i/>
          <w:sz w:val="20"/>
          <w:szCs w:val="20"/>
        </w:rPr>
        <w:t xml:space="preserve">Figure 6: Schematic of Thermal Energy Storage System - Operating Principle</w:t>
      </w:r>
    </w:p>
    <w:p/>
    <w:p>
      <w:pPr/>
      <w:r>
        <w:rPr/>
        <w:t xml:space="preserve">TES technologies are broadly classified into three categories based on the mechanism of energy storage [13]. Sensible heat storage involves raising or lowering the temperature of a storage medium without any phase change occurring. Common sensible heat storage materials include water, rocks, concrete, and molten salts. The energy stored is proportional to the mass of the material, its specific heat capacity, and the temperature difference achieved [14]. While conceptually simple and widely deployed, sensible heat storage systems typically require large volumes of material and operate over broad temperature ranges, which can limit system efficiency.</w:t>
      </w:r>
    </w:p>
    <w:p>
      <w:pPr/>
      <w:r>
        <w:rPr/>
        <w:t xml:space="preserve">Latent heat storage, the primary focus of this chapter, exploits the energy absorbed or released during a phase transition, most commonly the solid-to-liquid transition [15]. Phase change materials (PCMs) can store significantly more energy per unit mass or volume compared to sensible heat storage materials, because the latent heat of fusion is typically much larger than the sensible heat stored over a practical temperature range [16]. Furthermore, the phase transition occurs at a nearly constant temperature, providing isothermal or near-isothermal operation that is highly advantageous for temperature-sensitive applications.</w:t>
      </w:r>
    </w:p>
    <w:p>
      <w:pPr/>
      <w:r>
        <w:rPr/>
        <w:t xml:space="preserve">Thermochemical storage represents the third category, utilizing reversible chemical reactions to store and release thermal energy [17]. While thermochemical systems offer the highest theoretical energy densities and can store energy indefinitely without thermal losses, they remain largely in the research and development stage due to challenges related to reaction kinetics, system complexity, and material degradation.</w:t>
      </w:r>
    </w:p>
    <w:p>
      <w:pPr>
        <w:jc w:val="center"/>
      </w:pPr>
      <w:r>
        <w:rPr>
          <w:b/>
          <w:sz w:val="20"/>
          <w:szCs w:val="20"/>
        </w:rPr>
        <w:t xml:space="preserve">Table 1: Comparison of Thermal Energy Storage Methods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1B3C78"/>
          </w:tcPr>
          <w:p>
            <w:pPr>
              <w:jc w:val="center"/>
            </w:pPr>
            <w:r>
              <w:rPr>
                <w:b/>
                <w:color w:val="FFFFFF"/>
                <w:sz w:val="18"/>
              </w:rPr>
              <w:t xml:space="preserve">Parameter</w:t>
            </w:r>
          </w:p>
        </w:tc>
        <w:tc>
          <w:tcPr>
            <w:shd w:val="clear" w:color="auto" w:fill="1B3C78"/>
          </w:tcPr>
          <w:p>
            <w:pPr>
              <w:jc w:val="center"/>
            </w:pPr>
            <w:r>
              <w:rPr>
                <w:b/>
                <w:color w:val="FFFFFF"/>
                <w:sz w:val="18"/>
              </w:rPr>
              <w:t xml:space="preserve">Sensible Heat Storage</w:t>
            </w:r>
          </w:p>
        </w:tc>
        <w:tc>
          <w:tcPr>
            <w:shd w:val="clear" w:color="auto" w:fill="1B3C78"/>
          </w:tcPr>
          <w:p>
            <w:pPr>
              <w:jc w:val="center"/>
            </w:pPr>
            <w:r>
              <w:rPr>
                <w:b/>
                <w:color w:val="FFFFFF"/>
                <w:sz w:val="18"/>
              </w:rPr>
              <w:t xml:space="preserve">Latent Heat Storage (PCM)</w:t>
            </w:r>
          </w:p>
        </w:tc>
        <w:tc>
          <w:tcPr>
            <w:shd w:val="clear" w:color="auto" w:fill="1B3C78"/>
          </w:tcPr>
          <w:p>
            <w:pPr>
              <w:jc w:val="center"/>
            </w:pPr>
            <w:r>
              <w:rPr>
                <w:b/>
                <w:color w:val="FFFFFF"/>
                <w:sz w:val="18"/>
              </w:rPr>
              <w:t xml:space="preserve">Thermochemical Storage</w:t>
            </w:r>
          </w:p>
        </w:tc>
      </w:tr>
      <w:tr>
        <w:tc>
          <w:p>
            <w:pPr>
              <w:jc w:val="left"/>
            </w:pPr>
            <w:r>
              <w:rPr>
                <w:sz w:val="18"/>
              </w:rPr>
              <w:t xml:space="preserve">Storage mechanism</w:t>
            </w:r>
          </w:p>
        </w:tc>
        <w:tc>
          <w:p>
            <w:pPr>
              <w:jc w:val="left"/>
            </w:pPr>
            <w:r>
              <w:rPr>
                <w:sz w:val="18"/>
              </w:rPr>
              <w:t xml:space="preserve">Temperature change</w:t>
            </w:r>
          </w:p>
        </w:tc>
        <w:tc>
          <w:p>
            <w:pPr>
              <w:jc w:val="left"/>
            </w:pPr>
            <w:r>
              <w:rPr>
                <w:sz w:val="18"/>
              </w:rPr>
              <w:t xml:space="preserve">Phase transition</w:t>
            </w:r>
          </w:p>
        </w:tc>
        <w:tc>
          <w:p>
            <w:pPr>
              <w:jc w:val="left"/>
            </w:pPr>
            <w:r>
              <w:rPr>
                <w:sz w:val="18"/>
              </w:rPr>
              <w:t xml:space="preserve">Reversible chemical reaction</w:t>
            </w:r>
          </w:p>
        </w:tc>
      </w:tr>
      <w:tr>
        <w:tc>
          <w:p>
            <w:pPr>
              <w:jc w:val="left"/>
            </w:pPr>
            <w:r>
              <w:rPr>
                <w:sz w:val="18"/>
              </w:rPr>
              <w:t xml:space="preserve">Energy density (kJ/m3)</w:t>
            </w:r>
          </w:p>
        </w:tc>
        <w:tc>
          <w:p>
            <w:pPr>
              <w:jc w:val="left"/>
            </w:pPr>
            <w:r>
              <w:rPr>
                <w:sz w:val="18"/>
              </w:rPr>
              <w:t xml:space="preserve">50-150</w:t>
            </w:r>
          </w:p>
        </w:tc>
        <w:tc>
          <w:p>
            <w:pPr>
              <w:jc w:val="left"/>
            </w:pPr>
            <w:r>
              <w:rPr>
                <w:sz w:val="18"/>
              </w:rPr>
              <w:t xml:space="preserve">150-400</w:t>
            </w:r>
          </w:p>
        </w:tc>
        <w:tc>
          <w:p>
            <w:pPr>
              <w:jc w:val="left"/>
            </w:pPr>
            <w:r>
              <w:rPr>
                <w:sz w:val="18"/>
              </w:rPr>
              <w:t xml:space="preserve">500-3000</w:t>
            </w:r>
          </w:p>
        </w:tc>
      </w:tr>
      <w:tr>
        <w:tc>
          <w:p>
            <w:pPr>
              <w:jc w:val="left"/>
            </w:pPr>
            <w:r>
              <w:rPr>
                <w:sz w:val="18"/>
              </w:rPr>
              <w:t xml:space="preserve">Temperature range</w:t>
            </w:r>
          </w:p>
        </w:tc>
        <w:tc>
          <w:p>
            <w:pPr>
              <w:jc w:val="left"/>
            </w:pPr>
            <w:r>
              <w:rPr>
                <w:sz w:val="18"/>
              </w:rPr>
              <w:t xml:space="preserve">Wide (DT dependent)</w:t>
            </w:r>
          </w:p>
        </w:tc>
        <w:tc>
          <w:p>
            <w:pPr>
              <w:jc w:val="left"/>
            </w:pPr>
            <w:r>
              <w:rPr>
                <w:sz w:val="18"/>
              </w:rPr>
              <w:t xml:space="preserve">Narrow (isothermal)</w:t>
            </w:r>
          </w:p>
        </w:tc>
        <w:tc>
          <w:p>
            <w:pPr>
              <w:jc w:val="left"/>
            </w:pPr>
            <w:r>
              <w:rPr>
                <w:sz w:val="18"/>
              </w:rPr>
              <w:t xml:space="preserve">Application-specific</w:t>
            </w:r>
          </w:p>
        </w:tc>
      </w:tr>
      <w:tr>
        <w:tc>
          <w:p>
            <w:pPr>
              <w:jc w:val="left"/>
            </w:pPr>
            <w:r>
              <w:rPr>
                <w:sz w:val="18"/>
              </w:rPr>
              <w:t xml:space="preserve">Storage duration</w:t>
            </w:r>
          </w:p>
        </w:tc>
        <w:tc>
          <w:p>
            <w:pPr>
              <w:jc w:val="left"/>
            </w:pPr>
            <w:r>
              <w:rPr>
                <w:sz w:val="18"/>
              </w:rPr>
              <w:t xml:space="preserve">Hours to days</w:t>
            </w:r>
          </w:p>
        </w:tc>
        <w:tc>
          <w:p>
            <w:pPr>
              <w:jc w:val="left"/>
            </w:pPr>
            <w:r>
              <w:rPr>
                <w:sz w:val="18"/>
              </w:rPr>
              <w:t xml:space="preserve">Hours to days</w:t>
            </w:r>
          </w:p>
        </w:tc>
        <w:tc>
          <w:p>
            <w:pPr>
              <w:jc w:val="left"/>
            </w:pPr>
            <w:r>
              <w:rPr>
                <w:sz w:val="18"/>
              </w:rPr>
              <w:t xml:space="preserve">Days to months</w:t>
            </w:r>
          </w:p>
        </w:tc>
      </w:tr>
      <w:tr>
        <w:tc>
          <w:p>
            <w:pPr>
              <w:jc w:val="left"/>
            </w:pPr>
            <w:r>
              <w:rPr>
                <w:sz w:val="18"/>
              </w:rPr>
              <w:t xml:space="preserve">Maturity level</w:t>
            </w:r>
          </w:p>
        </w:tc>
        <w:tc>
          <w:p>
            <w:pPr>
              <w:jc w:val="left"/>
            </w:pPr>
            <w:r>
              <w:rPr>
                <w:sz w:val="18"/>
              </w:rPr>
              <w:t xml:space="preserve">Commercial</w:t>
            </w:r>
          </w:p>
        </w:tc>
        <w:tc>
          <w:p>
            <w:pPr>
              <w:jc w:val="left"/>
            </w:pPr>
            <w:r>
              <w:rPr>
                <w:sz w:val="18"/>
              </w:rPr>
              <w:t xml:space="preserve">Commercial/Demo</w:t>
            </w:r>
          </w:p>
        </w:tc>
        <w:tc>
          <w:p>
            <w:pPr>
              <w:jc w:val="left"/>
            </w:pPr>
            <w:r>
              <w:rPr>
                <w:sz w:val="18"/>
              </w:rPr>
              <w:t xml:space="preserve">Research/Pilot</w:t>
            </w:r>
          </w:p>
        </w:tc>
      </w:tr>
      <w:tr>
        <w:tc>
          <w:p>
            <w:pPr>
              <w:jc w:val="left"/>
            </w:pPr>
            <w:r>
              <w:rPr>
                <w:sz w:val="18"/>
              </w:rPr>
              <w:t xml:space="preserve">Typical materials</w:t>
            </w:r>
          </w:p>
        </w:tc>
        <w:tc>
          <w:p>
            <w:pPr>
              <w:jc w:val="left"/>
            </w:pPr>
            <w:r>
              <w:rPr>
                <w:sz w:val="18"/>
              </w:rPr>
              <w:t xml:space="preserve">Water, rock, concrete</w:t>
            </w:r>
          </w:p>
        </w:tc>
        <w:tc>
          <w:p>
            <w:pPr>
              <w:jc w:val="left"/>
            </w:pPr>
            <w:r>
              <w:rPr>
                <w:sz w:val="18"/>
              </w:rPr>
              <w:t xml:space="preserve">Paraffins, salt hydrates</w:t>
            </w:r>
          </w:p>
        </w:tc>
        <w:tc>
          <w:p>
            <w:pPr>
              <w:jc w:val="left"/>
            </w:pPr>
            <w:r>
              <w:rPr>
                <w:sz w:val="18"/>
              </w:rPr>
              <w:t xml:space="preserve">Metal hydrides, zeolites</w:t>
            </w:r>
          </w:p>
        </w:tc>
      </w:tr>
      <w:tr>
        <w:tc>
          <w:p>
            <w:pPr>
              <w:jc w:val="left"/>
            </w:pPr>
            <w:r>
              <w:rPr>
                <w:sz w:val="18"/>
              </w:rPr>
              <w:t xml:space="preserve">Advantages</w:t>
            </w:r>
          </w:p>
        </w:tc>
        <w:tc>
          <w:p>
            <w:pPr>
              <w:jc w:val="left"/>
            </w:pPr>
            <w:r>
              <w:rPr>
                <w:sz w:val="18"/>
              </w:rPr>
              <w:t xml:space="preserve">Simple, low cost</w:t>
            </w:r>
          </w:p>
        </w:tc>
        <w:tc>
          <w:p>
            <w:pPr>
              <w:jc w:val="left"/>
            </w:pPr>
            <w:r>
              <w:rPr>
                <w:sz w:val="18"/>
              </w:rPr>
              <w:t xml:space="preserve">High density, isothermal</w:t>
            </w:r>
          </w:p>
        </w:tc>
        <w:tc>
          <w:p>
            <w:pPr>
              <w:jc w:val="left"/>
            </w:pPr>
            <w:r>
              <w:rPr>
                <w:sz w:val="18"/>
              </w:rPr>
              <w:t xml:space="preserve">Highest density, no losses</w:t>
            </w:r>
          </w:p>
        </w:tc>
      </w:tr>
      <w:tr>
        <w:tc>
          <w:p>
            <w:pPr>
              <w:jc w:val="left"/>
            </w:pPr>
            <w:r>
              <w:rPr>
                <w:sz w:val="18"/>
              </w:rPr>
              <w:t xml:space="preserve">Disadvantages</w:t>
            </w:r>
          </w:p>
        </w:tc>
        <w:tc>
          <w:p>
            <w:pPr>
              <w:jc w:val="left"/>
            </w:pPr>
            <w:r>
              <w:rPr>
                <w:sz w:val="18"/>
              </w:rPr>
              <w:t xml:space="preserve">Large volume, heat loss</w:t>
            </w:r>
          </w:p>
        </w:tc>
        <w:tc>
          <w:p>
            <w:pPr>
              <w:jc w:val="left"/>
            </w:pPr>
            <w:r>
              <w:rPr>
                <w:sz w:val="18"/>
              </w:rPr>
              <w:t xml:space="preserve">Low conductivity, leakage</w:t>
            </w:r>
          </w:p>
        </w:tc>
        <w:tc>
          <w:p>
            <w:pPr>
              <w:jc w:val="left"/>
            </w:pPr>
            <w:r>
              <w:rPr>
                <w:sz w:val="18"/>
              </w:rPr>
              <w:t xml:space="preserve">Complex, slow kinetics</w:t>
            </w:r>
          </w:p>
        </w:tc>
      </w:tr>
    </w:tbl>
    <w:p/>
    <w:p>
      <w:pPr/>
      <w:r>
        <w:rPr/>
        <w:t xml:space="preserve">TES systems can also be categorized as active or passive based on their operational characteristics [18]. Active TES systems employ forced convection mechanisms, such as pumps or fans, to circulate the storage medium or heat transfer fluid through the system. These systems offer greater control over charging and discharging rates but require external energy input and more complex infrastructure. Passive TES systems, by contrast, rely on natural heat transfer mechanisms such as conduction and natural convection [19]. In passive systems, the PCM is typically integrated directly into the application environment, such as within building walls or around heat-generating equipment, and absorbs or releases heat in response to ambient temperature fluctuations without any mechanical intervention.</w:t>
      </w:r>
    </w:p>
    <w:p>
      <w:pPr/>
      <w:r>
        <w:rPr/>
        <w:t xml:space="preserve">The strategic importance of TES in sustainable energy systems extends beyond simple energy storage. By enabling load shifting, peak shaving, and demand-side management, TES technologies can reduce the strain on electrical grids, decrease the need for peaking power plants (which are often fossil fuel-based), and improve the overall efficiency of energy systems [20]. In the context of heating and cooling, which accounts for approximately 50% of global final energy consumption, TES offers particular promise for reducing carbon emissions and enhancing energy security [21].</w:t>
      </w:r>
    </w:p>
    <w:p>
      <w:pPr>
        <w:pStyle w:val="Heading2"/>
      </w:pPr>
      <w:r>
        <w:rPr>
          <w:b/>
        </w:rPr>
        <w:t xml:space="preserve">1.2 Phase Change Materials: Fundamentals and Classification</w:t>
      </w:r>
    </w:p>
    <w:p>
      <w:pPr/>
      <w:r>
        <w:rPr/>
        <w:t xml:space="preserve">The science of phase change materials is rooted in the thermodynamic principles governing phase transitions [22]. When a substance undergoes a phase change from solid to liquid (melting), it absorbs a quantity of energy known as the latent heat of fusion at a characteristic temperature (the melting point) without any change in temperature until the transition is complete. Conversely, during solidification (freezing), the material releases this stored energy at the same characteristic temperature [23]. This isothermal energy absorption and release mechanism is what distinguishes latent heat storage from sensible heat storage and provides PCMs with their unique advantages.</w:t>
      </w:r>
    </w:p>
    <w:p/>
    <w:p>
      <w:pPr>
        <w:jc w:val="center"/>
      </w:pPr>
      <w:r>
        <w:drawing>
          <wp:inline distT="0" distB="0" distL="0" distR="0">
            <wp:extent cx="5400000" cy="33750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r:embed="rId12"/>
                    <a:stretch>
                      <a:fillRect/>
                    </a:stretch>
                  </pic:blipFill>
                  <pic:spPr>
                    <a:xfrm>
                      <a:off x="0" y="0"/>
                      <a:ext cx="5400000" cy="3375000"/>
                    </a:xfrm>
                    <a:prstGeom prst="rect">
                      <a:avLst/>
                    </a:prstGeom>
                  </pic:spPr>
                </pic:pic>
              </a:graphicData>
            </a:graphic>
          </wp:inline>
        </w:drawing>
      </w:r>
    </w:p>
    <w:p>
      <w:pPr>
        <w:jc w:val="center"/>
      </w:pPr>
      <w:r>
        <w:rPr>
          <w:i/>
          <w:sz w:val="20"/>
          <w:szCs w:val="20"/>
        </w:rPr>
        <w:t xml:space="preserve">Figure 3: Temperature Profile During PCM Charging and Discharging</w:t>
      </w:r>
    </w:p>
    <w:p/>
    <w:p>
      <w:pPr/>
      <w:r>
        <w:rPr/>
        <w:t xml:space="preserve">The phase transition process in a solid-liquid PCM can be understood at the molecular level. In the solid state, molecules are held in fixed positions within a crystalline or amorphous lattice by intermolecular forces. As heat is supplied, the molecular kinetic energy increases until it overcomes these binding forces, allowing molecules to move freely and form a liquid [24]. The energy required to break these intermolecular bonds constitutes the latent heat.</w:t>
      </w:r>
    </w:p>
    <w:p>
      <w:pPr/>
      <w:r>
        <w:rPr/>
        <w:t xml:space="preserve">PCMs are classified into three broad categories: organic, inorganic, and eutectic mixtures [25]. Each category encompasses a wide range of materials with distinct properties, advantages, and limitations. Figure 1 presents the complete classification hierarchy of PCMs.</w:t>
      </w:r>
    </w:p>
    <w:p/>
    <w:p>
      <w:pPr>
        <w:jc w:val="center"/>
      </w:pPr>
      <w:r>
        <w:drawing>
          <wp:inline distT="0" distB="0" distL="0" distR="0">
            <wp:extent cx="5400000" cy="33750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r:embed="rId10"/>
                    <a:stretch>
                      <a:fillRect/>
                    </a:stretch>
                  </pic:blipFill>
                  <pic:spPr>
                    <a:xfrm>
                      <a:off x="0" y="0"/>
                      <a:ext cx="5400000" cy="3375000"/>
                    </a:xfrm>
                    <a:prstGeom prst="rect">
                      <a:avLst/>
                    </a:prstGeom>
                  </pic:spPr>
                </pic:pic>
              </a:graphicData>
            </a:graphic>
          </wp:inline>
        </w:drawing>
      </w:r>
    </w:p>
    <w:p>
      <w:pPr>
        <w:jc w:val="center"/>
      </w:pPr>
      <w:r>
        <w:rPr>
          <w:i/>
          <w:sz w:val="20"/>
          <w:szCs w:val="20"/>
        </w:rPr>
        <w:t xml:space="preserve">Figure 1: Classification of Phase Change Materials (PCMs)</w:t>
      </w:r>
    </w:p>
    <w:p/>
    <w:p>
      <w:pPr/>
      <w:r>
        <w:rPr/>
        <w:t xml:space="preserve">Organic PCMs include paraffin waxes, fatty acids, esters, alcohols, and glycols [26]. Paraffin waxes (alkanes with the general formula CnH2n+2) are among the most widely studied and commercially available organic PCMs. They offer a broad range of melting temperatures (from approximately -5 degrees C to over 100 degrees C) that can be tuned by selecting paraffins with different chain lengths [27]. Key advantages of organic PCMs include excellent chemical stability, non-corrosiveness, self-nucleating behavior, congruent melting, and good compatibility with conventional encapsulation materials. However, organic PCMs suffer from relatively low thermal conductivity (typically 0.15-0.30 W/m.K), moderate latent heat values (150-250 kJ/kg for paraffins), flammability, and relatively high cost for pure compounds [28].</w:t>
      </w:r>
    </w:p>
    <w:p>
      <w:pPr/>
      <w:r>
        <w:rPr/>
        <w:t xml:space="preserve">Non-paraffin organic PCMs, including fatty acids (such as capric acid, lauric acid, palmitic acid, and stearic acid), offer sharper melting transitions and higher latent heat values compared to paraffin waxes but tend to be more expensive and mildly corrosive [29]. Polyethylene glycols (PEGs) represent another subclass of organic PCMs with tunable melting points and good biocompatibility [30].</w:t>
      </w:r>
    </w:p>
    <w:p>
      <w:pPr/>
      <w:r>
        <w:rPr/>
        <w:t xml:space="preserve">Inorganic PCMs primarily comprise salt hydrates and metallics [31]. Salt hydrates (general formula AB.nH2O) are crystalline salts that incorporate water molecules within their crystal structure [32]. Salt hydrates offer several compelling advantages: high volumetric latent heat storage capacity (typically 200-400 kJ/kg), relatively high thermal conductivity (0.5-1.0 W/m.K), low cost, non-flammability, and availability. However, they are plagued by significant challenges including incongruent melting, subcooling, and corrosiveness toward metals [33].</w:t>
      </w:r>
    </w:p>
    <w:p>
      <w:pPr/>
      <w:r>
        <w:rPr/>
        <w:t xml:space="preserve">Molten salts, such as mixtures of sodium nitrate and potassium nitrate, operate at much higher temperatures (200-600 degrees C) and are primarily used in concentrated solar power plants for high-temperature thermal storage [34].</w:t>
      </w:r>
    </w:p>
    <w:p>
      <w:pPr/>
      <w:r>
        <w:rPr/>
        <w:t xml:space="preserve">Eutectic PCMs are minimum-melting-point mixtures of two or more components [35]. The eutectic composition melts and freezes congruently at a single, sharp temperature, which is lower than the melting points of the individual components. The selection of an appropriate PCM for a given application requires careful consideration of multiple criteria [36].</w:t>
      </w:r>
    </w:p>
    <w:p>
      <w:pPr>
        <w:jc w:val="center"/>
      </w:pPr>
      <w:r>
        <w:rPr>
          <w:b/>
          <w:sz w:val="20"/>
          <w:szCs w:val="20"/>
        </w:rPr>
        <w:t xml:space="preserve">Table 2: Thermophysical Properties of Representative Phase Change Materials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5"/>
        <w:gridCol w:w="1125"/>
        <w:gridCol w:w="1125"/>
        <w:gridCol w:w="1125"/>
        <w:gridCol w:w="1125"/>
        <w:gridCol w:w="1125"/>
        <w:gridCol w:w="1125"/>
        <w:gridCol w:w="1125"/>
      </w:tblGrid>
      <w:tr>
        <w:tc>
          <w:tcPr>
            <w:shd w:val="clear" w:color="auto" w:fill="1B3C78"/>
          </w:tcPr>
          <w:p>
            <w:pPr>
              <w:jc w:val="center"/>
            </w:pPr>
            <w:r>
              <w:rPr>
                <w:b/>
                <w:color w:val="FFFFFF"/>
                <w:sz w:val="18"/>
              </w:rPr>
              <w:t xml:space="preserve">PCM Type</w:t>
            </w:r>
          </w:p>
        </w:tc>
        <w:tc>
          <w:tcPr>
            <w:shd w:val="clear" w:color="auto" w:fill="1B3C78"/>
          </w:tcPr>
          <w:p>
            <w:pPr>
              <w:jc w:val="center"/>
            </w:pPr>
            <w:r>
              <w:rPr>
                <w:b/>
                <w:color w:val="FFFFFF"/>
                <w:sz w:val="18"/>
              </w:rPr>
              <w:t xml:space="preserve">Example</w:t>
            </w:r>
          </w:p>
        </w:tc>
        <w:tc>
          <w:tcPr>
            <w:shd w:val="clear" w:color="auto" w:fill="1B3C78"/>
          </w:tcPr>
          <w:p>
            <w:pPr>
              <w:jc w:val="center"/>
            </w:pPr>
            <w:r>
              <w:rPr>
                <w:b/>
                <w:color w:val="FFFFFF"/>
                <w:sz w:val="18"/>
              </w:rPr>
              <w:t xml:space="preserve">Melting T (C)</w:t>
            </w:r>
          </w:p>
        </w:tc>
        <w:tc>
          <w:tcPr>
            <w:shd w:val="clear" w:color="auto" w:fill="1B3C78"/>
          </w:tcPr>
          <w:p>
            <w:pPr>
              <w:jc w:val="center"/>
            </w:pPr>
            <w:r>
              <w:rPr>
                <w:b/>
                <w:color w:val="FFFFFF"/>
                <w:sz w:val="18"/>
              </w:rPr>
              <w:t xml:space="preserve">Latent Heat (kJ/kg)</w:t>
            </w:r>
          </w:p>
        </w:tc>
        <w:tc>
          <w:tcPr>
            <w:shd w:val="clear" w:color="auto" w:fill="1B3C78"/>
          </w:tcPr>
          <w:p>
            <w:pPr>
              <w:jc w:val="center"/>
            </w:pPr>
            <w:r>
              <w:rPr>
                <w:b/>
                <w:color w:val="FFFFFF"/>
                <w:sz w:val="18"/>
              </w:rPr>
              <w:t xml:space="preserve">Thermal Cond. (W/m.K)</w:t>
            </w:r>
          </w:p>
        </w:tc>
        <w:tc>
          <w:tcPr>
            <w:shd w:val="clear" w:color="auto" w:fill="1B3C78"/>
          </w:tcPr>
          <w:p>
            <w:pPr>
              <w:jc w:val="center"/>
            </w:pPr>
            <w:r>
              <w:rPr>
                <w:b/>
                <w:color w:val="FFFFFF"/>
                <w:sz w:val="18"/>
              </w:rPr>
              <w:t xml:space="preserve">Density (kg/m3)</w:t>
            </w:r>
          </w:p>
        </w:tc>
        <w:tc>
          <w:tcPr>
            <w:shd w:val="clear" w:color="auto" w:fill="1B3C78"/>
          </w:tcPr>
          <w:p>
            <w:pPr>
              <w:jc w:val="center"/>
            </w:pPr>
            <w:r>
              <w:rPr>
                <w:b/>
                <w:color w:val="FFFFFF"/>
                <w:sz w:val="18"/>
              </w:rPr>
              <w:t xml:space="preserve">Key Advantage</w:t>
            </w:r>
          </w:p>
        </w:tc>
        <w:tc>
          <w:tcPr>
            <w:shd w:val="clear" w:color="auto" w:fill="1B3C78"/>
          </w:tcPr>
          <w:p>
            <w:pPr>
              <w:jc w:val="center"/>
            </w:pPr>
            <w:r>
              <w:rPr>
                <w:b/>
                <w:color w:val="FFFFFF"/>
                <w:sz w:val="18"/>
              </w:rPr>
              <w:t xml:space="preserve">Key Limitation</w:t>
            </w:r>
          </w:p>
        </w:tc>
      </w:tr>
      <w:tr>
        <w:tc>
          <w:p>
            <w:pPr>
              <w:jc w:val="left"/>
            </w:pPr>
            <w:r>
              <w:rPr>
                <w:sz w:val="18"/>
              </w:rPr>
              <w:t xml:space="preserve">Paraffin</w:t>
            </w:r>
          </w:p>
        </w:tc>
        <w:tc>
          <w:p>
            <w:pPr>
              <w:jc w:val="left"/>
            </w:pPr>
            <w:r>
              <w:rPr>
                <w:sz w:val="18"/>
              </w:rPr>
              <w:t xml:space="preserve">n-Octadecane</w:t>
            </w:r>
          </w:p>
        </w:tc>
        <w:tc>
          <w:p>
            <w:pPr>
              <w:jc w:val="left"/>
            </w:pPr>
            <w:r>
              <w:rPr>
                <w:sz w:val="18"/>
              </w:rPr>
              <w:t xml:space="preserve">28</w:t>
            </w:r>
          </w:p>
        </w:tc>
        <w:tc>
          <w:p>
            <w:pPr>
              <w:jc w:val="left"/>
            </w:pPr>
            <w:r>
              <w:rPr>
                <w:sz w:val="18"/>
              </w:rPr>
              <w:t xml:space="preserve">244</w:t>
            </w:r>
          </w:p>
        </w:tc>
        <w:tc>
          <w:p>
            <w:pPr>
              <w:jc w:val="left"/>
            </w:pPr>
            <w:r>
              <w:rPr>
                <w:sz w:val="18"/>
              </w:rPr>
              <w:t xml:space="preserve">0.15</w:t>
            </w:r>
          </w:p>
        </w:tc>
        <w:tc>
          <w:p>
            <w:pPr>
              <w:jc w:val="left"/>
            </w:pPr>
            <w:r>
              <w:rPr>
                <w:sz w:val="18"/>
              </w:rPr>
              <w:t xml:space="preserve">814</w:t>
            </w:r>
          </w:p>
        </w:tc>
        <w:tc>
          <w:p>
            <w:pPr>
              <w:jc w:val="left"/>
            </w:pPr>
            <w:r>
              <w:rPr>
                <w:sz w:val="18"/>
              </w:rPr>
              <w:t xml:space="preserve">Stable, no subcooling</w:t>
            </w:r>
          </w:p>
        </w:tc>
        <w:tc>
          <w:p>
            <w:pPr>
              <w:jc w:val="left"/>
            </w:pPr>
            <w:r>
              <w:rPr>
                <w:sz w:val="18"/>
              </w:rPr>
              <w:t xml:space="preserve">Low conductivity</w:t>
            </w:r>
          </w:p>
        </w:tc>
      </w:tr>
      <w:tr>
        <w:tc>
          <w:p>
            <w:pPr>
              <w:jc w:val="left"/>
            </w:pPr>
            <w:r>
              <w:rPr>
                <w:sz w:val="18"/>
              </w:rPr>
              <w:t xml:space="preserve">Paraffin</w:t>
            </w:r>
          </w:p>
        </w:tc>
        <w:tc>
          <w:p>
            <w:pPr>
              <w:jc w:val="left"/>
            </w:pPr>
            <w:r>
              <w:rPr>
                <w:sz w:val="18"/>
              </w:rPr>
              <w:t xml:space="preserve">RT-42</w:t>
            </w:r>
          </w:p>
        </w:tc>
        <w:tc>
          <w:p>
            <w:pPr>
              <w:jc w:val="left"/>
            </w:pPr>
            <w:r>
              <w:rPr>
                <w:sz w:val="18"/>
              </w:rPr>
              <w:t xml:space="preserve">42</w:t>
            </w:r>
          </w:p>
        </w:tc>
        <w:tc>
          <w:p>
            <w:pPr>
              <w:jc w:val="left"/>
            </w:pPr>
            <w:r>
              <w:rPr>
                <w:sz w:val="18"/>
              </w:rPr>
              <w:t xml:space="preserve">174</w:t>
            </w:r>
          </w:p>
        </w:tc>
        <w:tc>
          <w:p>
            <w:pPr>
              <w:jc w:val="left"/>
            </w:pPr>
            <w:r>
              <w:rPr>
                <w:sz w:val="18"/>
              </w:rPr>
              <w:t xml:space="preserve">0.20</w:t>
            </w:r>
          </w:p>
        </w:tc>
        <w:tc>
          <w:p>
            <w:pPr>
              <w:jc w:val="left"/>
            </w:pPr>
            <w:r>
              <w:rPr>
                <w:sz w:val="18"/>
              </w:rPr>
              <w:t xml:space="preserve">880</w:t>
            </w:r>
          </w:p>
        </w:tc>
        <w:tc>
          <w:p>
            <w:pPr>
              <w:jc w:val="left"/>
            </w:pPr>
            <w:r>
              <w:rPr>
                <w:sz w:val="18"/>
              </w:rPr>
              <w:t xml:space="preserve">Commercial availability</w:t>
            </w:r>
          </w:p>
        </w:tc>
        <w:tc>
          <w:p>
            <w:pPr>
              <w:jc w:val="left"/>
            </w:pPr>
            <w:r>
              <w:rPr>
                <w:sz w:val="18"/>
              </w:rPr>
              <w:t xml:space="preserve">Flammable</w:t>
            </w:r>
          </w:p>
        </w:tc>
      </w:tr>
      <w:tr>
        <w:tc>
          <w:p>
            <w:pPr>
              <w:jc w:val="left"/>
            </w:pPr>
            <w:r>
              <w:rPr>
                <w:sz w:val="18"/>
              </w:rPr>
              <w:t xml:space="preserve">Fatty acid</w:t>
            </w:r>
          </w:p>
        </w:tc>
        <w:tc>
          <w:p>
            <w:pPr>
              <w:jc w:val="left"/>
            </w:pPr>
            <w:r>
              <w:rPr>
                <w:sz w:val="18"/>
              </w:rPr>
              <w:t xml:space="preserve">Capric acid</w:t>
            </w:r>
          </w:p>
        </w:tc>
        <w:tc>
          <w:p>
            <w:pPr>
              <w:jc w:val="left"/>
            </w:pPr>
            <w:r>
              <w:rPr>
                <w:sz w:val="18"/>
              </w:rPr>
              <w:t xml:space="preserve">32</w:t>
            </w:r>
          </w:p>
        </w:tc>
        <w:tc>
          <w:p>
            <w:pPr>
              <w:jc w:val="left"/>
            </w:pPr>
            <w:r>
              <w:rPr>
                <w:sz w:val="18"/>
              </w:rPr>
              <w:t xml:space="preserve">153</w:t>
            </w:r>
          </w:p>
        </w:tc>
        <w:tc>
          <w:p>
            <w:pPr>
              <w:jc w:val="left"/>
            </w:pPr>
            <w:r>
              <w:rPr>
                <w:sz w:val="18"/>
              </w:rPr>
              <w:t xml:space="preserve">0.15</w:t>
            </w:r>
          </w:p>
        </w:tc>
        <w:tc>
          <w:p>
            <w:pPr>
              <w:jc w:val="left"/>
            </w:pPr>
            <w:r>
              <w:rPr>
                <w:sz w:val="18"/>
              </w:rPr>
              <w:t xml:space="preserve">886</w:t>
            </w:r>
          </w:p>
        </w:tc>
        <w:tc>
          <w:p>
            <w:pPr>
              <w:jc w:val="left"/>
            </w:pPr>
            <w:r>
              <w:rPr>
                <w:sz w:val="18"/>
              </w:rPr>
              <w:t xml:space="preserve">Sharp melting point</w:t>
            </w:r>
          </w:p>
        </w:tc>
        <w:tc>
          <w:p>
            <w:pPr>
              <w:jc w:val="left"/>
            </w:pPr>
            <w:r>
              <w:rPr>
                <w:sz w:val="18"/>
              </w:rPr>
              <w:t xml:space="preserve">Mildly corrosive</w:t>
            </w:r>
          </w:p>
        </w:tc>
      </w:tr>
      <w:tr>
        <w:tc>
          <w:p>
            <w:pPr>
              <w:jc w:val="left"/>
            </w:pPr>
            <w:r>
              <w:rPr>
                <w:sz w:val="18"/>
              </w:rPr>
              <w:t xml:space="preserve">Fatty acid</w:t>
            </w:r>
          </w:p>
        </w:tc>
        <w:tc>
          <w:p>
            <w:pPr>
              <w:jc w:val="left"/>
            </w:pPr>
            <w:r>
              <w:rPr>
                <w:sz w:val="18"/>
              </w:rPr>
              <w:t xml:space="preserve">Palmitic acid</w:t>
            </w:r>
          </w:p>
        </w:tc>
        <w:tc>
          <w:p>
            <w:pPr>
              <w:jc w:val="left"/>
            </w:pPr>
            <w:r>
              <w:rPr>
                <w:sz w:val="18"/>
              </w:rPr>
              <w:t xml:space="preserve">64</w:t>
            </w:r>
          </w:p>
        </w:tc>
        <w:tc>
          <w:p>
            <w:pPr>
              <w:jc w:val="left"/>
            </w:pPr>
            <w:r>
              <w:rPr>
                <w:sz w:val="18"/>
              </w:rPr>
              <w:t xml:space="preserve">185</w:t>
            </w:r>
          </w:p>
        </w:tc>
        <w:tc>
          <w:p>
            <w:pPr>
              <w:jc w:val="left"/>
            </w:pPr>
            <w:r>
              <w:rPr>
                <w:sz w:val="18"/>
              </w:rPr>
              <w:t xml:space="preserve">0.16</w:t>
            </w:r>
          </w:p>
        </w:tc>
        <w:tc>
          <w:p>
            <w:pPr>
              <w:jc w:val="left"/>
            </w:pPr>
            <w:r>
              <w:rPr>
                <w:sz w:val="18"/>
              </w:rPr>
              <w:t xml:space="preserve">850</w:t>
            </w:r>
          </w:p>
        </w:tc>
        <w:tc>
          <w:p>
            <w:pPr>
              <w:jc w:val="left"/>
            </w:pPr>
            <w:r>
              <w:rPr>
                <w:sz w:val="18"/>
              </w:rPr>
              <w:t xml:space="preserve">High latent heat</w:t>
            </w:r>
          </w:p>
        </w:tc>
        <w:tc>
          <w:p>
            <w:pPr>
              <w:jc w:val="left"/>
            </w:pPr>
            <w:r>
              <w:rPr>
                <w:sz w:val="18"/>
              </w:rPr>
              <w:t xml:space="preserve">Higher cost</w:t>
            </w:r>
          </w:p>
        </w:tc>
      </w:tr>
      <w:tr>
        <w:tc>
          <w:p>
            <w:pPr>
              <w:jc w:val="left"/>
            </w:pPr>
            <w:r>
              <w:rPr>
                <w:sz w:val="18"/>
              </w:rPr>
              <w:t xml:space="preserve">PEG</w:t>
            </w:r>
          </w:p>
        </w:tc>
        <w:tc>
          <w:p>
            <w:pPr>
              <w:jc w:val="left"/>
            </w:pPr>
            <w:r>
              <w:rPr>
                <w:sz w:val="18"/>
              </w:rPr>
              <w:t xml:space="preserve">PEG-6000</w:t>
            </w:r>
          </w:p>
        </w:tc>
        <w:tc>
          <w:p>
            <w:pPr>
              <w:jc w:val="left"/>
            </w:pPr>
            <w:r>
              <w:rPr>
                <w:sz w:val="18"/>
              </w:rPr>
              <w:t xml:space="preserve">66</w:t>
            </w:r>
          </w:p>
        </w:tc>
        <w:tc>
          <w:p>
            <w:pPr>
              <w:jc w:val="left"/>
            </w:pPr>
            <w:r>
              <w:rPr>
                <w:sz w:val="18"/>
              </w:rPr>
              <w:t xml:space="preserve">190</w:t>
            </w:r>
          </w:p>
        </w:tc>
        <w:tc>
          <w:p>
            <w:pPr>
              <w:jc w:val="left"/>
            </w:pPr>
            <w:r>
              <w:rPr>
                <w:sz w:val="18"/>
              </w:rPr>
              <w:t xml:space="preserve">0.19</w:t>
            </w:r>
          </w:p>
        </w:tc>
        <w:tc>
          <w:p>
            <w:pPr>
              <w:jc w:val="left"/>
            </w:pPr>
            <w:r>
              <w:rPr>
                <w:sz w:val="18"/>
              </w:rPr>
              <w:t xml:space="preserve">1085</w:t>
            </w:r>
          </w:p>
        </w:tc>
        <w:tc>
          <w:p>
            <w:pPr>
              <w:jc w:val="left"/>
            </w:pPr>
            <w:r>
              <w:rPr>
                <w:sz w:val="18"/>
              </w:rPr>
              <w:t xml:space="preserve">Biocompatible</w:t>
            </w:r>
          </w:p>
        </w:tc>
        <w:tc>
          <w:p>
            <w:pPr>
              <w:jc w:val="left"/>
            </w:pPr>
            <w:r>
              <w:rPr>
                <w:sz w:val="18"/>
              </w:rPr>
              <w:t xml:space="preserve">Hygroscopic</w:t>
            </w:r>
          </w:p>
        </w:tc>
      </w:tr>
      <w:tr>
        <w:tc>
          <w:p>
            <w:pPr>
              <w:jc w:val="left"/>
            </w:pPr>
            <w:r>
              <w:rPr>
                <w:sz w:val="18"/>
              </w:rPr>
              <w:t xml:space="preserve">Salt hydrate</w:t>
            </w:r>
          </w:p>
        </w:tc>
        <w:tc>
          <w:p>
            <w:pPr>
              <w:jc w:val="left"/>
            </w:pPr>
            <w:r>
              <w:rPr>
                <w:sz w:val="18"/>
              </w:rPr>
              <w:t xml:space="preserve">CaCl2.6H2O</w:t>
            </w:r>
          </w:p>
        </w:tc>
        <w:tc>
          <w:p>
            <w:pPr>
              <w:jc w:val="left"/>
            </w:pPr>
            <w:r>
              <w:rPr>
                <w:sz w:val="18"/>
              </w:rPr>
              <w:t xml:space="preserve">29</w:t>
            </w:r>
          </w:p>
        </w:tc>
        <w:tc>
          <w:p>
            <w:pPr>
              <w:jc w:val="left"/>
            </w:pPr>
            <w:r>
              <w:rPr>
                <w:sz w:val="18"/>
              </w:rPr>
              <w:t xml:space="preserve">190</w:t>
            </w:r>
          </w:p>
        </w:tc>
        <w:tc>
          <w:p>
            <w:pPr>
              <w:jc w:val="left"/>
            </w:pPr>
            <w:r>
              <w:rPr>
                <w:sz w:val="18"/>
              </w:rPr>
              <w:t xml:space="preserve">0.54</w:t>
            </w:r>
          </w:p>
        </w:tc>
        <w:tc>
          <w:p>
            <w:pPr>
              <w:jc w:val="left"/>
            </w:pPr>
            <w:r>
              <w:rPr>
                <w:sz w:val="18"/>
              </w:rPr>
              <w:t xml:space="preserve">1710</w:t>
            </w:r>
          </w:p>
        </w:tc>
        <w:tc>
          <w:p>
            <w:pPr>
              <w:jc w:val="left"/>
            </w:pPr>
            <w:r>
              <w:rPr>
                <w:sz w:val="18"/>
              </w:rPr>
              <w:t xml:space="preserve">Low cost, non-flammable</w:t>
            </w:r>
          </w:p>
        </w:tc>
        <w:tc>
          <w:p>
            <w:pPr>
              <w:jc w:val="left"/>
            </w:pPr>
            <w:r>
              <w:rPr>
                <w:sz w:val="18"/>
              </w:rPr>
              <w:t xml:space="preserve">Subcooling</w:t>
            </w:r>
          </w:p>
        </w:tc>
      </w:tr>
      <w:tr>
        <w:tc>
          <w:p>
            <w:pPr>
              <w:jc w:val="left"/>
            </w:pPr>
            <w:r>
              <w:rPr>
                <w:sz w:val="18"/>
              </w:rPr>
              <w:t xml:space="preserve">Salt hydrate</w:t>
            </w:r>
          </w:p>
        </w:tc>
        <w:tc>
          <w:p>
            <w:pPr>
              <w:jc w:val="left"/>
            </w:pPr>
            <w:r>
              <w:rPr>
                <w:sz w:val="18"/>
              </w:rPr>
              <w:t xml:space="preserve">Na2SO4.10H2O</w:t>
            </w:r>
          </w:p>
        </w:tc>
        <w:tc>
          <w:p>
            <w:pPr>
              <w:jc w:val="left"/>
            </w:pPr>
            <w:r>
              <w:rPr>
                <w:sz w:val="18"/>
              </w:rPr>
              <w:t xml:space="preserve">32</w:t>
            </w:r>
          </w:p>
        </w:tc>
        <w:tc>
          <w:p>
            <w:pPr>
              <w:jc w:val="left"/>
            </w:pPr>
            <w:r>
              <w:rPr>
                <w:sz w:val="18"/>
              </w:rPr>
              <w:t xml:space="preserve">254</w:t>
            </w:r>
          </w:p>
        </w:tc>
        <w:tc>
          <w:p>
            <w:pPr>
              <w:jc w:val="left"/>
            </w:pPr>
            <w:r>
              <w:rPr>
                <w:sz w:val="18"/>
              </w:rPr>
              <w:t xml:space="preserve">0.55</w:t>
            </w:r>
          </w:p>
        </w:tc>
        <w:tc>
          <w:p>
            <w:pPr>
              <w:jc w:val="left"/>
            </w:pPr>
            <w:r>
              <w:rPr>
                <w:sz w:val="18"/>
              </w:rPr>
              <w:t xml:space="preserve">1485</w:t>
            </w:r>
          </w:p>
        </w:tc>
        <w:tc>
          <w:p>
            <w:pPr>
              <w:jc w:val="left"/>
            </w:pPr>
            <w:r>
              <w:rPr>
                <w:sz w:val="18"/>
              </w:rPr>
              <w:t xml:space="preserve">High latent heat</w:t>
            </w:r>
          </w:p>
        </w:tc>
        <w:tc>
          <w:p>
            <w:pPr>
              <w:jc w:val="left"/>
            </w:pPr>
            <w:r>
              <w:rPr>
                <w:sz w:val="18"/>
              </w:rPr>
              <w:t xml:space="preserve">Incongruent melting</w:t>
            </w:r>
          </w:p>
        </w:tc>
      </w:tr>
      <w:tr>
        <w:tc>
          <w:p>
            <w:pPr>
              <w:jc w:val="left"/>
            </w:pPr>
            <w:r>
              <w:rPr>
                <w:sz w:val="18"/>
              </w:rPr>
              <w:t xml:space="preserve">Molten salt</w:t>
            </w:r>
          </w:p>
        </w:tc>
        <w:tc>
          <w:p>
            <w:pPr>
              <w:jc w:val="left"/>
            </w:pPr>
            <w:r>
              <w:rPr>
                <w:sz w:val="18"/>
              </w:rPr>
              <w:t xml:space="preserve">NaNO3</w:t>
            </w:r>
          </w:p>
        </w:tc>
        <w:tc>
          <w:p>
            <w:pPr>
              <w:jc w:val="left"/>
            </w:pPr>
            <w:r>
              <w:rPr>
                <w:sz w:val="18"/>
              </w:rPr>
              <w:t xml:space="preserve">306</w:t>
            </w:r>
          </w:p>
        </w:tc>
        <w:tc>
          <w:p>
            <w:pPr>
              <w:jc w:val="left"/>
            </w:pPr>
            <w:r>
              <w:rPr>
                <w:sz w:val="18"/>
              </w:rPr>
              <w:t xml:space="preserve">172</w:t>
            </w:r>
          </w:p>
        </w:tc>
        <w:tc>
          <w:p>
            <w:pPr>
              <w:jc w:val="left"/>
            </w:pPr>
            <w:r>
              <w:rPr>
                <w:sz w:val="18"/>
              </w:rPr>
              <w:t xml:space="preserve">0.50</w:t>
            </w:r>
          </w:p>
        </w:tc>
        <w:tc>
          <w:p>
            <w:pPr>
              <w:jc w:val="left"/>
            </w:pPr>
            <w:r>
              <w:rPr>
                <w:sz w:val="18"/>
              </w:rPr>
              <w:t xml:space="preserve">2260</w:t>
            </w:r>
          </w:p>
        </w:tc>
        <w:tc>
          <w:p>
            <w:pPr>
              <w:jc w:val="left"/>
            </w:pPr>
            <w:r>
              <w:rPr>
                <w:sz w:val="18"/>
              </w:rPr>
              <w:t xml:space="preserve">High-temp storage</w:t>
            </w:r>
          </w:p>
        </w:tc>
        <w:tc>
          <w:p>
            <w:pPr>
              <w:jc w:val="left"/>
            </w:pPr>
            <w:r>
              <w:rPr>
                <w:sz w:val="18"/>
              </w:rPr>
              <w:t xml:space="preserve">Corrosive at high T</w:t>
            </w:r>
          </w:p>
        </w:tc>
      </w:tr>
      <w:tr>
        <w:tc>
          <w:p>
            <w:pPr>
              <w:jc w:val="left"/>
            </w:pPr>
            <w:r>
              <w:rPr>
                <w:sz w:val="18"/>
              </w:rPr>
              <w:t xml:space="preserve">Eutectic</w:t>
            </w:r>
          </w:p>
        </w:tc>
        <w:tc>
          <w:p>
            <w:pPr>
              <w:jc w:val="left"/>
            </w:pPr>
            <w:r>
              <w:rPr>
                <w:sz w:val="18"/>
              </w:rPr>
              <w:t xml:space="preserve">Capric-Lauric</w:t>
            </w:r>
          </w:p>
        </w:tc>
        <w:tc>
          <w:p>
            <w:pPr>
              <w:jc w:val="left"/>
            </w:pPr>
            <w:r>
              <w:rPr>
                <w:sz w:val="18"/>
              </w:rPr>
              <w:t xml:space="preserve">21</w:t>
            </w:r>
          </w:p>
        </w:tc>
        <w:tc>
          <w:p>
            <w:pPr>
              <w:jc w:val="left"/>
            </w:pPr>
            <w:r>
              <w:rPr>
                <w:sz w:val="18"/>
              </w:rPr>
              <w:t xml:space="preserve">143</w:t>
            </w:r>
          </w:p>
        </w:tc>
        <w:tc>
          <w:p>
            <w:pPr>
              <w:jc w:val="left"/>
            </w:pPr>
            <w:r>
              <w:rPr>
                <w:sz w:val="18"/>
              </w:rPr>
              <w:t xml:space="preserve">0.14</w:t>
            </w:r>
          </w:p>
        </w:tc>
        <w:tc>
          <w:p>
            <w:pPr>
              <w:jc w:val="left"/>
            </w:pPr>
            <w:r>
              <w:rPr>
                <w:sz w:val="18"/>
              </w:rPr>
              <w:t xml:space="preserve">880</w:t>
            </w:r>
          </w:p>
        </w:tc>
        <w:tc>
          <w:p>
            <w:pPr>
              <w:jc w:val="left"/>
            </w:pPr>
            <w:r>
              <w:rPr>
                <w:sz w:val="18"/>
              </w:rPr>
              <w:t xml:space="preserve">Tailored melting T</w:t>
            </w:r>
          </w:p>
        </w:tc>
        <w:tc>
          <w:p>
            <w:pPr>
              <w:jc w:val="left"/>
            </w:pPr>
            <w:r>
              <w:rPr>
                <w:sz w:val="18"/>
              </w:rPr>
              <w:t xml:space="preserve">Limited cycle data</w:t>
            </w:r>
          </w:p>
        </w:tc>
      </w:tr>
      <w:tr>
        <w:tc>
          <w:p>
            <w:pPr>
              <w:jc w:val="left"/>
            </w:pPr>
            <w:r>
              <w:rPr>
                <w:sz w:val="18"/>
              </w:rPr>
              <w:t xml:space="preserve">Metallic</w:t>
            </w:r>
          </w:p>
        </w:tc>
        <w:tc>
          <w:p>
            <w:pPr>
              <w:jc w:val="left"/>
            </w:pPr>
            <w:r>
              <w:rPr>
                <w:sz w:val="18"/>
              </w:rPr>
              <w:t xml:space="preserve">Gallium</w:t>
            </w:r>
          </w:p>
        </w:tc>
        <w:tc>
          <w:p>
            <w:pPr>
              <w:jc w:val="left"/>
            </w:pPr>
            <w:r>
              <w:rPr>
                <w:sz w:val="18"/>
              </w:rPr>
              <w:t xml:space="preserve">30</w:t>
            </w:r>
          </w:p>
        </w:tc>
        <w:tc>
          <w:p>
            <w:pPr>
              <w:jc w:val="left"/>
            </w:pPr>
            <w:r>
              <w:rPr>
                <w:sz w:val="18"/>
              </w:rPr>
              <w:t xml:space="preserve">80</w:t>
            </w:r>
          </w:p>
        </w:tc>
        <w:tc>
          <w:p>
            <w:pPr>
              <w:jc w:val="left"/>
            </w:pPr>
            <w:r>
              <w:rPr>
                <w:sz w:val="18"/>
              </w:rPr>
              <w:t xml:space="preserve">29.4</w:t>
            </w:r>
          </w:p>
        </w:tc>
        <w:tc>
          <w:p>
            <w:pPr>
              <w:jc w:val="left"/>
            </w:pPr>
            <w:r>
              <w:rPr>
                <w:sz w:val="18"/>
              </w:rPr>
              <w:t xml:space="preserve">5907</w:t>
            </w:r>
          </w:p>
        </w:tc>
        <w:tc>
          <w:p>
            <w:pPr>
              <w:jc w:val="left"/>
            </w:pPr>
            <w:r>
              <w:rPr>
                <w:sz w:val="18"/>
              </w:rPr>
              <w:t xml:space="preserve">Very high conductivity</w:t>
            </w:r>
          </w:p>
        </w:tc>
        <w:tc>
          <w:p>
            <w:pPr>
              <w:jc w:val="left"/>
            </w:pPr>
            <w:r>
              <w:rPr>
                <w:sz w:val="18"/>
              </w:rPr>
              <w:t xml:space="preserve">Very expensive</w:t>
            </w:r>
          </w:p>
        </w:tc>
      </w:tr>
    </w:tbl>
    <w:p/>
    <w:p>
      <w:pPr>
        <w:pStyle w:val="Heading2"/>
      </w:pPr>
      <w:r>
        <w:rPr>
          <w:b/>
        </w:rPr>
        <w:t xml:space="preserve">1.3 Key Challenges and Performance Limitations of PCMs</w:t>
      </w:r>
    </w:p>
    <w:p>
      <w:pPr/>
      <w:r>
        <w:rPr/>
        <w:t xml:space="preserve">Despite their considerable promise, PCMs face several significant challenges that have historically limited their widespread adoption in commercial systems [37]. Understanding these limitations is essential for developing effective mitigation strategies, which are explored in subsequent sections.</w:t>
      </w:r>
    </w:p>
    <w:p>
      <w:pPr/>
      <w:r>
        <w:rPr/>
        <w:t xml:space="preserve">Low Thermal Conductivity represents the single most critical challenge facing PCM systems [38]. The vast majority of PCMs, particularly organic materials, exhibit thermal conductivities in the range of 0.1-0.5 W/m.K, which is one to three orders of magnitude lower than that of common metals [39]. This low thermal conductivity creates substantial thermal resistance between the heat source/sink and the PCM bulk, severely limiting the rate at which energy can be stored during charging and retrieved during discharging.</w:t>
      </w:r>
    </w:p>
    <w:p>
      <w:pPr/>
      <w:r>
        <w:rPr/>
        <w:t xml:space="preserve">Incongruent Melting is a phenomenon predominantly affecting salt hydrate PCMs [40]. When a salt hydrate melts incongruently, the anhydrous salt does not completely dissolve in the released water of crystallization at the melting temperature, resulting in progressive and irreversible degradation of the storage capacity with each thermal cycle [41].</w:t>
      </w:r>
    </w:p>
    <w:p>
      <w:pPr/>
      <w:r>
        <w:rPr/>
        <w:t xml:space="preserve">Subcooling (Supercooling) refers to the phenomenon where a PCM must be cooled significantly below its melting point before crystallization nucleation occurs and solidification commences [42]. The degree of subcooling can range from a few degrees to more than 20 degrees C in severe cases. Leakage during the liquid phase is an inherent challenge for solid-liquid PCMs [43]. Volume changes accompanying the solid-liquid transition (typically 5-15% expansion upon melting) exacerbate leakage issues by creating mechanical stress on containers.</w:t>
      </w:r>
    </w:p>
    <w:p>
      <w:pPr/>
      <w:r>
        <w:rPr/>
        <w:t xml:space="preserve">Poor Long-Term Cycling Stability encompasses the gradual degradation of PCM properties over repeated melting and solidification cycles [44]. The implications of these challenges for system performance are substantial [45]. Addressing these challenges through material engineering and system design is therefore essential for realizing the full potential of PCM-based thermal energy storage.</w:t>
      </w:r>
    </w:p>
    <w:p>
      <w:pPr>
        <w:jc w:val="center"/>
      </w:pPr>
      <w:r>
        <w:rPr>
          <w:b/>
          <w:sz w:val="20"/>
          <w:szCs w:val="20"/>
        </w:rPr>
        <w:t xml:space="preserve">Table 3: Key Challenges of PCMs and Their Impact on System Performance</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1B3C78"/>
          </w:tcPr>
          <w:p>
            <w:pPr>
              <w:jc w:val="center"/>
            </w:pPr>
            <w:r>
              <w:rPr>
                <w:b/>
                <w:color w:val="FFFFFF"/>
                <w:sz w:val="18"/>
              </w:rPr>
              <w:t xml:space="preserve">Challenge</w:t>
            </w:r>
          </w:p>
        </w:tc>
        <w:tc>
          <w:tcPr>
            <w:shd w:val="clear" w:color="auto" w:fill="1B3C78"/>
          </w:tcPr>
          <w:p>
            <w:pPr>
              <w:jc w:val="center"/>
            </w:pPr>
            <w:r>
              <w:rPr>
                <w:b/>
                <w:color w:val="FFFFFF"/>
                <w:sz w:val="18"/>
              </w:rPr>
              <w:t xml:space="preserve">Affected PCM Type</w:t>
            </w:r>
          </w:p>
        </w:tc>
        <w:tc>
          <w:tcPr>
            <w:shd w:val="clear" w:color="auto" w:fill="1B3C78"/>
          </w:tcPr>
          <w:p>
            <w:pPr>
              <w:jc w:val="center"/>
            </w:pPr>
            <w:r>
              <w:rPr>
                <w:b/>
                <w:color w:val="FFFFFF"/>
                <w:sz w:val="18"/>
              </w:rPr>
              <w:t xml:space="preserve">Severity</w:t>
            </w:r>
          </w:p>
        </w:tc>
        <w:tc>
          <w:tcPr>
            <w:shd w:val="clear" w:color="auto" w:fill="1B3C78"/>
          </w:tcPr>
          <w:p>
            <w:pPr>
              <w:jc w:val="center"/>
            </w:pPr>
            <w:r>
              <w:rPr>
                <w:b/>
                <w:color w:val="FFFFFF"/>
                <w:sz w:val="18"/>
              </w:rPr>
              <w:t xml:space="preserve">Impact on Performance</w:t>
            </w:r>
          </w:p>
        </w:tc>
        <w:tc>
          <w:tcPr>
            <w:shd w:val="clear" w:color="auto" w:fill="1B3C78"/>
          </w:tcPr>
          <w:p>
            <w:pPr>
              <w:jc w:val="center"/>
            </w:pPr>
            <w:r>
              <w:rPr>
                <w:b/>
                <w:color w:val="FFFFFF"/>
                <w:sz w:val="18"/>
              </w:rPr>
              <w:t xml:space="preserve">Mitigation Strategy</w:t>
            </w:r>
          </w:p>
        </w:tc>
      </w:tr>
      <w:tr>
        <w:tc>
          <w:p>
            <w:pPr>
              <w:jc w:val="left"/>
            </w:pPr>
            <w:r>
              <w:rPr>
                <w:sz w:val="18"/>
              </w:rPr>
              <w:t xml:space="preserve">Low thermal conductivity</w:t>
            </w:r>
          </w:p>
        </w:tc>
        <w:tc>
          <w:p>
            <w:pPr>
              <w:jc w:val="left"/>
            </w:pPr>
            <w:r>
              <w:rPr>
                <w:sz w:val="18"/>
              </w:rPr>
              <w:t xml:space="preserve">All (especially organic)</w:t>
            </w:r>
          </w:p>
        </w:tc>
        <w:tc>
          <w:p>
            <w:pPr>
              <w:jc w:val="left"/>
            </w:pPr>
            <w:r>
              <w:rPr>
                <w:sz w:val="18"/>
              </w:rPr>
              <w:t xml:space="preserve">Critical</w:t>
            </w:r>
          </w:p>
        </w:tc>
        <w:tc>
          <w:p>
            <w:pPr>
              <w:jc w:val="left"/>
            </w:pPr>
            <w:r>
              <w:rPr>
                <w:sz w:val="18"/>
              </w:rPr>
              <w:t xml:space="preserve">Slow charge/discharge rates</w:t>
            </w:r>
          </w:p>
        </w:tc>
        <w:tc>
          <w:p>
            <w:pPr>
              <w:jc w:val="left"/>
            </w:pPr>
            <w:r>
              <w:rPr>
                <w:sz w:val="18"/>
              </w:rPr>
              <w:t xml:space="preserve">Metal foams, nanoparticles, fins</w:t>
            </w:r>
          </w:p>
        </w:tc>
      </w:tr>
      <w:tr>
        <w:tc>
          <w:p>
            <w:pPr>
              <w:jc w:val="left"/>
            </w:pPr>
            <w:r>
              <w:rPr>
                <w:sz w:val="18"/>
              </w:rPr>
              <w:t xml:space="preserve">Incongruent melting</w:t>
            </w:r>
          </w:p>
        </w:tc>
        <w:tc>
          <w:p>
            <w:pPr>
              <w:jc w:val="left"/>
            </w:pPr>
            <w:r>
              <w:rPr>
                <w:sz w:val="18"/>
              </w:rPr>
              <w:t xml:space="preserve">Salt hydrates</w:t>
            </w:r>
          </w:p>
        </w:tc>
        <w:tc>
          <w:p>
            <w:pPr>
              <w:jc w:val="left"/>
            </w:pPr>
            <w:r>
              <w:rPr>
                <w:sz w:val="18"/>
              </w:rPr>
              <w:t xml:space="preserve">High</w:t>
            </w:r>
          </w:p>
        </w:tc>
        <w:tc>
          <w:p>
            <w:pPr>
              <w:jc w:val="left"/>
            </w:pPr>
            <w:r>
              <w:rPr>
                <w:sz w:val="18"/>
              </w:rPr>
              <w:t xml:space="preserve">Capacity loss (20-50%)</w:t>
            </w:r>
          </w:p>
        </w:tc>
        <w:tc>
          <w:p>
            <w:pPr>
              <w:jc w:val="left"/>
            </w:pPr>
            <w:r>
              <w:rPr>
                <w:sz w:val="18"/>
              </w:rPr>
              <w:t xml:space="preserve">Thickening agents, stirring</w:t>
            </w:r>
          </w:p>
        </w:tc>
      </w:tr>
      <w:tr>
        <w:tc>
          <w:p>
            <w:pPr>
              <w:jc w:val="left"/>
            </w:pPr>
            <w:r>
              <w:rPr>
                <w:sz w:val="18"/>
              </w:rPr>
              <w:t xml:space="preserve">Subcooling</w:t>
            </w:r>
          </w:p>
        </w:tc>
        <w:tc>
          <w:p>
            <w:pPr>
              <w:jc w:val="left"/>
            </w:pPr>
            <w:r>
              <w:rPr>
                <w:sz w:val="18"/>
              </w:rPr>
              <w:t xml:space="preserve">Salt hydrates, some organic</w:t>
            </w:r>
          </w:p>
        </w:tc>
        <w:tc>
          <w:p>
            <w:pPr>
              <w:jc w:val="left"/>
            </w:pPr>
            <w:r>
              <w:rPr>
                <w:sz w:val="18"/>
              </w:rPr>
              <w:t xml:space="preserve">Moderate-High</w:t>
            </w:r>
          </w:p>
        </w:tc>
        <w:tc>
          <w:p>
            <w:pPr>
              <w:jc w:val="left"/>
            </w:pPr>
            <w:r>
              <w:rPr>
                <w:sz w:val="18"/>
              </w:rPr>
              <w:t xml:space="preserve">Delayed heat release</w:t>
            </w:r>
          </w:p>
        </w:tc>
        <w:tc>
          <w:p>
            <w:pPr>
              <w:jc w:val="left"/>
            </w:pPr>
            <w:r>
              <w:rPr>
                <w:sz w:val="18"/>
              </w:rPr>
              <w:t xml:space="preserve">Nucleating agents, cold finger</w:t>
            </w:r>
          </w:p>
        </w:tc>
      </w:tr>
      <w:tr>
        <w:tc>
          <w:p>
            <w:pPr>
              <w:jc w:val="left"/>
            </w:pPr>
            <w:r>
              <w:rPr>
                <w:sz w:val="18"/>
              </w:rPr>
              <w:t xml:space="preserve">Leakage</w:t>
            </w:r>
          </w:p>
        </w:tc>
        <w:tc>
          <w:p>
            <w:pPr>
              <w:jc w:val="left"/>
            </w:pPr>
            <w:r>
              <w:rPr>
                <w:sz w:val="18"/>
              </w:rPr>
              <w:t xml:space="preserve">All solid-liquid</w:t>
            </w:r>
          </w:p>
        </w:tc>
        <w:tc>
          <w:p>
            <w:pPr>
              <w:jc w:val="left"/>
            </w:pPr>
            <w:r>
              <w:rPr>
                <w:sz w:val="18"/>
              </w:rPr>
              <w:t xml:space="preserve">Moderate</w:t>
            </w:r>
          </w:p>
        </w:tc>
        <w:tc>
          <w:p>
            <w:pPr>
              <w:jc w:val="left"/>
            </w:pPr>
            <w:r>
              <w:rPr>
                <w:sz w:val="18"/>
              </w:rPr>
              <w:t xml:space="preserve">Material loss, contamination</w:t>
            </w:r>
          </w:p>
        </w:tc>
        <w:tc>
          <w:p>
            <w:pPr>
              <w:jc w:val="left"/>
            </w:pPr>
            <w:r>
              <w:rPr>
                <w:sz w:val="18"/>
              </w:rPr>
              <w:t xml:space="preserve">Encapsulation, shape stabilization</w:t>
            </w:r>
          </w:p>
        </w:tc>
      </w:tr>
      <w:tr>
        <w:tc>
          <w:p>
            <w:pPr>
              <w:jc w:val="left"/>
            </w:pPr>
            <w:r>
              <w:rPr>
                <w:sz w:val="18"/>
              </w:rPr>
              <w:t xml:space="preserve">Volume change</w:t>
            </w:r>
          </w:p>
        </w:tc>
        <w:tc>
          <w:p>
            <w:pPr>
              <w:jc w:val="left"/>
            </w:pPr>
            <w:r>
              <w:rPr>
                <w:sz w:val="18"/>
              </w:rPr>
              <w:t xml:space="preserve">All</w:t>
            </w:r>
          </w:p>
        </w:tc>
        <w:tc>
          <w:p>
            <w:pPr>
              <w:jc w:val="left"/>
            </w:pPr>
            <w:r>
              <w:rPr>
                <w:sz w:val="18"/>
              </w:rPr>
              <w:t xml:space="preserve">Moderate</w:t>
            </w:r>
          </w:p>
        </w:tc>
        <w:tc>
          <w:p>
            <w:pPr>
              <w:jc w:val="left"/>
            </w:pPr>
            <w:r>
              <w:rPr>
                <w:sz w:val="18"/>
              </w:rPr>
              <w:t xml:space="preserve">Container stress, seal failure</w:t>
            </w:r>
          </w:p>
        </w:tc>
        <w:tc>
          <w:p>
            <w:pPr>
              <w:jc w:val="left"/>
            </w:pPr>
            <w:r>
              <w:rPr>
                <w:sz w:val="18"/>
              </w:rPr>
              <w:t xml:space="preserve">Void space design, flexible containers</w:t>
            </w:r>
          </w:p>
        </w:tc>
      </w:tr>
      <w:tr>
        <w:tc>
          <w:p>
            <w:pPr>
              <w:jc w:val="left"/>
            </w:pPr>
            <w:r>
              <w:rPr>
                <w:sz w:val="18"/>
              </w:rPr>
              <w:t xml:space="preserve">Cycling degradation</w:t>
            </w:r>
          </w:p>
        </w:tc>
        <w:tc>
          <w:p>
            <w:pPr>
              <w:jc w:val="left"/>
            </w:pPr>
            <w:r>
              <w:rPr>
                <w:sz w:val="18"/>
              </w:rPr>
              <w:t xml:space="preserve">All</w:t>
            </w:r>
          </w:p>
        </w:tc>
        <w:tc>
          <w:p>
            <w:pPr>
              <w:jc w:val="left"/>
            </w:pPr>
            <w:r>
              <w:rPr>
                <w:sz w:val="18"/>
              </w:rPr>
              <w:t xml:space="preserve">High (long-term)</w:t>
            </w:r>
          </w:p>
        </w:tc>
        <w:tc>
          <w:p>
            <w:pPr>
              <w:jc w:val="left"/>
            </w:pPr>
            <w:r>
              <w:rPr>
                <w:sz w:val="18"/>
              </w:rPr>
              <w:t xml:space="preserve">Reduced lifetime</w:t>
            </w:r>
          </w:p>
        </w:tc>
        <w:tc>
          <w:p>
            <w:pPr>
              <w:jc w:val="left"/>
            </w:pPr>
            <w:r>
              <w:rPr>
                <w:sz w:val="18"/>
              </w:rPr>
              <w:t xml:space="preserve">Material purification, encapsulation</w:t>
            </w:r>
          </w:p>
        </w:tc>
      </w:tr>
      <w:tr>
        <w:tc>
          <w:p>
            <w:pPr>
              <w:jc w:val="left"/>
            </w:pPr>
            <w:r>
              <w:rPr>
                <w:sz w:val="18"/>
              </w:rPr>
              <w:t xml:space="preserve">Flammability</w:t>
            </w:r>
          </w:p>
        </w:tc>
        <w:tc>
          <w:p>
            <w:pPr>
              <w:jc w:val="left"/>
            </w:pPr>
            <w:r>
              <w:rPr>
                <w:sz w:val="18"/>
              </w:rPr>
              <w:t xml:space="preserve">Organic PCMs</w:t>
            </w:r>
          </w:p>
        </w:tc>
        <w:tc>
          <w:p>
            <w:pPr>
              <w:jc w:val="left"/>
            </w:pPr>
            <w:r>
              <w:rPr>
                <w:sz w:val="18"/>
              </w:rPr>
              <w:t xml:space="preserve">Moderate</w:t>
            </w:r>
          </w:p>
        </w:tc>
        <w:tc>
          <w:p>
            <w:pPr>
              <w:jc w:val="left"/>
            </w:pPr>
            <w:r>
              <w:rPr>
                <w:sz w:val="18"/>
              </w:rPr>
              <w:t xml:space="preserve">Safety hazard</w:t>
            </w:r>
          </w:p>
        </w:tc>
        <w:tc>
          <w:p>
            <w:pPr>
              <w:jc w:val="left"/>
            </w:pPr>
            <w:r>
              <w:rPr>
                <w:sz w:val="18"/>
              </w:rPr>
              <w:t xml:space="preserve">Fire retardants, inorganic shells</w:t>
            </w:r>
          </w:p>
        </w:tc>
      </w:tr>
      <w:tr>
        <w:tc>
          <w:p>
            <w:pPr>
              <w:jc w:val="left"/>
            </w:pPr>
            <w:r>
              <w:rPr>
                <w:sz w:val="18"/>
              </w:rPr>
              <w:t xml:space="preserve">Corrosion</w:t>
            </w:r>
          </w:p>
        </w:tc>
        <w:tc>
          <w:p>
            <w:pPr>
              <w:jc w:val="left"/>
            </w:pPr>
            <w:r>
              <w:rPr>
                <w:sz w:val="18"/>
              </w:rPr>
              <w:t xml:space="preserve">Salt hydrates</w:t>
            </w:r>
          </w:p>
        </w:tc>
        <w:tc>
          <w:p>
            <w:pPr>
              <w:jc w:val="left"/>
            </w:pPr>
            <w:r>
              <w:rPr>
                <w:sz w:val="18"/>
              </w:rPr>
              <w:t xml:space="preserve">Moderate</w:t>
            </w:r>
          </w:p>
        </w:tc>
        <w:tc>
          <w:p>
            <w:pPr>
              <w:jc w:val="left"/>
            </w:pPr>
            <w:r>
              <w:rPr>
                <w:sz w:val="18"/>
              </w:rPr>
              <w:t xml:space="preserve">Container degradation</w:t>
            </w:r>
          </w:p>
        </w:tc>
        <w:tc>
          <w:p>
            <w:pPr>
              <w:jc w:val="left"/>
            </w:pPr>
            <w:r>
              <w:rPr>
                <w:sz w:val="18"/>
              </w:rPr>
              <w:t xml:space="preserve">Compatible materials, coatings</w:t>
            </w:r>
          </w:p>
        </w:tc>
      </w:tr>
    </w:tbl>
    <w:p/>
    <w:p>
      <w:pPr>
        <w:pStyle w:val="Heading1"/>
      </w:pPr>
      <w:r>
        <w:rPr>
          <w:b/>
        </w:rPr>
        <w:t xml:space="preserve">Section 2: Enhancing PCM Performance for Advanced Applications</w:t>
      </w:r>
    </w:p>
    <w:p>
      <w:pPr>
        <w:pStyle w:val="Heading2"/>
      </w:pPr>
      <w:r>
        <w:rPr>
          <w:b/>
        </w:rPr>
        <w:t xml:space="preserve">2.1 Thermal Conductivity Enhancement Techniques</w:t>
      </w:r>
    </w:p>
    <w:p>
      <w:pPr/>
      <w:r>
        <w:rPr/>
        <w:t xml:space="preserve">The low intrinsic thermal conductivity of most PCMs constitutes the primary bottleneck limiting the practical performance of latent heat storage systems [46]. Consequently, extensive research over the past three decades has focused on developing strategies to enhance the effective thermal conductivity of PCM composites without significantly compromising their latent heat storage capacity [47].</w:t>
      </w:r>
    </w:p>
    <w:p>
      <w:pPr/>
      <w:r>
        <w:rPr/>
        <w:t xml:space="preserve">Metallic Foams and Porous Matrices represent one of the most effective approaches for thermal conductivity enhancement [48]. Open-cell metal foams, typically fabricated from aluminum or copper with porosities ranging from 85% to 97%, provide a continuous, highly conductive network throughout the PCM volume. Studies have demonstrated that incorporating aluminum foam with 95% porosity can increase the effective thermal conductivity of paraffin-based systems by a factor of 20-40, reducing melting times by 50-80% compared to pure PCM systems [49].</w:t>
      </w:r>
    </w:p>
    <w:p>
      <w:pPr/>
      <w:r>
        <w:rPr/>
        <w:t xml:space="preserve">Nanoparticle Additives offer another strategy for enhancing PCM thermal conductivity [50]. High-conductivity nanoparticles are dispersed within the PCM to create nano-enhanced PCMs (NePCMs). The nanoparticles can increase the effective thermal conductivity by 10-100%, depending on particle type, size, concentration, and dispersion quality [51]. Typical nanoparticle loading fractions range from 1% to 10% by weight [52].</w:t>
      </w:r>
    </w:p>
    <w:p>
      <w:pPr/>
      <w:r>
        <w:rPr/>
        <w:t xml:space="preserve">Carbon-Based Materials have emerged as particularly promising thermal conductivity enhancers [53]. Expanded graphite composites can achieve effective thermal conductivities of 5-50 W/m.K while retaining 80-90% of the original PCM latent heat capacity [54]. Carbon nanotubes (CNTs) and graphene nanoplatelets offer similar benefits [55].</w:t>
      </w:r>
    </w:p>
    <w:p>
      <w:pPr/>
      <w:r>
        <w:rPr/>
        <w:t xml:space="preserve">Finned Heat Exchanger Surfaces represent a system-level approach to addressing the thermal conductivity limitation [56]. Advanced fin designs inspired by fractal geometry or topology optimization algorithms can achieve superior heat transfer enhancement [57]. In practice, hybrid approaches combining multiple enhancement techniques can achieve synergistic performance improvements [58].</w:t>
      </w:r>
    </w:p>
    <w:p/>
    <w:p>
      <w:pPr>
        <w:jc w:val="center"/>
      </w:pPr>
      <w:r>
        <w:drawing>
          <wp:inline distT="0" distB="0" distL="0" distR="0">
            <wp:extent cx="5400000" cy="33750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r:embed="rId11"/>
                    <a:stretch>
                      <a:fillRect/>
                    </a:stretch>
                  </pic:blipFill>
                  <pic:spPr>
                    <a:xfrm>
                      <a:off x="0" y="0"/>
                      <a:ext cx="5400000" cy="3375000"/>
                    </a:xfrm>
                    <a:prstGeom prst="rect">
                      <a:avLst/>
                    </a:prstGeom>
                  </pic:spPr>
                </pic:pic>
              </a:graphicData>
            </a:graphic>
          </wp:inline>
        </w:drawing>
      </w:r>
    </w:p>
    <w:p>
      <w:pPr>
        <w:jc w:val="center"/>
      </w:pPr>
      <w:r>
        <w:rPr>
          <w:i/>
          <w:sz w:val="20"/>
          <w:szCs w:val="20"/>
        </w:rPr>
        <w:t xml:space="preserve">Figure 2: Thermal Conductivity Enhancement of PCMs - Comparison of Techniques</w:t>
      </w:r>
    </w:p>
    <w:p/>
    <w:p>
      <w:pPr>
        <w:jc w:val="center"/>
      </w:pPr>
      <w:r>
        <w:rPr>
          <w:b/>
          <w:sz w:val="20"/>
          <w:szCs w:val="20"/>
        </w:rPr>
        <w:t xml:space="preserve">Table 4: Thermal Conductivity Enhancement Techniques for PCMs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shd w:val="clear" w:color="auto" w:fill="1B3C78"/>
          </w:tcPr>
          <w:p>
            <w:pPr>
              <w:jc w:val="center"/>
            </w:pPr>
            <w:r>
              <w:rPr>
                <w:b/>
                <w:color w:val="FFFFFF"/>
                <w:sz w:val="18"/>
              </w:rPr>
              <w:t xml:space="preserve">Enhancement Method</w:t>
            </w:r>
          </w:p>
        </w:tc>
        <w:tc>
          <w:tcPr>
            <w:shd w:val="clear" w:color="auto" w:fill="1B3C78"/>
          </w:tcPr>
          <w:p>
            <w:pPr>
              <w:jc w:val="center"/>
            </w:pPr>
            <w:r>
              <w:rPr>
                <w:b/>
                <w:color w:val="FFFFFF"/>
                <w:sz w:val="18"/>
              </w:rPr>
              <w:t xml:space="preserve">Additive/Structure</w:t>
            </w:r>
          </w:p>
        </w:tc>
        <w:tc>
          <w:tcPr>
            <w:shd w:val="clear" w:color="auto" w:fill="1B3C78"/>
          </w:tcPr>
          <w:p>
            <w:pPr>
              <w:jc w:val="center"/>
            </w:pPr>
            <w:r>
              <w:rPr>
                <w:b/>
                <w:color w:val="FFFFFF"/>
                <w:sz w:val="18"/>
              </w:rPr>
              <w:t xml:space="preserve">Conductivity (W/m.K)</w:t>
            </w:r>
          </w:p>
        </w:tc>
        <w:tc>
          <w:tcPr>
            <w:shd w:val="clear" w:color="auto" w:fill="1B3C78"/>
          </w:tcPr>
          <w:p>
            <w:pPr>
              <w:jc w:val="center"/>
            </w:pPr>
            <w:r>
              <w:rPr>
                <w:b/>
                <w:color w:val="FFFFFF"/>
                <w:sz w:val="18"/>
              </w:rPr>
              <w:t xml:space="preserve">Enhancement Factor</w:t>
            </w:r>
          </w:p>
        </w:tc>
        <w:tc>
          <w:tcPr>
            <w:shd w:val="clear" w:color="auto" w:fill="1B3C78"/>
          </w:tcPr>
          <w:p>
            <w:pPr>
              <w:jc w:val="center"/>
            </w:pPr>
            <w:r>
              <w:rPr>
                <w:b/>
                <w:color w:val="FFFFFF"/>
                <w:sz w:val="18"/>
              </w:rPr>
              <w:t xml:space="preserve">Latent Heat Retention (%)</w:t>
            </w:r>
          </w:p>
        </w:tc>
        <w:tc>
          <w:tcPr>
            <w:shd w:val="clear" w:color="auto" w:fill="1B3C78"/>
          </w:tcPr>
          <w:p>
            <w:pPr>
              <w:jc w:val="center"/>
            </w:pPr>
            <w:r>
              <w:rPr>
                <w:b/>
                <w:color w:val="FFFFFF"/>
                <w:sz w:val="18"/>
              </w:rPr>
              <w:t xml:space="preserve">Key Trade-off</w:t>
            </w:r>
          </w:p>
        </w:tc>
      </w:tr>
      <w:tr>
        <w:tc>
          <w:p>
            <w:pPr>
              <w:jc w:val="left"/>
            </w:pPr>
            <w:r>
              <w:rPr>
                <w:sz w:val="18"/>
              </w:rPr>
              <w:t xml:space="preserve">Pure Paraffin (baseline)</w:t>
            </w:r>
          </w:p>
        </w:tc>
        <w:tc>
          <w:p>
            <w:pPr>
              <w:jc w:val="left"/>
            </w:pPr>
            <w:r>
              <w:rPr>
                <w:sz w:val="18"/>
              </w:rPr>
              <w:t xml:space="preserve">None</w:t>
            </w:r>
          </w:p>
        </w:tc>
        <w:tc>
          <w:p>
            <w:pPr>
              <w:jc w:val="left"/>
            </w:pPr>
            <w:r>
              <w:rPr>
                <w:sz w:val="18"/>
              </w:rPr>
              <w:t xml:space="preserve">0.15-0.25</w:t>
            </w:r>
          </w:p>
        </w:tc>
        <w:tc>
          <w:p>
            <w:pPr>
              <w:jc w:val="left"/>
            </w:pPr>
            <w:r>
              <w:rPr>
                <w:sz w:val="18"/>
              </w:rPr>
              <w:t xml:space="preserve">1x</w:t>
            </w:r>
          </w:p>
        </w:tc>
        <w:tc>
          <w:p>
            <w:pPr>
              <w:jc w:val="left"/>
            </w:pPr>
            <w:r>
              <w:rPr>
                <w:sz w:val="18"/>
              </w:rPr>
              <w:t xml:space="preserve">100</w:t>
            </w:r>
          </w:p>
        </w:tc>
        <w:tc>
          <w:p>
            <w:pPr>
              <w:jc w:val="left"/>
            </w:pPr>
            <w:r>
              <w:rPr>
                <w:sz w:val="18"/>
              </w:rPr>
              <w:t xml:space="preserve">-</w:t>
            </w:r>
          </w:p>
        </w:tc>
      </w:tr>
      <w:tr>
        <w:tc>
          <w:p>
            <w:pPr>
              <w:jc w:val="left"/>
            </w:pPr>
            <w:r>
              <w:rPr>
                <w:sz w:val="18"/>
              </w:rPr>
              <w:t xml:space="preserve">Nanoparticles (1-5 wt%)</w:t>
            </w:r>
          </w:p>
        </w:tc>
        <w:tc>
          <w:p>
            <w:pPr>
              <w:jc w:val="left"/>
            </w:pPr>
            <w:r>
              <w:rPr>
                <w:sz w:val="18"/>
              </w:rPr>
              <w:t xml:space="preserve">Al2O3, CuO, TiO2</w:t>
            </w:r>
          </w:p>
        </w:tc>
        <w:tc>
          <w:p>
            <w:pPr>
              <w:jc w:val="left"/>
            </w:pPr>
            <w:r>
              <w:rPr>
                <w:sz w:val="18"/>
              </w:rPr>
              <w:t xml:space="preserve">0.3-0.5</w:t>
            </w:r>
          </w:p>
        </w:tc>
        <w:tc>
          <w:p>
            <w:pPr>
              <w:jc w:val="left"/>
            </w:pPr>
            <w:r>
              <w:rPr>
                <w:sz w:val="18"/>
              </w:rPr>
              <w:t xml:space="preserve">1.5-2.5x</w:t>
            </w:r>
          </w:p>
        </w:tc>
        <w:tc>
          <w:p>
            <w:pPr>
              <w:jc w:val="left"/>
            </w:pPr>
            <w:r>
              <w:rPr>
                <w:sz w:val="18"/>
              </w:rPr>
              <w:t xml:space="preserve">90-98</w:t>
            </w:r>
          </w:p>
        </w:tc>
        <w:tc>
          <w:p>
            <w:pPr>
              <w:jc w:val="left"/>
            </w:pPr>
            <w:r>
              <w:rPr>
                <w:sz w:val="18"/>
              </w:rPr>
              <w:t xml:space="preserve">Viscosity increase, sedimentation</w:t>
            </w:r>
          </w:p>
        </w:tc>
      </w:tr>
      <w:tr>
        <w:tc>
          <w:p>
            <w:pPr>
              <w:jc w:val="left"/>
            </w:pPr>
            <w:r>
              <w:rPr>
                <w:sz w:val="18"/>
              </w:rPr>
              <w:t xml:space="preserve">Carbon nanotubes (1-5 wt%)</w:t>
            </w:r>
          </w:p>
        </w:tc>
        <w:tc>
          <w:p>
            <w:pPr>
              <w:jc w:val="left"/>
            </w:pPr>
            <w:r>
              <w:rPr>
                <w:sz w:val="18"/>
              </w:rPr>
              <w:t xml:space="preserve">MWCNT, SWCNT</w:t>
            </w:r>
          </w:p>
        </w:tc>
        <w:tc>
          <w:p>
            <w:pPr>
              <w:jc w:val="left"/>
            </w:pPr>
            <w:r>
              <w:rPr>
                <w:sz w:val="18"/>
              </w:rPr>
              <w:t xml:space="preserve">0.4-1.0</w:t>
            </w:r>
          </w:p>
        </w:tc>
        <w:tc>
          <w:p>
            <w:pPr>
              <w:jc w:val="left"/>
            </w:pPr>
            <w:r>
              <w:rPr>
                <w:sz w:val="18"/>
              </w:rPr>
              <w:t xml:space="preserve">2-5x</w:t>
            </w:r>
          </w:p>
        </w:tc>
        <w:tc>
          <w:p>
            <w:pPr>
              <w:jc w:val="left"/>
            </w:pPr>
            <w:r>
              <w:rPr>
                <w:sz w:val="18"/>
              </w:rPr>
              <w:t xml:space="preserve">85-95</w:t>
            </w:r>
          </w:p>
        </w:tc>
        <w:tc>
          <w:p>
            <w:pPr>
              <w:jc w:val="left"/>
            </w:pPr>
            <w:r>
              <w:rPr>
                <w:sz w:val="18"/>
              </w:rPr>
              <w:t xml:space="preserve">Dispersion difficulty, cost</w:t>
            </w:r>
          </w:p>
        </w:tc>
      </w:tr>
      <w:tr>
        <w:tc>
          <w:p>
            <w:pPr>
              <w:jc w:val="left"/>
            </w:pPr>
            <w:r>
              <w:rPr>
                <w:sz w:val="18"/>
              </w:rPr>
              <w:t xml:space="preserve">Graphene nanoplatelets</w:t>
            </w:r>
          </w:p>
        </w:tc>
        <w:tc>
          <w:p>
            <w:pPr>
              <w:jc w:val="left"/>
            </w:pPr>
            <w:r>
              <w:rPr>
                <w:sz w:val="18"/>
              </w:rPr>
              <w:t xml:space="preserve">GNP (1-10 wt%)</w:t>
            </w:r>
          </w:p>
        </w:tc>
        <w:tc>
          <w:p>
            <w:pPr>
              <w:jc w:val="left"/>
            </w:pPr>
            <w:r>
              <w:rPr>
                <w:sz w:val="18"/>
              </w:rPr>
              <w:t xml:space="preserve">0.5-2.0</w:t>
            </w:r>
          </w:p>
        </w:tc>
        <w:tc>
          <w:p>
            <w:pPr>
              <w:jc w:val="left"/>
            </w:pPr>
            <w:r>
              <w:rPr>
                <w:sz w:val="18"/>
              </w:rPr>
              <w:t xml:space="preserve">3-10x</w:t>
            </w:r>
          </w:p>
        </w:tc>
        <w:tc>
          <w:p>
            <w:pPr>
              <w:jc w:val="left"/>
            </w:pPr>
            <w:r>
              <w:rPr>
                <w:sz w:val="18"/>
              </w:rPr>
              <w:t xml:space="preserve">85-95</w:t>
            </w:r>
          </w:p>
        </w:tc>
        <w:tc>
          <w:p>
            <w:pPr>
              <w:jc w:val="left"/>
            </w:pPr>
            <w:r>
              <w:rPr>
                <w:sz w:val="18"/>
              </w:rPr>
              <w:t xml:space="preserve">Agglomeration</w:t>
            </w:r>
          </w:p>
        </w:tc>
      </w:tr>
      <w:tr>
        <w:tc>
          <w:p>
            <w:pPr>
              <w:jc w:val="left"/>
            </w:pPr>
            <w:r>
              <w:rPr>
                <w:sz w:val="18"/>
              </w:rPr>
              <w:t xml:space="preserve">Expanded graphite</w:t>
            </w:r>
          </w:p>
        </w:tc>
        <w:tc>
          <w:p>
            <w:pPr>
              <w:jc w:val="left"/>
            </w:pPr>
            <w:r>
              <w:rPr>
                <w:sz w:val="18"/>
              </w:rPr>
              <w:t xml:space="preserve">EG (5-20 wt%)</w:t>
            </w:r>
          </w:p>
        </w:tc>
        <w:tc>
          <w:p>
            <w:pPr>
              <w:jc w:val="left"/>
            </w:pPr>
            <w:r>
              <w:rPr>
                <w:sz w:val="18"/>
              </w:rPr>
              <w:t xml:space="preserve">5-50</w:t>
            </w:r>
          </w:p>
        </w:tc>
        <w:tc>
          <w:p>
            <w:pPr>
              <w:jc w:val="left"/>
            </w:pPr>
            <w:r>
              <w:rPr>
                <w:sz w:val="18"/>
              </w:rPr>
              <w:t xml:space="preserve">25-250x</w:t>
            </w:r>
          </w:p>
        </w:tc>
        <w:tc>
          <w:p>
            <w:pPr>
              <w:jc w:val="left"/>
            </w:pPr>
            <w:r>
              <w:rPr>
                <w:sz w:val="18"/>
              </w:rPr>
              <w:t xml:space="preserve">75-90</w:t>
            </w:r>
          </w:p>
        </w:tc>
        <w:tc>
          <w:p>
            <w:pPr>
              <w:jc w:val="left"/>
            </w:pPr>
            <w:r>
              <w:rPr>
                <w:sz w:val="18"/>
              </w:rPr>
              <w:t xml:space="preserve">Reduces PCM volume</w:t>
            </w:r>
          </w:p>
        </w:tc>
      </w:tr>
      <w:tr>
        <w:tc>
          <w:p>
            <w:pPr>
              <w:jc w:val="left"/>
            </w:pPr>
            <w:r>
              <w:rPr>
                <w:sz w:val="18"/>
              </w:rPr>
              <w:t xml:space="preserve">Metal foam (Al/Cu)</w:t>
            </w:r>
          </w:p>
        </w:tc>
        <w:tc>
          <w:p>
            <w:pPr>
              <w:jc w:val="left"/>
            </w:pPr>
            <w:r>
              <w:rPr>
                <w:sz w:val="18"/>
              </w:rPr>
              <w:t xml:space="preserve">85-97% porosity</w:t>
            </w:r>
          </w:p>
        </w:tc>
        <w:tc>
          <w:p>
            <w:pPr>
              <w:jc w:val="left"/>
            </w:pPr>
            <w:r>
              <w:rPr>
                <w:sz w:val="18"/>
              </w:rPr>
              <w:t xml:space="preserve">3-25</w:t>
            </w:r>
          </w:p>
        </w:tc>
        <w:tc>
          <w:p>
            <w:pPr>
              <w:jc w:val="left"/>
            </w:pPr>
            <w:r>
              <w:rPr>
                <w:sz w:val="18"/>
              </w:rPr>
              <w:t xml:space="preserve">15-125x</w:t>
            </w:r>
          </w:p>
        </w:tc>
        <w:tc>
          <w:p>
            <w:pPr>
              <w:jc w:val="left"/>
            </w:pPr>
            <w:r>
              <w:rPr>
                <w:sz w:val="18"/>
              </w:rPr>
              <w:t xml:space="preserve">80-95</w:t>
            </w:r>
          </w:p>
        </w:tc>
        <w:tc>
          <w:p>
            <w:pPr>
              <w:jc w:val="left"/>
            </w:pPr>
            <w:r>
              <w:rPr>
                <w:sz w:val="18"/>
              </w:rPr>
              <w:t xml:space="preserve">Weight, cost, volume loss</w:t>
            </w:r>
          </w:p>
        </w:tc>
      </w:tr>
      <w:tr>
        <w:tc>
          <w:p>
            <w:pPr>
              <w:jc w:val="left"/>
            </w:pPr>
            <w:r>
              <w:rPr>
                <w:sz w:val="18"/>
              </w:rPr>
              <w:t xml:space="preserve">Metallic fins</w:t>
            </w:r>
          </w:p>
        </w:tc>
        <w:tc>
          <w:p>
            <w:pPr>
              <w:jc w:val="left"/>
            </w:pPr>
            <w:r>
              <w:rPr>
                <w:sz w:val="18"/>
              </w:rPr>
              <w:t xml:space="preserve">Al, Cu fins</w:t>
            </w:r>
          </w:p>
        </w:tc>
        <w:tc>
          <w:p>
            <w:pPr>
              <w:jc w:val="left"/>
            </w:pPr>
            <w:r>
              <w:rPr>
                <w:sz w:val="18"/>
              </w:rPr>
              <w:t xml:space="preserve">System-dependent</w:t>
            </w:r>
          </w:p>
        </w:tc>
        <w:tc>
          <w:p>
            <w:pPr>
              <w:jc w:val="left"/>
            </w:pPr>
            <w:r>
              <w:rPr>
                <w:sz w:val="18"/>
              </w:rPr>
              <w:t xml:space="preserve">5-20x (effective)</w:t>
            </w:r>
          </w:p>
        </w:tc>
        <w:tc>
          <w:p>
            <w:pPr>
              <w:jc w:val="left"/>
            </w:pPr>
            <w:r>
              <w:rPr>
                <w:sz w:val="18"/>
              </w:rPr>
              <w:t xml:space="preserve">70-90</w:t>
            </w:r>
          </w:p>
        </w:tc>
        <w:tc>
          <w:p>
            <w:pPr>
              <w:jc w:val="left"/>
            </w:pPr>
            <w:r>
              <w:rPr>
                <w:sz w:val="18"/>
              </w:rPr>
              <w:t xml:space="preserve">Volume displacement</w:t>
            </w:r>
          </w:p>
        </w:tc>
      </w:tr>
      <w:tr>
        <w:tc>
          <w:p>
            <w:pPr>
              <w:jc w:val="left"/>
            </w:pPr>
            <w:r>
              <w:rPr>
                <w:sz w:val="18"/>
              </w:rPr>
              <w:t xml:space="preserve">Hybrid (EG + fins)</w:t>
            </w:r>
          </w:p>
        </w:tc>
        <w:tc>
          <w:p>
            <w:pPr>
              <w:jc w:val="left"/>
            </w:pPr>
            <w:r>
              <w:rPr>
                <w:sz w:val="18"/>
              </w:rPr>
              <w:t xml:space="preserve">Combined</w:t>
            </w:r>
          </w:p>
        </w:tc>
        <w:tc>
          <w:p>
            <w:pPr>
              <w:jc w:val="left"/>
            </w:pPr>
            <w:r>
              <w:rPr>
                <w:sz w:val="18"/>
              </w:rPr>
              <w:t xml:space="preserve">10-60</w:t>
            </w:r>
          </w:p>
        </w:tc>
        <w:tc>
          <w:p>
            <w:pPr>
              <w:jc w:val="left"/>
            </w:pPr>
            <w:r>
              <w:rPr>
                <w:sz w:val="18"/>
              </w:rPr>
              <w:t xml:space="preserve">50-300x</w:t>
            </w:r>
          </w:p>
        </w:tc>
        <w:tc>
          <w:p>
            <w:pPr>
              <w:jc w:val="left"/>
            </w:pPr>
            <w:r>
              <w:rPr>
                <w:sz w:val="18"/>
              </w:rPr>
              <w:t xml:space="preserve">70-85</w:t>
            </w:r>
          </w:p>
        </w:tc>
        <w:tc>
          <w:p>
            <w:pPr>
              <w:jc w:val="left"/>
            </w:pPr>
            <w:r>
              <w:rPr>
                <w:sz w:val="18"/>
              </w:rPr>
              <w:t xml:space="preserve">Complexity, cost</w:t>
            </w:r>
          </w:p>
        </w:tc>
      </w:tr>
    </w:tbl>
    <w:p/>
    <w:p>
      <w:pPr>
        <w:pStyle w:val="Heading2"/>
      </w:pPr>
      <w:r>
        <w:rPr>
          <w:b/>
        </w:rPr>
        <w:t xml:space="preserve">2.2 Encapsulation and Shape Stabilization</w:t>
      </w:r>
    </w:p>
    <w:p>
      <w:pPr/>
      <w:r>
        <w:rPr/>
        <w:t xml:space="preserve">The transition from solid to liquid phase during PCM melting introduces critical challenges related to material containment, leakage prevention, and volume change accommodation [59]. Encapsulation and shape stabilization technologies address these challenges by confining the PCM within protective structures or supporting matrices that maintain structural integrity throughout repeated phase change cycles.</w:t>
      </w:r>
    </w:p>
    <w:p>
      <w:pPr/>
      <w:r>
        <w:rPr/>
        <w:t xml:space="preserve">Macroencapsulation involves containing PCM volumes typically ranging from milliliters to liters within rigid or semi-rigid containers or modules [60]. Common macroencapsulation geometries include cylindrical tubes, flat panels or pouches, spherical nodules, and rectangular containers [61].</w:t>
      </w:r>
    </w:p>
    <w:p>
      <w:pPr/>
      <w:r>
        <w:rPr/>
        <w:t xml:space="preserve">Microencapsulation (capsule diameters of 1-1000 micrometers) and nanoencapsulation (capsule diameters below 1 micrometer) involve enclosing individual PCM droplets within thin shells of polymer or inorganic material [62]. Microencapsulation is typically achieved through techniques such as complex coacervation, interfacial polymerization, in-situ polymerization, spray drying, or sol-gel processes [63]. Micro/nanoencapsulated PCMs (MEPCMs) offer several significant advantages including dramatically improved heat transfer rates and prevention of leakage [64]. However, microencapsulation introduces challenges including shell rupture, reduced effective latent heat, and significantly higher cost [65].</w:t>
      </w:r>
    </w:p>
    <w:p>
      <w:pPr/>
      <w:r>
        <w:rPr/>
        <w:t xml:space="preserve">Shape-Stabilized PCMs (ss-PCMs) represent an alternative containment strategy in which the PCM is dispersed within or absorbed into a supporting matrix material [66]. Shape-stabilized composites are typically prepared by vacuum impregnation, melt blending, or solution intercalation methods [67].</w:t>
      </w:r>
    </w:p>
    <w:p/>
    <w:p>
      <w:pPr>
        <w:jc w:val="center"/>
      </w:pPr>
      <w:r>
        <w:drawing>
          <wp:inline distT="0" distB="0" distL="0" distR="0">
            <wp:extent cx="5400000" cy="33750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r:embed="rId13"/>
                    <a:stretch>
                      <a:fillRect/>
                    </a:stretch>
                  </pic:blipFill>
                  <pic:spPr>
                    <a:xfrm>
                      <a:off x="0" y="0"/>
                      <a:ext cx="5400000" cy="3375000"/>
                    </a:xfrm>
                    <a:prstGeom prst="rect">
                      <a:avLst/>
                    </a:prstGeom>
                  </pic:spPr>
                </pic:pic>
              </a:graphicData>
            </a:graphic>
          </wp:inline>
        </w:drawing>
      </w:r>
    </w:p>
    <w:p>
      <w:pPr>
        <w:jc w:val="center"/>
      </w:pPr>
      <w:r>
        <w:rPr>
          <w:i/>
          <w:sz w:val="20"/>
          <w:szCs w:val="20"/>
        </w:rPr>
        <w:t xml:space="preserve">Figure 4: PCM Encapsulation Methods - Macro, Micro, and Shape-Stabilized</w:t>
      </w:r>
    </w:p>
    <w:p/>
    <w:p>
      <w:pPr>
        <w:jc w:val="center"/>
      </w:pPr>
      <w:r>
        <w:rPr>
          <w:b/>
          <w:sz w:val="20"/>
          <w:szCs w:val="20"/>
        </w:rPr>
        <w:t xml:space="preserve">Table 5: Comparison of PCM Encapsulation Techniques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1B3C78"/>
          </w:tcPr>
          <w:p>
            <w:pPr>
              <w:jc w:val="center"/>
            </w:pPr>
            <w:r>
              <w:rPr>
                <w:b/>
                <w:color w:val="FFFFFF"/>
                <w:sz w:val="18"/>
              </w:rPr>
              <w:t xml:space="preserve">Parameter</w:t>
            </w:r>
          </w:p>
        </w:tc>
        <w:tc>
          <w:tcPr>
            <w:shd w:val="clear" w:color="auto" w:fill="1B3C78"/>
          </w:tcPr>
          <w:p>
            <w:pPr>
              <w:jc w:val="center"/>
            </w:pPr>
            <w:r>
              <w:rPr>
                <w:b/>
                <w:color w:val="FFFFFF"/>
                <w:sz w:val="18"/>
              </w:rPr>
              <w:t xml:space="preserve">Macroencapsulation</w:t>
            </w:r>
          </w:p>
        </w:tc>
        <w:tc>
          <w:tcPr>
            <w:shd w:val="clear" w:color="auto" w:fill="1B3C78"/>
          </w:tcPr>
          <w:p>
            <w:pPr>
              <w:jc w:val="center"/>
            </w:pPr>
            <w:r>
              <w:rPr>
                <w:b/>
                <w:color w:val="FFFFFF"/>
                <w:sz w:val="18"/>
              </w:rPr>
              <w:t xml:space="preserve">Microencapsulation</w:t>
            </w:r>
          </w:p>
        </w:tc>
        <w:tc>
          <w:tcPr>
            <w:shd w:val="clear" w:color="auto" w:fill="1B3C78"/>
          </w:tcPr>
          <w:p>
            <w:pPr>
              <w:jc w:val="center"/>
            </w:pPr>
            <w:r>
              <w:rPr>
                <w:b/>
                <w:color w:val="FFFFFF"/>
                <w:sz w:val="18"/>
              </w:rPr>
              <w:t xml:space="preserve">Shape-Stabilized</w:t>
            </w:r>
          </w:p>
        </w:tc>
      </w:tr>
      <w:tr>
        <w:tc>
          <w:p>
            <w:pPr>
              <w:jc w:val="left"/>
            </w:pPr>
            <w:r>
              <w:rPr>
                <w:sz w:val="18"/>
              </w:rPr>
              <w:t xml:space="preserve">Capsule size</w:t>
            </w:r>
          </w:p>
        </w:tc>
        <w:tc>
          <w:p>
            <w:pPr>
              <w:jc w:val="left"/>
            </w:pPr>
            <w:r>
              <w:rPr>
                <w:sz w:val="18"/>
              </w:rPr>
              <w:t xml:space="preserve">1 mm - 10 cm</w:t>
            </w:r>
          </w:p>
        </w:tc>
        <w:tc>
          <w:p>
            <w:pPr>
              <w:jc w:val="left"/>
            </w:pPr>
            <w:r>
              <w:rPr>
                <w:sz w:val="18"/>
              </w:rPr>
              <w:t xml:space="preserve">1 um - 1000 um</w:t>
            </w:r>
          </w:p>
        </w:tc>
        <w:tc>
          <w:p>
            <w:pPr>
              <w:jc w:val="left"/>
            </w:pPr>
            <w:r>
              <w:rPr>
                <w:sz w:val="18"/>
              </w:rPr>
              <w:t xml:space="preserve">Bulk composite</w:t>
            </w:r>
          </w:p>
        </w:tc>
      </w:tr>
      <w:tr>
        <w:tc>
          <w:p>
            <w:pPr>
              <w:jc w:val="left"/>
            </w:pPr>
            <w:r>
              <w:rPr>
                <w:sz w:val="18"/>
              </w:rPr>
              <w:t xml:space="preserve">Shell/matrix material</w:t>
            </w:r>
          </w:p>
        </w:tc>
        <w:tc>
          <w:p>
            <w:pPr>
              <w:jc w:val="left"/>
            </w:pPr>
            <w:r>
              <w:rPr>
                <w:sz w:val="18"/>
              </w:rPr>
              <w:t xml:space="preserve">Steel, HDPE, Al</w:t>
            </w:r>
          </w:p>
        </w:tc>
        <w:tc>
          <w:p>
            <w:pPr>
              <w:jc w:val="left"/>
            </w:pPr>
            <w:r>
              <w:rPr>
                <w:sz w:val="18"/>
              </w:rPr>
              <w:t xml:space="preserve">MF, UF, PMMA, SiO2</w:t>
            </w:r>
          </w:p>
        </w:tc>
        <w:tc>
          <w:p>
            <w:pPr>
              <w:jc w:val="left"/>
            </w:pPr>
            <w:r>
              <w:rPr>
                <w:sz w:val="18"/>
              </w:rPr>
              <w:t xml:space="preserve">EG, HDPE, diatomite</w:t>
            </w:r>
          </w:p>
        </w:tc>
      </w:tr>
      <w:tr>
        <w:tc>
          <w:p>
            <w:pPr>
              <w:jc w:val="left"/>
            </w:pPr>
            <w:r>
              <w:rPr>
                <w:sz w:val="18"/>
              </w:rPr>
              <w:t xml:space="preserve">PCM loading (wt%)</w:t>
            </w:r>
          </w:p>
        </w:tc>
        <w:tc>
          <w:p>
            <w:pPr>
              <w:jc w:val="left"/>
            </w:pPr>
            <w:r>
              <w:rPr>
                <w:sz w:val="18"/>
              </w:rPr>
              <w:t xml:space="preserve">80-95</w:t>
            </w:r>
          </w:p>
        </w:tc>
        <w:tc>
          <w:p>
            <w:pPr>
              <w:jc w:val="left"/>
            </w:pPr>
            <w:r>
              <w:rPr>
                <w:sz w:val="18"/>
              </w:rPr>
              <w:t xml:space="preserve">60-85</w:t>
            </w:r>
          </w:p>
        </w:tc>
        <w:tc>
          <w:p>
            <w:pPr>
              <w:jc w:val="left"/>
            </w:pPr>
            <w:r>
              <w:rPr>
                <w:sz w:val="18"/>
              </w:rPr>
              <w:t xml:space="preserve">50-85</w:t>
            </w:r>
          </w:p>
        </w:tc>
      </w:tr>
      <w:tr>
        <w:tc>
          <w:p>
            <w:pPr>
              <w:jc w:val="left"/>
            </w:pPr>
            <w:r>
              <w:rPr>
                <w:sz w:val="18"/>
              </w:rPr>
              <w:t xml:space="preserve">Thermal conductivity</w:t>
            </w:r>
          </w:p>
        </w:tc>
        <w:tc>
          <w:p>
            <w:pPr>
              <w:jc w:val="left"/>
            </w:pPr>
            <w:r>
              <w:rPr>
                <w:sz w:val="18"/>
              </w:rPr>
              <w:t xml:space="preserve">Low (shell limits)</w:t>
            </w:r>
          </w:p>
        </w:tc>
        <w:tc>
          <w:p>
            <w:pPr>
              <w:jc w:val="left"/>
            </w:pPr>
            <w:r>
              <w:rPr>
                <w:sz w:val="18"/>
              </w:rPr>
              <w:t xml:space="preserve">Moderate (high SA/V)</w:t>
            </w:r>
          </w:p>
        </w:tc>
        <w:tc>
          <w:p>
            <w:pPr>
              <w:jc w:val="left"/>
            </w:pPr>
            <w:r>
              <w:rPr>
                <w:sz w:val="18"/>
              </w:rPr>
              <w:t xml:space="preserve">Can be high (EG matrix)</w:t>
            </w:r>
          </w:p>
        </w:tc>
      </w:tr>
      <w:tr>
        <w:tc>
          <w:p>
            <w:pPr>
              <w:jc w:val="left"/>
            </w:pPr>
            <w:r>
              <w:rPr>
                <w:sz w:val="18"/>
              </w:rPr>
              <w:t xml:space="preserve">Leakage prevention</w:t>
            </w:r>
          </w:p>
        </w:tc>
        <w:tc>
          <w:p>
            <w:pPr>
              <w:jc w:val="left"/>
            </w:pPr>
            <w:r>
              <w:rPr>
                <w:sz w:val="18"/>
              </w:rPr>
              <w:t xml:space="preserve">Good (sealed)</w:t>
            </w:r>
          </w:p>
        </w:tc>
        <w:tc>
          <w:p>
            <w:pPr>
              <w:jc w:val="left"/>
            </w:pPr>
            <w:r>
              <w:rPr>
                <w:sz w:val="18"/>
              </w:rPr>
              <w:t xml:space="preserve">Excellent</w:t>
            </w:r>
          </w:p>
        </w:tc>
        <w:tc>
          <w:p>
            <w:pPr>
              <w:jc w:val="left"/>
            </w:pPr>
            <w:r>
              <w:rPr>
                <w:sz w:val="18"/>
              </w:rPr>
              <w:t xml:space="preserve">Good (capillary forces)</w:t>
            </w:r>
          </w:p>
        </w:tc>
      </w:tr>
      <w:tr>
        <w:tc>
          <w:p>
            <w:pPr>
              <w:jc w:val="left"/>
            </w:pPr>
            <w:r>
              <w:rPr>
                <w:sz w:val="18"/>
              </w:rPr>
              <w:t xml:space="preserve">Heat transfer rate</w:t>
            </w:r>
          </w:p>
        </w:tc>
        <w:tc>
          <w:p>
            <w:pPr>
              <w:jc w:val="left"/>
            </w:pPr>
            <w:r>
              <w:rPr>
                <w:sz w:val="18"/>
              </w:rPr>
              <w:t xml:space="preserve">Low (large volume)</w:t>
            </w:r>
          </w:p>
        </w:tc>
        <w:tc>
          <w:p>
            <w:pPr>
              <w:jc w:val="left"/>
            </w:pPr>
            <w:r>
              <w:rPr>
                <w:sz w:val="18"/>
              </w:rPr>
              <w:t xml:space="preserve">High</w:t>
            </w:r>
          </w:p>
        </w:tc>
        <w:tc>
          <w:p>
            <w:pPr>
              <w:jc w:val="left"/>
            </w:pPr>
            <w:r>
              <w:rPr>
                <w:sz w:val="18"/>
              </w:rPr>
              <w:t xml:space="preserve">Medium-High</w:t>
            </w:r>
          </w:p>
        </w:tc>
      </w:tr>
      <w:tr>
        <w:tc>
          <w:p>
            <w:pPr>
              <w:jc w:val="left"/>
            </w:pPr>
            <w:r>
              <w:rPr>
                <w:sz w:val="18"/>
              </w:rPr>
              <w:t xml:space="preserve">Cycling stability</w:t>
            </w:r>
          </w:p>
        </w:tc>
        <w:tc>
          <w:p>
            <w:pPr>
              <w:jc w:val="left"/>
            </w:pPr>
            <w:r>
              <w:rPr>
                <w:sz w:val="18"/>
              </w:rPr>
              <w:t xml:space="preserve">Good</w:t>
            </w:r>
          </w:p>
        </w:tc>
        <w:tc>
          <w:p>
            <w:pPr>
              <w:jc w:val="left"/>
            </w:pPr>
            <w:r>
              <w:rPr>
                <w:sz w:val="18"/>
              </w:rPr>
              <w:t xml:space="preserve">Moderate (shell wear)</w:t>
            </w:r>
          </w:p>
        </w:tc>
        <w:tc>
          <w:p>
            <w:pPr>
              <w:jc w:val="left"/>
            </w:pPr>
            <w:r>
              <w:rPr>
                <w:sz w:val="18"/>
              </w:rPr>
              <w:t xml:space="preserve">Good</w:t>
            </w:r>
          </w:p>
        </w:tc>
      </w:tr>
      <w:tr>
        <w:tc>
          <w:p>
            <w:pPr>
              <w:jc w:val="left"/>
            </w:pPr>
            <w:r>
              <w:rPr>
                <w:sz w:val="18"/>
              </w:rPr>
              <w:t xml:space="preserve">Cost</w:t>
            </w:r>
          </w:p>
        </w:tc>
        <w:tc>
          <w:p>
            <w:pPr>
              <w:jc w:val="left"/>
            </w:pPr>
            <w:r>
              <w:rPr>
                <w:sz w:val="18"/>
              </w:rPr>
              <w:t xml:space="preserve">Low-Moderate</w:t>
            </w:r>
          </w:p>
        </w:tc>
        <w:tc>
          <w:p>
            <w:pPr>
              <w:jc w:val="left"/>
            </w:pPr>
            <w:r>
              <w:rPr>
                <w:sz w:val="18"/>
              </w:rPr>
              <w:t xml:space="preserve">High</w:t>
            </w:r>
          </w:p>
        </w:tc>
        <w:tc>
          <w:p>
            <w:pPr>
              <w:jc w:val="left"/>
            </w:pPr>
            <w:r>
              <w:rPr>
                <w:sz w:val="18"/>
              </w:rPr>
              <w:t xml:space="preserve">Moderate</w:t>
            </w:r>
          </w:p>
        </w:tc>
      </w:tr>
      <w:tr>
        <w:tc>
          <w:p>
            <w:pPr>
              <w:jc w:val="left"/>
            </w:pPr>
            <w:r>
              <w:rPr>
                <w:sz w:val="18"/>
              </w:rPr>
              <w:t xml:space="preserve">Integration ease</w:t>
            </w:r>
          </w:p>
        </w:tc>
        <w:tc>
          <w:p>
            <w:pPr>
              <w:jc w:val="left"/>
            </w:pPr>
            <w:r>
              <w:rPr>
                <w:sz w:val="18"/>
              </w:rPr>
              <w:t xml:space="preserve">Modular</w:t>
            </w:r>
          </w:p>
        </w:tc>
        <w:tc>
          <w:p>
            <w:pPr>
              <w:jc w:val="left"/>
            </w:pPr>
            <w:r>
              <w:rPr>
                <w:sz w:val="18"/>
              </w:rPr>
              <w:t xml:space="preserve">Mixable into materials</w:t>
            </w:r>
          </w:p>
        </w:tc>
        <w:tc>
          <w:p>
            <w:pPr>
              <w:jc w:val="left"/>
            </w:pPr>
            <w:r>
              <w:rPr>
                <w:sz w:val="18"/>
              </w:rPr>
              <w:t xml:space="preserve">Direct structural use</w:t>
            </w:r>
          </w:p>
        </w:tc>
      </w:tr>
      <w:tr>
        <w:tc>
          <w:p>
            <w:pPr>
              <w:jc w:val="left"/>
            </w:pPr>
            <w:r>
              <w:rPr>
                <w:sz w:val="18"/>
              </w:rPr>
              <w:t xml:space="preserve">Best applications</w:t>
            </w:r>
          </w:p>
        </w:tc>
        <w:tc>
          <w:p>
            <w:pPr>
              <w:jc w:val="left"/>
            </w:pPr>
            <w:r>
              <w:rPr>
                <w:sz w:val="18"/>
              </w:rPr>
              <w:t xml:space="preserve">Storage tanks, panels</w:t>
            </w:r>
          </w:p>
        </w:tc>
        <w:tc>
          <w:p>
            <w:pPr>
              <w:jc w:val="left"/>
            </w:pPr>
            <w:r>
              <w:rPr>
                <w:sz w:val="18"/>
              </w:rPr>
              <w:t xml:space="preserve">Building materials, slurries</w:t>
            </w:r>
          </w:p>
        </w:tc>
        <w:tc>
          <w:p>
            <w:pPr>
              <w:jc w:val="left"/>
            </w:pPr>
            <w:r>
              <w:rPr>
                <w:sz w:val="18"/>
              </w:rPr>
              <w:t xml:space="preserve">Composites, direct contact</w:t>
            </w:r>
          </w:p>
        </w:tc>
      </w:tr>
    </w:tbl>
    <w:p/>
    <w:p>
      <w:pPr>
        <w:pStyle w:val="Heading2"/>
      </w:pPr>
      <w:r>
        <w:rPr>
          <w:b/>
        </w:rPr>
        <w:t xml:space="preserve">2.3 Modeling and Optimization of Thermal Systems</w:t>
      </w:r>
    </w:p>
    <w:p>
      <w:pPr/>
      <w:r>
        <w:rPr/>
        <w:t xml:space="preserve">The design and optimization of PCM-based thermal energy storage systems require sophisticated mathematical modeling and computational simulation tools [68]. Unlike single-phase heat transfer problems, the melting and solidification of PCMs involve moving solid-liquid interfaces, latent heat absorption/release, natural convection in the liquid phase, and potentially non-linear material properties [69].</w:t>
      </w:r>
    </w:p>
    <w:p>
      <w:pPr/>
      <w:r>
        <w:rPr/>
        <w:t xml:space="preserve">The Stefan Problem and Analytical Solutions form the classical mathematical foundation for modeling phase change [70]. Computational Fluid Dynamics (CFD) Modeling has become the primary tool for simulating PCM behavior in complex, realistic system configurations [71]. The most widely employed numerical approach is the enthalpy-porosity method, which treats the mushy zone as a porous medium with porosity equal to the liquid fraction [72]. This approach eliminates the need to explicitly track the moving solid-liquid interface, greatly simplifying the numerical implementation while providing accurate results for engineering applications.</w:t>
      </w:r>
    </w:p>
    <w:p>
      <w:pPr/>
      <w:r>
        <w:rPr/>
        <w:t xml:space="preserve">Optimization Techniques including topology optimization and genetic algorithms are employed to maximize the thermal performance of PCM systems [73]. System-level optimization includes the selection and layering of multiple PCMs with cascaded melting temperatures to maintain more uniform temperature driving forces and improve overall exergetic efficiency [74].</w:t>
      </w:r>
    </w:p>
    <w:p>
      <w:pPr>
        <w:pStyle w:val="Heading1"/>
      </w:pPr>
      <w:r>
        <w:rPr>
          <w:b/>
        </w:rPr>
        <w:t xml:space="preserve">Section 3: Applications of PCMs in Sustainable Development and Clean Energy</w:t>
      </w:r>
    </w:p>
    <w:p>
      <w:pPr>
        <w:pStyle w:val="Heading2"/>
      </w:pPr>
      <w:r>
        <w:rPr>
          <w:b/>
        </w:rPr>
        <w:t xml:space="preserve">3.1 PCMs for Building Energy Management and Energy Efficiency</w:t>
      </w:r>
    </w:p>
    <w:p>
      <w:pPr/>
      <w:r>
        <w:rPr/>
        <w:t xml:space="preserve">The building sector accounts for approximately 40% of global energy consumption and nearly one-third of energy-related carbon dioxide emissions [75]. The integration of phase change materials into building envelopes and HVAC systems offers a compelling strategy for reducing building energy consumption and improving occupant thermal comfort [76].</w:t>
      </w:r>
    </w:p>
    <w:p>
      <w:pPr/>
      <w:r>
        <w:rPr/>
        <w:t xml:space="preserve">Integration into Building Envelopes involves incorporating PCMs into the structural or finishing elements that form the thermal boundary of a building [5]. PCM-enhanced wallboards with melting temperatures of 21-26 degrees C are blended into gypsum plasterboard during manufacture [9]. Experimental studies have shown that PCM-enhanced building envelopes can reduce peak indoor temperatures by 2-4 degrees C and reduce daily cooling energy consumption by 15-30% [19].</w:t>
      </w:r>
    </w:p>
    <w:p>
      <w:pPr/>
      <w:r>
        <w:rPr/>
        <w:t xml:space="preserve">Peak Load Shifting and Demand Management represent key economic and grid-level benefits of PCM integration in buildings [20]. Building-integrated PCMs serve a dual function: improving individual building energy performance while providing grid-level services through reduced peak demand and improved load factors [21].</w:t>
      </w:r>
    </w:p>
    <w:p>
      <w:pPr/>
      <w:r>
        <w:rPr/>
        <w:t xml:space="preserve">Free Cooling Systems exploit the diurnal temperature variation between day and night. During nighttime hours when ambient temperatures fall below the PCM melting point, outdoor air is circulated through a PCM heat exchanger to solidify the material and store coolness. During daytime hours, warm indoor air is passed through the solidified PCM, which absorbs heat and provides cooling without mechanical refrigeration, achieving energy savings of 30-50% for cooling with minimal electrical energy input [18, 12].</w:t>
      </w:r>
    </w:p>
    <w:p>
      <w:pPr>
        <w:pStyle w:val="Heading2"/>
      </w:pPr>
      <w:r>
        <w:rPr>
          <w:b/>
        </w:rPr>
        <w:t xml:space="preserve">3.2 Renewable Energy Integration: Solar Thermal and Battery Thermal Management</w:t>
      </w:r>
    </w:p>
    <w:p>
      <w:pPr/>
      <w:r>
        <w:rPr/>
        <w:t xml:space="preserve">The integration of PCMs with renewable energy systems addresses the fundamental challenge of temporal mismatch between energy generation and demand [2]. Two applications of particular strategic importance are solar thermal energy storage and battery thermal management for electric vehicles.</w:t>
      </w:r>
    </w:p>
    <w:p>
      <w:pPr/>
      <w:r>
        <w:rPr/>
        <w:t xml:space="preserve">Solar Water Heating and Domestic Hot Water Systems represent one of the most mature applications of PCMs in renewable energy [34]. By integrating PCMs with melting temperatures of 45-60 degrees C into solar thermal storage tanks, the storage capacity per unit volume can be increased by a factor of 2-4 compared to sensible-heat-only water tanks [11]. This enhanced storage capacity extends the availability of hot water well beyond sunset hours. Field studies have demonstrated solar fractions of 60-80% in temperate climates with PCM-enhanced systems [15].</w:t>
      </w:r>
    </w:p>
    <w:p>
      <w:pPr/>
      <w:r>
        <w:rPr/>
        <w:t xml:space="preserve">Concentrated Solar Power (CSP) Plants require large-scale, high-temperature thermal energy storage to enable dispatchable electricity generation during periods without direct solar radiation [34]. The incorporation of latent heat storage using high-temperature PCMs such as sodium nitrate (melting point 306 degrees C) and eutectic salt mixtures can reduce storage costs by 20-40% compared to conventional two-tank molten salt systems [14]. Cascaded PCM systems employing multiple PCMs with progressively lower melting temperatures maintain a more uniform temperature driving force throughout the discharge process, improving heat transfer rates and thermal efficiency [74].</w:t>
      </w:r>
    </w:p>
    <w:p>
      <w:pPr/>
      <w:r>
        <w:rPr/>
        <w:t xml:space="preserve">Battery Thermal Management (BTM) for Electric Vehicles represents a rapidly growing application area for PCMs [4]. Lithium-ion batteries exhibit optimal performance within a narrow operating temperature window of 15-35 degrees C [10]. Temperatures above this range accelerate degradation mechanisms, reduce cycle life, and in extreme cases can trigger thermal runaway. PCM-based BTM systems passively absorb heat generated by the battery during charging and discharging, maintaining cell temperatures near the PCM melting point without requiring active cooling systems [58]. Paraffin-based composites with expanded graphite are among the most commonly employed formulations, offering a favorable combination of appropriate melting temperature, adequate thermal conductivity, and form stability [54].</w:t>
      </w:r>
    </w:p>
    <w:p>
      <w:pPr>
        <w:pStyle w:val="Heading2"/>
      </w:pPr>
      <w:r>
        <w:rPr>
          <w:b/>
        </w:rPr>
        <w:t xml:space="preserve">3.3 Industrial, Electronic, and Specialized Applications</w:t>
      </w:r>
    </w:p>
    <w:p>
      <w:pPr/>
      <w:r>
        <w:rPr/>
        <w:t xml:space="preserve">Beyond building energy management and renewable energy systems, PCMs find application across diverse industrial and specialized domains [3].</w:t>
      </w:r>
    </w:p>
    <w:p>
      <w:pPr/>
      <w:r>
        <w:rPr/>
        <w:t xml:space="preserve">Thermal Management of Electronics is increasingly critical as electronic devices continue to increase in power density while simultaneously decreasing in physical size [10]. PCM-based solutions are particularly advantageous for transient or pulsed thermal loads characteristic of portable electronics, telecommunications equipment, and power electronics [50, 55].</w:t>
      </w:r>
    </w:p>
    <w:p>
      <w:pPr/>
      <w:r>
        <w:rPr/>
        <w:t xml:space="preserve">Temperature-Controlled Transport and Logistics represents a commercially significant application of PCMs [60]. The pharmaceutical industry requires strict temperature control (typically 2-8 degrees C for vaccines and biologics, or 15-25 degrees C for many medications) throughout the cold chain from manufacturer to patient [35]. PCM-based packaging solutions provide passive thermal protection for 24-120 hours without requiring electrical power, making them ideal for last-mile delivery and remote locations [43].</w:t>
      </w:r>
    </w:p>
    <w:p>
      <w:pPr/>
      <w:r>
        <w:rPr/>
        <w:t xml:space="preserve">Smart Textiles and Personal Thermal Comfort applications incorporate microencapsulated PCMs into clothing fibers, providing dynamic thermal buffering that absorbs excess body heat during activity and releases it during rest periods [62, 64].</w:t>
      </w:r>
    </w:p>
    <w:p>
      <w:pPr/>
      <w:r>
        <w:rPr/>
        <w:t xml:space="preserve">Aerospace Thermal Protection Systems employ PCMs to manage the extreme thermal environments experienced by spacecraft and satellites, where surfaces alternately face direct solar radiation and deep space cold during orbital cycles [17].</w:t>
      </w:r>
    </w:p>
    <w:p/>
    <w:p>
      <w:pPr>
        <w:jc w:val="center"/>
      </w:pPr>
      <w:r>
        <w:drawing>
          <wp:inline distT="0" distB="0" distL="0" distR="0">
            <wp:extent cx="5400000" cy="3712500"/>
            <wp:docPr id="1" name="Picture"/>
            <a:graphic xmlns:a="http://schemas.openxmlformats.org/drawingml/2006/main">
              <a:graphicData uri="http://schemas.openxmlformats.org/drawingml/2006/picture">
                <pic:pic xmlns:pic="http://schemas.openxmlformats.org/drawingml/2006/picture">
                  <pic:nvPicPr>
                    <pic:cNvPr id="0" name="Picture"/>
                    <pic:cNvPicPr/>
                  </pic:nvPicPr>
                  <pic:blipFill>
                    <a:blip r:embed="rId14"/>
                    <a:stretch>
                      <a:fillRect/>
                    </a:stretch>
                  </pic:blipFill>
                  <pic:spPr>
                    <a:xfrm>
                      <a:off x="0" y="0"/>
                      <a:ext cx="5400000" cy="3712500"/>
                    </a:xfrm>
                    <a:prstGeom prst="rect">
                      <a:avLst/>
                    </a:prstGeom>
                  </pic:spPr>
                </pic:pic>
              </a:graphicData>
            </a:graphic>
          </wp:inline>
        </w:drawing>
      </w:r>
    </w:p>
    <w:p>
      <w:pPr>
        <w:jc w:val="center"/>
      </w:pPr>
      <w:r>
        <w:rPr>
          <w:i/>
          <w:sz w:val="20"/>
          <w:szCs w:val="20"/>
        </w:rPr>
        <w:t xml:space="preserve">Figure 5: Applications of PCMs in Sustainable Development and Clean Energy</w:t>
      </w:r>
    </w:p>
    <w:p/>
    <w:p>
      <w:pPr>
        <w:jc w:val="center"/>
      </w:pPr>
      <w:r>
        <w:rPr>
          <w:b/>
          <w:sz w:val="20"/>
          <w:szCs w:val="20"/>
        </w:rPr>
        <w:t xml:space="preserve">Table 6: Summary of PCM Applications, Operating Conditions, and Benefits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shd w:val="clear" w:color="auto" w:fill="1B3C78"/>
          </w:tcPr>
          <w:p>
            <w:pPr>
              <w:jc w:val="center"/>
            </w:pPr>
            <w:r>
              <w:rPr>
                <w:b/>
                <w:color w:val="FFFFFF"/>
                <w:sz w:val="18"/>
              </w:rPr>
              <w:t xml:space="preserve">Application</w:t>
            </w:r>
          </w:p>
        </w:tc>
        <w:tc>
          <w:tcPr>
            <w:shd w:val="clear" w:color="auto" w:fill="1B3C78"/>
          </w:tcPr>
          <w:p>
            <w:pPr>
              <w:jc w:val="center"/>
            </w:pPr>
            <w:r>
              <w:rPr>
                <w:b/>
                <w:color w:val="FFFFFF"/>
                <w:sz w:val="18"/>
              </w:rPr>
              <w:t xml:space="preserve">PCM Type</w:t>
            </w:r>
          </w:p>
        </w:tc>
        <w:tc>
          <w:tcPr>
            <w:shd w:val="clear" w:color="auto" w:fill="1B3C78"/>
          </w:tcPr>
          <w:p>
            <w:pPr>
              <w:jc w:val="center"/>
            </w:pPr>
            <w:r>
              <w:rPr>
                <w:b/>
                <w:color w:val="FFFFFF"/>
                <w:sz w:val="18"/>
              </w:rPr>
              <w:t xml:space="preserve">Melting Range (C)</w:t>
            </w:r>
          </w:p>
        </w:tc>
        <w:tc>
          <w:tcPr>
            <w:shd w:val="clear" w:color="auto" w:fill="1B3C78"/>
          </w:tcPr>
          <w:p>
            <w:pPr>
              <w:jc w:val="center"/>
            </w:pPr>
            <w:r>
              <w:rPr>
                <w:b/>
                <w:color w:val="FFFFFF"/>
                <w:sz w:val="18"/>
              </w:rPr>
              <w:t xml:space="preserve">Key Benefit</w:t>
            </w:r>
          </w:p>
        </w:tc>
        <w:tc>
          <w:tcPr>
            <w:shd w:val="clear" w:color="auto" w:fill="1B3C78"/>
          </w:tcPr>
          <w:p>
            <w:pPr>
              <w:jc w:val="center"/>
            </w:pPr>
            <w:r>
              <w:rPr>
                <w:b/>
                <w:color w:val="FFFFFF"/>
                <w:sz w:val="18"/>
              </w:rPr>
              <w:t xml:space="preserve">Energy Savings</w:t>
            </w:r>
          </w:p>
        </w:tc>
        <w:tc>
          <w:tcPr>
            <w:shd w:val="clear" w:color="auto" w:fill="1B3C78"/>
          </w:tcPr>
          <w:p>
            <w:pPr>
              <w:jc w:val="center"/>
            </w:pPr>
            <w:r>
              <w:rPr>
                <w:b/>
                <w:color w:val="FFFFFF"/>
                <w:sz w:val="18"/>
              </w:rPr>
              <w:t xml:space="preserve">Status</w:t>
            </w:r>
          </w:p>
        </w:tc>
      </w:tr>
      <w:tr>
        <w:tc>
          <w:p>
            <w:pPr>
              <w:jc w:val="left"/>
            </w:pPr>
            <w:r>
              <w:rPr>
                <w:sz w:val="18"/>
              </w:rPr>
              <w:t xml:space="preserve">Building walls/ceilings</w:t>
            </w:r>
          </w:p>
        </w:tc>
        <w:tc>
          <w:p>
            <w:pPr>
              <w:jc w:val="left"/>
            </w:pPr>
            <w:r>
              <w:rPr>
                <w:sz w:val="18"/>
              </w:rPr>
              <w:t xml:space="preserve">Microencapsulated paraffin</w:t>
            </w:r>
          </w:p>
        </w:tc>
        <w:tc>
          <w:p>
            <w:pPr>
              <w:jc w:val="left"/>
            </w:pPr>
            <w:r>
              <w:rPr>
                <w:sz w:val="18"/>
              </w:rPr>
              <w:t xml:space="preserve">21-26</w:t>
            </w:r>
          </w:p>
        </w:tc>
        <w:tc>
          <w:p>
            <w:pPr>
              <w:jc w:val="left"/>
            </w:pPr>
            <w:r>
              <w:rPr>
                <w:sz w:val="18"/>
              </w:rPr>
              <w:t xml:space="preserve">Reduced peak temperatures</w:t>
            </w:r>
          </w:p>
        </w:tc>
        <w:tc>
          <w:p>
            <w:pPr>
              <w:jc w:val="left"/>
            </w:pPr>
            <w:r>
              <w:rPr>
                <w:sz w:val="18"/>
              </w:rPr>
              <w:t xml:space="preserve">15-30% cooling</w:t>
            </w:r>
          </w:p>
        </w:tc>
        <w:tc>
          <w:p>
            <w:pPr>
              <w:jc w:val="left"/>
            </w:pPr>
            <w:r>
              <w:rPr>
                <w:sz w:val="18"/>
              </w:rPr>
              <w:t xml:space="preserve">Commercial</w:t>
            </w:r>
          </w:p>
        </w:tc>
      </w:tr>
      <w:tr>
        <w:tc>
          <w:p>
            <w:pPr>
              <w:jc w:val="left"/>
            </w:pPr>
            <w:r>
              <w:rPr>
                <w:sz w:val="18"/>
              </w:rPr>
              <w:t xml:space="preserve">Free cooling systems</w:t>
            </w:r>
          </w:p>
        </w:tc>
        <w:tc>
          <w:p>
            <w:pPr>
              <w:jc w:val="left"/>
            </w:pPr>
            <w:r>
              <w:rPr>
                <w:sz w:val="18"/>
              </w:rPr>
              <w:t xml:space="preserve">Salt hydrates, paraffins</w:t>
            </w:r>
          </w:p>
        </w:tc>
        <w:tc>
          <w:p>
            <w:pPr>
              <w:jc w:val="left"/>
            </w:pPr>
            <w:r>
              <w:rPr>
                <w:sz w:val="18"/>
              </w:rPr>
              <w:t xml:space="preserve">18-24</w:t>
            </w:r>
          </w:p>
        </w:tc>
        <w:tc>
          <w:p>
            <w:pPr>
              <w:jc w:val="left"/>
            </w:pPr>
            <w:r>
              <w:rPr>
                <w:sz w:val="18"/>
              </w:rPr>
              <w:t xml:space="preserve">Eliminates daytime AC</w:t>
            </w:r>
          </w:p>
        </w:tc>
        <w:tc>
          <w:p>
            <w:pPr>
              <w:jc w:val="left"/>
            </w:pPr>
            <w:r>
              <w:rPr>
                <w:sz w:val="18"/>
              </w:rPr>
              <w:t xml:space="preserve">30-50% cooling</w:t>
            </w:r>
          </w:p>
        </w:tc>
        <w:tc>
          <w:p>
            <w:pPr>
              <w:jc w:val="left"/>
            </w:pPr>
            <w:r>
              <w:rPr>
                <w:sz w:val="18"/>
              </w:rPr>
              <w:t xml:space="preserve">Demo/Commercial</w:t>
            </w:r>
          </w:p>
        </w:tc>
      </w:tr>
      <w:tr>
        <w:tc>
          <w:p>
            <w:pPr>
              <w:jc w:val="left"/>
            </w:pPr>
            <w:r>
              <w:rPr>
                <w:sz w:val="18"/>
              </w:rPr>
              <w:t xml:space="preserve">Solar water heating</w:t>
            </w:r>
          </w:p>
        </w:tc>
        <w:tc>
          <w:p>
            <w:pPr>
              <w:jc w:val="left"/>
            </w:pPr>
            <w:r>
              <w:rPr>
                <w:sz w:val="18"/>
              </w:rPr>
              <w:t xml:space="preserve">Paraffins, fatty acids</w:t>
            </w:r>
          </w:p>
        </w:tc>
        <w:tc>
          <w:p>
            <w:pPr>
              <w:jc w:val="left"/>
            </w:pPr>
            <w:r>
              <w:rPr>
                <w:sz w:val="18"/>
              </w:rPr>
              <w:t xml:space="preserve">45-60</w:t>
            </w:r>
          </w:p>
        </w:tc>
        <w:tc>
          <w:p>
            <w:pPr>
              <w:jc w:val="left"/>
            </w:pPr>
            <w:r>
              <w:rPr>
                <w:sz w:val="18"/>
              </w:rPr>
              <w:t xml:space="preserve">Increased storage capacity</w:t>
            </w:r>
          </w:p>
        </w:tc>
        <w:tc>
          <w:p>
            <w:pPr>
              <w:jc w:val="left"/>
            </w:pPr>
            <w:r>
              <w:rPr>
                <w:sz w:val="18"/>
              </w:rPr>
              <w:t xml:space="preserve">20-40% higher solar fraction</w:t>
            </w:r>
          </w:p>
        </w:tc>
        <w:tc>
          <w:p>
            <w:pPr>
              <w:jc w:val="left"/>
            </w:pPr>
            <w:r>
              <w:rPr>
                <w:sz w:val="18"/>
              </w:rPr>
              <w:t xml:space="preserve">Commercial</w:t>
            </w:r>
          </w:p>
        </w:tc>
      </w:tr>
      <w:tr>
        <w:tc>
          <w:p>
            <w:pPr>
              <w:jc w:val="left"/>
            </w:pPr>
            <w:r>
              <w:rPr>
                <w:sz w:val="18"/>
              </w:rPr>
              <w:t xml:space="preserve">Concentrated solar power</w:t>
            </w:r>
          </w:p>
        </w:tc>
        <w:tc>
          <w:p>
            <w:pPr>
              <w:jc w:val="left"/>
            </w:pPr>
            <w:r>
              <w:rPr>
                <w:sz w:val="18"/>
              </w:rPr>
              <w:t xml:space="preserve">Molten salts, NaNO3</w:t>
            </w:r>
          </w:p>
        </w:tc>
        <w:tc>
          <w:p>
            <w:pPr>
              <w:jc w:val="left"/>
            </w:pPr>
            <w:r>
              <w:rPr>
                <w:sz w:val="18"/>
              </w:rPr>
              <w:t xml:space="preserve">250-550</w:t>
            </w:r>
          </w:p>
        </w:tc>
        <w:tc>
          <w:p>
            <w:pPr>
              <w:jc w:val="left"/>
            </w:pPr>
            <w:r>
              <w:rPr>
                <w:sz w:val="18"/>
              </w:rPr>
              <w:t xml:space="preserve">Dispatchable power</w:t>
            </w:r>
          </w:p>
        </w:tc>
        <w:tc>
          <w:p>
            <w:pPr>
              <w:jc w:val="left"/>
            </w:pPr>
            <w:r>
              <w:rPr>
                <w:sz w:val="18"/>
              </w:rPr>
              <w:t xml:space="preserve">20-40% cost reduction</w:t>
            </w:r>
          </w:p>
        </w:tc>
        <w:tc>
          <w:p>
            <w:pPr>
              <w:jc w:val="left"/>
            </w:pPr>
            <w:r>
              <w:rPr>
                <w:sz w:val="18"/>
              </w:rPr>
              <w:t xml:space="preserve">Pilot/Demo</w:t>
            </w:r>
          </w:p>
        </w:tc>
      </w:tr>
      <w:tr>
        <w:tc>
          <w:p>
            <w:pPr>
              <w:jc w:val="left"/>
            </w:pPr>
            <w:r>
              <w:rPr>
                <w:sz w:val="18"/>
              </w:rPr>
              <w:t xml:space="preserve">Battery thermal mgmt</w:t>
            </w:r>
          </w:p>
        </w:tc>
        <w:tc>
          <w:p>
            <w:pPr>
              <w:jc w:val="left"/>
            </w:pPr>
            <w:r>
              <w:rPr>
                <w:sz w:val="18"/>
              </w:rPr>
              <w:t xml:space="preserve">Paraffin/EG composites</w:t>
            </w:r>
          </w:p>
        </w:tc>
        <w:tc>
          <w:p>
            <w:pPr>
              <w:jc w:val="left"/>
            </w:pPr>
            <w:r>
              <w:rPr>
                <w:sz w:val="18"/>
              </w:rPr>
              <w:t xml:space="preserve">35-45</w:t>
            </w:r>
          </w:p>
        </w:tc>
        <w:tc>
          <w:p>
            <w:pPr>
              <w:jc w:val="left"/>
            </w:pPr>
            <w:r>
              <w:rPr>
                <w:sz w:val="18"/>
              </w:rPr>
              <w:t xml:space="preserve">Temperature uniformity</w:t>
            </w:r>
          </w:p>
        </w:tc>
        <w:tc>
          <w:p>
            <w:pPr>
              <w:jc w:val="left"/>
            </w:pPr>
            <w:r>
              <w:rPr>
                <w:sz w:val="18"/>
              </w:rPr>
              <w:t xml:space="preserve">Extended battery life</w:t>
            </w:r>
          </w:p>
        </w:tc>
        <w:tc>
          <w:p>
            <w:pPr>
              <w:jc w:val="left"/>
            </w:pPr>
            <w:r>
              <w:rPr>
                <w:sz w:val="18"/>
              </w:rPr>
              <w:t xml:space="preserve">R&amp;D/Demo</w:t>
            </w:r>
          </w:p>
        </w:tc>
      </w:tr>
      <w:tr>
        <w:tc>
          <w:p>
            <w:pPr>
              <w:jc w:val="left"/>
            </w:pPr>
            <w:r>
              <w:rPr>
                <w:sz w:val="18"/>
              </w:rPr>
              <w:t xml:space="preserve">Electronics cooling</w:t>
            </w:r>
          </w:p>
        </w:tc>
        <w:tc>
          <w:p>
            <w:pPr>
              <w:jc w:val="left"/>
            </w:pPr>
            <w:r>
              <w:rPr>
                <w:sz w:val="18"/>
              </w:rPr>
              <w:t xml:space="preserve">Paraffin, gallium</w:t>
            </w:r>
          </w:p>
        </w:tc>
        <w:tc>
          <w:p>
            <w:pPr>
              <w:jc w:val="left"/>
            </w:pPr>
            <w:r>
              <w:rPr>
                <w:sz w:val="18"/>
              </w:rPr>
              <w:t xml:space="preserve">40-70</w:t>
            </w:r>
          </w:p>
        </w:tc>
        <w:tc>
          <w:p>
            <w:pPr>
              <w:jc w:val="left"/>
            </w:pPr>
            <w:r>
              <w:rPr>
                <w:sz w:val="18"/>
              </w:rPr>
              <w:t xml:space="preserve">Absorbs heat spikes</w:t>
            </w:r>
          </w:p>
        </w:tc>
        <w:tc>
          <w:p>
            <w:pPr>
              <w:jc w:val="left"/>
            </w:pPr>
            <w:r>
              <w:rPr>
                <w:sz w:val="18"/>
              </w:rPr>
              <w:t xml:space="preserve">Prevents throttling</w:t>
            </w:r>
          </w:p>
        </w:tc>
        <w:tc>
          <w:p>
            <w:pPr>
              <w:jc w:val="left"/>
            </w:pPr>
            <w:r>
              <w:rPr>
                <w:sz w:val="18"/>
              </w:rPr>
              <w:t xml:space="preserve">Commercial</w:t>
            </w:r>
          </w:p>
        </w:tc>
      </w:tr>
      <w:tr>
        <w:tc>
          <w:p>
            <w:pPr>
              <w:jc w:val="left"/>
            </w:pPr>
            <w:r>
              <w:rPr>
                <w:sz w:val="18"/>
              </w:rPr>
              <w:t xml:space="preserve">Cold chain logistics</w:t>
            </w:r>
          </w:p>
        </w:tc>
        <w:tc>
          <w:p>
            <w:pPr>
              <w:jc w:val="left"/>
            </w:pPr>
            <w:r>
              <w:rPr>
                <w:sz w:val="18"/>
              </w:rPr>
              <w:t xml:space="preserve">Eutectic salts, organics</w:t>
            </w:r>
          </w:p>
        </w:tc>
        <w:tc>
          <w:p>
            <w:pPr>
              <w:jc w:val="left"/>
            </w:pPr>
            <w:r>
              <w:rPr>
                <w:sz w:val="18"/>
              </w:rPr>
              <w:t xml:space="preserve">2-8 / 15-25</w:t>
            </w:r>
          </w:p>
        </w:tc>
        <w:tc>
          <w:p>
            <w:pPr>
              <w:jc w:val="left"/>
            </w:pPr>
            <w:r>
              <w:rPr>
                <w:sz w:val="18"/>
              </w:rPr>
              <w:t xml:space="preserve">Passive temperature control</w:t>
            </w:r>
          </w:p>
        </w:tc>
        <w:tc>
          <w:p>
            <w:pPr>
              <w:jc w:val="left"/>
            </w:pPr>
            <w:r>
              <w:rPr>
                <w:sz w:val="18"/>
              </w:rPr>
              <w:t xml:space="preserve">Eliminates active cooling</w:t>
            </w:r>
          </w:p>
        </w:tc>
        <w:tc>
          <w:p>
            <w:pPr>
              <w:jc w:val="left"/>
            </w:pPr>
            <w:r>
              <w:rPr>
                <w:sz w:val="18"/>
              </w:rPr>
              <w:t xml:space="preserve">Commercial</w:t>
            </w:r>
          </w:p>
        </w:tc>
      </w:tr>
      <w:tr>
        <w:tc>
          <w:p>
            <w:pPr>
              <w:jc w:val="left"/>
            </w:pPr>
            <w:r>
              <w:rPr>
                <w:sz w:val="18"/>
              </w:rPr>
              <w:t xml:space="preserve">Smart textiles</w:t>
            </w:r>
          </w:p>
        </w:tc>
        <w:tc>
          <w:p>
            <w:pPr>
              <w:jc w:val="left"/>
            </w:pPr>
            <w:r>
              <w:rPr>
                <w:sz w:val="18"/>
              </w:rPr>
              <w:t xml:space="preserve">Microencapsulated paraffin</w:t>
            </w:r>
          </w:p>
        </w:tc>
        <w:tc>
          <w:p>
            <w:pPr>
              <w:jc w:val="left"/>
            </w:pPr>
            <w:r>
              <w:rPr>
                <w:sz w:val="18"/>
              </w:rPr>
              <w:t xml:space="preserve">28-33</w:t>
            </w:r>
          </w:p>
        </w:tc>
        <w:tc>
          <w:p>
            <w:pPr>
              <w:jc w:val="left"/>
            </w:pPr>
            <w:r>
              <w:rPr>
                <w:sz w:val="18"/>
              </w:rPr>
              <w:t xml:space="preserve">Dynamic thermal comfort</w:t>
            </w:r>
          </w:p>
        </w:tc>
        <w:tc>
          <w:p>
            <w:pPr>
              <w:jc w:val="left"/>
            </w:pPr>
            <w:r>
              <w:rPr>
                <w:sz w:val="18"/>
              </w:rPr>
              <w:t xml:space="preserve">Personal energy savings</w:t>
            </w:r>
          </w:p>
        </w:tc>
        <w:tc>
          <w:p>
            <w:pPr>
              <w:jc w:val="left"/>
            </w:pPr>
            <w:r>
              <w:rPr>
                <w:sz w:val="18"/>
              </w:rPr>
              <w:t xml:space="preserve">Commercial</w:t>
            </w:r>
          </w:p>
        </w:tc>
      </w:tr>
      <w:tr>
        <w:tc>
          <w:p>
            <w:pPr>
              <w:jc w:val="left"/>
            </w:pPr>
            <w:r>
              <w:rPr>
                <w:sz w:val="18"/>
              </w:rPr>
              <w:t xml:space="preserve">Aerospace</w:t>
            </w:r>
          </w:p>
        </w:tc>
        <w:tc>
          <w:p>
            <w:pPr>
              <w:jc w:val="left"/>
            </w:pPr>
            <w:r>
              <w:rPr>
                <w:sz w:val="18"/>
              </w:rPr>
              <w:t xml:space="preserve">Metallic PCMs, salts</w:t>
            </w:r>
          </w:p>
        </w:tc>
        <w:tc>
          <w:p>
            <w:pPr>
              <w:jc w:val="left"/>
            </w:pPr>
            <w:r>
              <w:rPr>
                <w:sz w:val="18"/>
              </w:rPr>
              <w:t xml:space="preserve">Wide range</w:t>
            </w:r>
          </w:p>
        </w:tc>
        <w:tc>
          <w:p>
            <w:pPr>
              <w:jc w:val="left"/>
            </w:pPr>
            <w:r>
              <w:rPr>
                <w:sz w:val="18"/>
              </w:rPr>
              <w:t xml:space="preserve">Temperature moderation</w:t>
            </w:r>
          </w:p>
        </w:tc>
        <w:tc>
          <w:p>
            <w:pPr>
              <w:jc w:val="left"/>
            </w:pPr>
            <w:r>
              <w:rPr>
                <w:sz w:val="18"/>
              </w:rPr>
              <w:t xml:space="preserve">Protects equipment</w:t>
            </w:r>
          </w:p>
        </w:tc>
        <w:tc>
          <w:p>
            <w:pPr>
              <w:jc w:val="left"/>
            </w:pPr>
            <w:r>
              <w:rPr>
                <w:sz w:val="18"/>
              </w:rPr>
              <w:t xml:space="preserve">Specialized</w:t>
            </w:r>
          </w:p>
        </w:tc>
      </w:tr>
    </w:tbl>
    <w:p/>
    <w:p>
      <w:pPr>
        <w:pStyle w:val="Heading1"/>
      </w:pPr>
      <w:r>
        <w:rPr>
          <w:b/>
        </w:rPr>
        <w:t xml:space="preserve">Section 4: Environmental Impact, Life Cycle Assessment, and Future Directions</w:t>
      </w:r>
    </w:p>
    <w:p>
      <w:pPr>
        <w:pStyle w:val="Heading2"/>
      </w:pPr>
      <w:r>
        <w:rPr>
          <w:b/>
        </w:rPr>
        <w:t xml:space="preserve">4.1 Life Cycle Assessment and Sustainability of PCMs</w:t>
      </w:r>
    </w:p>
    <w:p>
      <w:pPr/>
      <w:r>
        <w:rPr/>
        <w:t xml:space="preserve">As PCM technologies transition from laboratory research to large-scale commercial deployment, a comprehensive understanding of their environmental footprint becomes essential [1]. Life cycle assessment (LCA) provides a systematic framework for evaluating environmental impacts across all stages of a product life, from raw material extraction through manufacturing, use, and end-of-life disposal or recycling [6].</w:t>
      </w:r>
    </w:p>
    <w:p>
      <w:pPr/>
      <w:r>
        <w:rPr/>
        <w:t xml:space="preserve">Environmental Impact Across the Life Cycle varies significantly depending on the PCM type, production method, and application context [28, 26, 31]. Petroleum-derived paraffin waxes carry embodied energy of 50-80 MJ/kg and carbon footprints of 2.5-4.0 kg CO2/kg, reflecting the energy-intensive refining processes involved in their production. Bio-based organic PCMs derived from renewable feedstocks such as coconut oil, palm oil derivatives, or waste cooking oils offer substantially lower environmental impacts, with embodied energies of 20-40 MJ/kg [29, 30]. Inorganic salt hydrates generally have the lowest production-phase environmental impact due to the abundance and minimal processing requirements of their constituent materials [33].</w:t>
      </w:r>
    </w:p>
    <w:p>
      <w:pPr/>
      <w:r>
        <w:rPr/>
        <w:t xml:space="preserve">For building-integrated PCMs, studies have demonstrated net energy savings of 15-40% for heating and cooling over building lifetimes of 20-50 years [75, 76]. The payback period for the environmental investment in PCM production is typically 2-5 years, after which the system provides net environmental benefits for the remainder of its operational life [19].</w:t>
      </w:r>
    </w:p>
    <w:p>
      <w:pPr/>
      <w:r>
        <w:rPr/>
        <w:t xml:space="preserve">Economic Feasibility and Cost-Benefit Analysis are inextricably linked to environmental sustainability [36]. Pure organic PCMs cost 5-50 USD/kg, salt hydrates 1-10 USD/kg, and microencapsulated PCMs 20-100 USD/kg [33, 65]. The total system cost including containment, heat exchangers, and integration represents 2-5 times the raw material cost.</w:t>
      </w:r>
    </w:p>
    <w:p>
      <w:pPr/>
      <w:r>
        <w:rPr/>
        <w:t xml:space="preserve">Contribution to Sustainable Development Goals - PCMs contribute directly to SDG 7 (Affordable and Clean Energy) by enabling more efficient use of renewable energy sources, SDG 13 (Climate Action) through reduced greenhouse gas emissions from buildings and industry, SDG 11 (Sustainable Cities) by improving urban energy infrastructure, and SDG 9 (Industry, Innovation and Infrastructure) through advanced material development [7, 8, 9, 21].</w:t>
      </w:r>
    </w:p>
    <w:p>
      <w:pPr/>
      <w:r>
        <w:rPr/>
        <w:t xml:space="preserve">Bio-Based and Recycled PCMs derived from renewable feedstocks offer reduced petroleum dependence and improved environmental profiles [29, 30, 44]. Research into waste-derived PCMs, including those from used cooking oils, industrial by-products, and agricultural residues, represents a promising pathway toward circular economy integration.</w:t>
      </w:r>
    </w:p>
    <w:p>
      <w:pPr>
        <w:jc w:val="center"/>
      </w:pPr>
      <w:r>
        <w:rPr>
          <w:b/>
          <w:sz w:val="20"/>
          <w:szCs w:val="20"/>
        </w:rPr>
        <w:t xml:space="preserve">Table 7: Life Cycle Comparison of PCM Categories</w:t>
      </w:r>
    </w:p>
    <w:tbl>
      <w:tblPr>
        <w:tblStyle w:val="TableGrid"/>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shd w:val="clear" w:color="auto" w:fill="1B3C78"/>
          </w:tcPr>
          <w:p>
            <w:pPr>
              <w:jc w:val="center"/>
            </w:pPr>
            <w:r>
              <w:rPr>
                <w:b/>
                <w:color w:val="FFFFFF"/>
                <w:sz w:val="18"/>
              </w:rPr>
              <w:t xml:space="preserve">Assessment Criterion</w:t>
            </w:r>
          </w:p>
        </w:tc>
        <w:tc>
          <w:tcPr>
            <w:shd w:val="clear" w:color="auto" w:fill="1B3C78"/>
          </w:tcPr>
          <w:p>
            <w:pPr>
              <w:jc w:val="center"/>
            </w:pPr>
            <w:r>
              <w:rPr>
                <w:b/>
                <w:color w:val="FFFFFF"/>
                <w:sz w:val="18"/>
              </w:rPr>
              <w:t xml:space="preserve">Organic (Paraffin)</w:t>
            </w:r>
          </w:p>
        </w:tc>
        <w:tc>
          <w:tcPr>
            <w:shd w:val="clear" w:color="auto" w:fill="1B3C78"/>
          </w:tcPr>
          <w:p>
            <w:pPr>
              <w:jc w:val="center"/>
            </w:pPr>
            <w:r>
              <w:rPr>
                <w:b/>
                <w:color w:val="FFFFFF"/>
                <w:sz w:val="18"/>
              </w:rPr>
              <w:t xml:space="preserve">Organic (Bio-based)</w:t>
            </w:r>
          </w:p>
        </w:tc>
        <w:tc>
          <w:tcPr>
            <w:shd w:val="clear" w:color="auto" w:fill="1B3C78"/>
          </w:tcPr>
          <w:p>
            <w:pPr>
              <w:jc w:val="center"/>
            </w:pPr>
            <w:r>
              <w:rPr>
                <w:b/>
                <w:color w:val="FFFFFF"/>
                <w:sz w:val="18"/>
              </w:rPr>
              <w:t xml:space="preserve">Inorganic (Salt Hydrate)</w:t>
            </w:r>
          </w:p>
        </w:tc>
        <w:tc>
          <w:tcPr>
            <w:shd w:val="clear" w:color="auto" w:fill="1B3C78"/>
          </w:tcPr>
          <w:p>
            <w:pPr>
              <w:jc w:val="center"/>
            </w:pPr>
            <w:r>
              <w:rPr>
                <w:b/>
                <w:color w:val="FFFFFF"/>
                <w:sz w:val="18"/>
              </w:rPr>
              <w:t xml:space="preserve">Eutectic</w:t>
            </w:r>
          </w:p>
        </w:tc>
      </w:tr>
      <w:tr>
        <w:tc>
          <w:p>
            <w:pPr>
              <w:jc w:val="left"/>
            </w:pPr>
            <w:r>
              <w:rPr>
                <w:sz w:val="18"/>
              </w:rPr>
              <w:t xml:space="preserve">Raw material source</w:t>
            </w:r>
          </w:p>
        </w:tc>
        <w:tc>
          <w:p>
            <w:pPr>
              <w:jc w:val="left"/>
            </w:pPr>
            <w:r>
              <w:rPr>
                <w:sz w:val="18"/>
              </w:rPr>
              <w:t xml:space="preserve">Petroleum-derived</w:t>
            </w:r>
          </w:p>
        </w:tc>
        <w:tc>
          <w:p>
            <w:pPr>
              <w:jc w:val="left"/>
            </w:pPr>
            <w:r>
              <w:rPr>
                <w:sz w:val="18"/>
              </w:rPr>
              <w:t xml:space="preserve">Renewable biomass</w:t>
            </w:r>
          </w:p>
        </w:tc>
        <w:tc>
          <w:p>
            <w:pPr>
              <w:jc w:val="left"/>
            </w:pPr>
            <w:r>
              <w:rPr>
                <w:sz w:val="18"/>
              </w:rPr>
              <w:t xml:space="preserve">Mineral mining</w:t>
            </w:r>
          </w:p>
        </w:tc>
        <w:tc>
          <w:p>
            <w:pPr>
              <w:jc w:val="left"/>
            </w:pPr>
            <w:r>
              <w:rPr>
                <w:sz w:val="18"/>
              </w:rPr>
              <w:t xml:space="preserve">Mixed sources</w:t>
            </w:r>
          </w:p>
        </w:tc>
      </w:tr>
      <w:tr>
        <w:tc>
          <w:p>
            <w:pPr>
              <w:jc w:val="left"/>
            </w:pPr>
            <w:r>
              <w:rPr>
                <w:sz w:val="18"/>
              </w:rPr>
              <w:t xml:space="preserve">Embodied energy (MJ/kg)</w:t>
            </w:r>
          </w:p>
        </w:tc>
        <w:tc>
          <w:p>
            <w:pPr>
              <w:jc w:val="left"/>
            </w:pPr>
            <w:r>
              <w:rPr>
                <w:sz w:val="18"/>
              </w:rPr>
              <w:t xml:space="preserve">50-80</w:t>
            </w:r>
          </w:p>
        </w:tc>
        <w:tc>
          <w:p>
            <w:pPr>
              <w:jc w:val="left"/>
            </w:pPr>
            <w:r>
              <w:rPr>
                <w:sz w:val="18"/>
              </w:rPr>
              <w:t xml:space="preserve">20-40</w:t>
            </w:r>
          </w:p>
        </w:tc>
        <w:tc>
          <w:p>
            <w:pPr>
              <w:jc w:val="left"/>
            </w:pPr>
            <w:r>
              <w:rPr>
                <w:sz w:val="18"/>
              </w:rPr>
              <w:t xml:space="preserve">10-30</w:t>
            </w:r>
          </w:p>
        </w:tc>
        <w:tc>
          <w:p>
            <w:pPr>
              <w:jc w:val="left"/>
            </w:pPr>
            <w:r>
              <w:rPr>
                <w:sz w:val="18"/>
              </w:rPr>
              <w:t xml:space="preserve">30-60</w:t>
            </w:r>
          </w:p>
        </w:tc>
      </w:tr>
      <w:tr>
        <w:tc>
          <w:p>
            <w:pPr>
              <w:jc w:val="left"/>
            </w:pPr>
            <w:r>
              <w:rPr>
                <w:sz w:val="18"/>
              </w:rPr>
              <w:t xml:space="preserve">CO2 footprint (kg CO2/kg)</w:t>
            </w:r>
          </w:p>
        </w:tc>
        <w:tc>
          <w:p>
            <w:pPr>
              <w:jc w:val="left"/>
            </w:pPr>
            <w:r>
              <w:rPr>
                <w:sz w:val="18"/>
              </w:rPr>
              <w:t xml:space="preserve">2.5-4.0</w:t>
            </w:r>
          </w:p>
        </w:tc>
        <w:tc>
          <w:p>
            <w:pPr>
              <w:jc w:val="left"/>
            </w:pPr>
            <w:r>
              <w:rPr>
                <w:sz w:val="18"/>
              </w:rPr>
              <w:t xml:space="preserve">0.5-1.5</w:t>
            </w:r>
          </w:p>
        </w:tc>
        <w:tc>
          <w:p>
            <w:pPr>
              <w:jc w:val="left"/>
            </w:pPr>
            <w:r>
              <w:rPr>
                <w:sz w:val="18"/>
              </w:rPr>
              <w:t xml:space="preserve">0.8-2.0</w:t>
            </w:r>
          </w:p>
        </w:tc>
        <w:tc>
          <w:p>
            <w:pPr>
              <w:jc w:val="left"/>
            </w:pPr>
            <w:r>
              <w:rPr>
                <w:sz w:val="18"/>
              </w:rPr>
              <w:t xml:space="preserve">1.5-3.0</w:t>
            </w:r>
          </w:p>
        </w:tc>
      </w:tr>
      <w:tr>
        <w:tc>
          <w:p>
            <w:pPr>
              <w:jc w:val="left"/>
            </w:pPr>
            <w:r>
              <w:rPr>
                <w:sz w:val="18"/>
              </w:rPr>
              <w:t xml:space="preserve">Recyclability</w:t>
            </w:r>
          </w:p>
        </w:tc>
        <w:tc>
          <w:p>
            <w:pPr>
              <w:jc w:val="left"/>
            </w:pPr>
            <w:r>
              <w:rPr>
                <w:sz w:val="18"/>
              </w:rPr>
              <w:t xml:space="preserve">Moderate</w:t>
            </w:r>
          </w:p>
        </w:tc>
        <w:tc>
          <w:p>
            <w:pPr>
              <w:jc w:val="left"/>
            </w:pPr>
            <w:r>
              <w:rPr>
                <w:sz w:val="18"/>
              </w:rPr>
              <w:t xml:space="preserve">Good</w:t>
            </w:r>
          </w:p>
        </w:tc>
        <w:tc>
          <w:p>
            <w:pPr>
              <w:jc w:val="left"/>
            </w:pPr>
            <w:r>
              <w:rPr>
                <w:sz w:val="18"/>
              </w:rPr>
              <w:t xml:space="preserve">Limited</w:t>
            </w:r>
          </w:p>
        </w:tc>
        <w:tc>
          <w:p>
            <w:pPr>
              <w:jc w:val="left"/>
            </w:pPr>
            <w:r>
              <w:rPr>
                <w:sz w:val="18"/>
              </w:rPr>
              <w:t xml:space="preserve">Limited</w:t>
            </w:r>
          </w:p>
        </w:tc>
      </w:tr>
      <w:tr>
        <w:tc>
          <w:p>
            <w:pPr>
              <w:jc w:val="left"/>
            </w:pPr>
            <w:r>
              <w:rPr>
                <w:sz w:val="18"/>
              </w:rPr>
              <w:t xml:space="preserve">Toxicity</w:t>
            </w:r>
          </w:p>
        </w:tc>
        <w:tc>
          <w:p>
            <w:pPr>
              <w:jc w:val="left"/>
            </w:pPr>
            <w:r>
              <w:rPr>
                <w:sz w:val="18"/>
              </w:rPr>
              <w:t xml:space="preserve">Low</w:t>
            </w:r>
          </w:p>
        </w:tc>
        <w:tc>
          <w:p>
            <w:pPr>
              <w:jc w:val="left"/>
            </w:pPr>
            <w:r>
              <w:rPr>
                <w:sz w:val="18"/>
              </w:rPr>
              <w:t xml:space="preserve">Very low</w:t>
            </w:r>
          </w:p>
        </w:tc>
        <w:tc>
          <w:p>
            <w:pPr>
              <w:jc w:val="left"/>
            </w:pPr>
            <w:r>
              <w:rPr>
                <w:sz w:val="18"/>
              </w:rPr>
              <w:t xml:space="preserve">Low-Moderate</w:t>
            </w:r>
          </w:p>
        </w:tc>
        <w:tc>
          <w:p>
            <w:pPr>
              <w:jc w:val="left"/>
            </w:pPr>
            <w:r>
              <w:rPr>
                <w:sz w:val="18"/>
              </w:rPr>
              <w:t xml:space="preserve">Variable</w:t>
            </w:r>
          </w:p>
        </w:tc>
      </w:tr>
      <w:tr>
        <w:tc>
          <w:p>
            <w:pPr>
              <w:jc w:val="left"/>
            </w:pPr>
            <w:r>
              <w:rPr>
                <w:sz w:val="18"/>
              </w:rPr>
              <w:t xml:space="preserve">Cycling life (cycles)</w:t>
            </w:r>
          </w:p>
        </w:tc>
        <w:tc>
          <w:p>
            <w:pPr>
              <w:jc w:val="left"/>
            </w:pPr>
            <w:r>
              <w:rPr>
                <w:sz w:val="18"/>
              </w:rPr>
              <w:t xml:space="preserve">1000-5000</w:t>
            </w:r>
          </w:p>
        </w:tc>
        <w:tc>
          <w:p>
            <w:pPr>
              <w:jc w:val="left"/>
            </w:pPr>
            <w:r>
              <w:rPr>
                <w:sz w:val="18"/>
              </w:rPr>
              <w:t xml:space="preserve">500-2000</w:t>
            </w:r>
          </w:p>
        </w:tc>
        <w:tc>
          <w:p>
            <w:pPr>
              <w:jc w:val="left"/>
            </w:pPr>
            <w:r>
              <w:rPr>
                <w:sz w:val="18"/>
              </w:rPr>
              <w:t xml:space="preserve">500-2000*</w:t>
            </w:r>
          </w:p>
        </w:tc>
        <w:tc>
          <w:p>
            <w:pPr>
              <w:jc w:val="left"/>
            </w:pPr>
            <w:r>
              <w:rPr>
                <w:sz w:val="18"/>
              </w:rPr>
              <w:t xml:space="preserve">500-3000</w:t>
            </w:r>
          </w:p>
        </w:tc>
      </w:tr>
      <w:tr>
        <w:tc>
          <w:p>
            <w:pPr>
              <w:jc w:val="left"/>
            </w:pPr>
            <w:r>
              <w:rPr>
                <w:sz w:val="18"/>
              </w:rPr>
              <w:t xml:space="preserve">Cost (USD/kg)</w:t>
            </w:r>
          </w:p>
        </w:tc>
        <w:tc>
          <w:p>
            <w:pPr>
              <w:jc w:val="left"/>
            </w:pPr>
            <w:r>
              <w:rPr>
                <w:sz w:val="18"/>
              </w:rPr>
              <w:t xml:space="preserve">5-50</w:t>
            </w:r>
          </w:p>
        </w:tc>
        <w:tc>
          <w:p>
            <w:pPr>
              <w:jc w:val="left"/>
            </w:pPr>
            <w:r>
              <w:rPr>
                <w:sz w:val="18"/>
              </w:rPr>
              <w:t xml:space="preserve">3-20</w:t>
            </w:r>
          </w:p>
        </w:tc>
        <w:tc>
          <w:p>
            <w:pPr>
              <w:jc w:val="left"/>
            </w:pPr>
            <w:r>
              <w:rPr>
                <w:sz w:val="18"/>
              </w:rPr>
              <w:t xml:space="preserve">1-10</w:t>
            </w:r>
          </w:p>
        </w:tc>
        <w:tc>
          <w:p>
            <w:pPr>
              <w:jc w:val="left"/>
            </w:pPr>
            <w:r>
              <w:rPr>
                <w:sz w:val="18"/>
              </w:rPr>
              <w:t xml:space="preserve">5-30</w:t>
            </w:r>
          </w:p>
        </w:tc>
      </w:tr>
      <w:tr>
        <w:tc>
          <w:p>
            <w:pPr>
              <w:jc w:val="left"/>
            </w:pPr>
            <w:r>
              <w:rPr>
                <w:sz w:val="18"/>
              </w:rPr>
              <w:t xml:space="preserve">Payback period (years)</w:t>
            </w:r>
          </w:p>
        </w:tc>
        <w:tc>
          <w:p>
            <w:pPr>
              <w:jc w:val="left"/>
            </w:pPr>
            <w:r>
              <w:rPr>
                <w:sz w:val="18"/>
              </w:rPr>
              <w:t xml:space="preserve">2-5</w:t>
            </w:r>
          </w:p>
        </w:tc>
        <w:tc>
          <w:p>
            <w:pPr>
              <w:jc w:val="left"/>
            </w:pPr>
            <w:r>
              <w:rPr>
                <w:sz w:val="18"/>
              </w:rPr>
              <w:t xml:space="preserve">2-4</w:t>
            </w:r>
          </w:p>
        </w:tc>
        <w:tc>
          <w:p>
            <w:pPr>
              <w:jc w:val="left"/>
            </w:pPr>
            <w:r>
              <w:rPr>
                <w:sz w:val="18"/>
              </w:rPr>
              <w:t xml:space="preserve">1-3</w:t>
            </w:r>
          </w:p>
        </w:tc>
        <w:tc>
          <w:p>
            <w:pPr>
              <w:jc w:val="left"/>
            </w:pPr>
            <w:r>
              <w:rPr>
                <w:sz w:val="18"/>
              </w:rPr>
              <w:t xml:space="preserve">3-5</w:t>
            </w:r>
          </w:p>
        </w:tc>
      </w:tr>
    </w:tbl>
    <w:p/>
    <w:p>
      <w:pPr>
        <w:pStyle w:val="Heading2"/>
      </w:pPr>
      <w:r>
        <w:rPr>
          <w:b/>
        </w:rPr>
        <w:t xml:space="preserve">4.2 Emerging Technologies and Smart Integration</w:t>
      </w:r>
    </w:p>
    <w:p>
      <w:pPr/>
      <w:r>
        <w:rPr/>
        <w:t xml:space="preserve">The field of phase change materials is experiencing rapid innovation driven by advances in nanotechnology, materials science, and digital technologies [47].</w:t>
      </w:r>
    </w:p>
    <w:p>
      <w:pPr/>
      <w:r>
        <w:rPr/>
        <w:t xml:space="preserve">Biomimetic PCMs draw inspiration from biological systems that have evolved sophisticated thermal regulation mechanisms over millions of years [66, 67]. Researchers are developing PCMs that mimic the hierarchical porous structures found in natural materials, achieving improved thermal transport and mechanical stability.</w:t>
      </w:r>
    </w:p>
    <w:p>
      <w:pPr/>
      <w:r>
        <w:rPr/>
        <w:t xml:space="preserve">Flexible and Conformable PCMs address the growing demand for thermal management solutions in non-rigid applications such as wearable electronics, flexible displays, and soft robotics [62, 64]. These materials combine the energy storage capability of PCMs with the mechanical flexibility required for integration into deformable substrates.</w:t>
      </w:r>
    </w:p>
    <w:p>
      <w:pPr/>
      <w:r>
        <w:rPr/>
        <w:t xml:space="preserve">Photo-Switchable and Triggerable PCMs represent an exciting frontier in which the energy release from PCMs can be controlled on-demand rather than being solely temperature-driven [53, 55]. These materials incorporate molecular switches that can be activated by light, electrical signals, or mechanical stimuli to trigger crystallization and heat release at predetermined times.</w:t>
      </w:r>
    </w:p>
    <w:p>
      <w:pPr/>
      <w:r>
        <w:rPr/>
        <w:t xml:space="preserve">Integration with IoT and Smart Building Management Systems enables intelligent, predictive control of PCM charging and discharging cycles based on weather forecasts, occupancy patterns, and energy price signals [71, 72, 73]. Machine learning algorithms optimize PCM system operation in real-time, maximizing energy savings and thermal comfort.</w:t>
      </w:r>
    </w:p>
    <w:p>
      <w:pPr/>
      <w:r>
        <w:rPr/>
        <w:t xml:space="preserve">3D-Printed PCM Structures leverage additive manufacturing to create optimized geometries that maximize heat transfer surface area while minimizing material usage [68, 69, 70]. Topology-optimized lattice structures and functionally graded composites can be produced that would be impossible to manufacture using conventional techniques.</w:t>
      </w:r>
    </w:p>
    <w:p>
      <w:pPr>
        <w:pStyle w:val="Heading2"/>
      </w:pPr>
      <w:r>
        <w:rPr>
          <w:b/>
        </w:rPr>
        <w:t xml:space="preserve">4.3 Conclusion: Challenges, Policy, and the Path Forward</w:t>
      </w:r>
    </w:p>
    <w:p>
      <w:pPr/>
      <w:r>
        <w:rPr/>
        <w:t xml:space="preserve">Phase change materials and thermal energy storage technologies offer transformative potential for advancing sustainable development and accelerating the global clean energy transition [1, 3]. The research community has made remarkable progress in addressing the fundamental limitations of PCMs through innovative material engineering, advanced encapsulation techniques, and sophisticated computational design tools.</w:t>
      </w:r>
    </w:p>
    <w:p>
      <w:pPr/>
      <w:r>
        <w:rPr/>
        <w:t xml:space="preserve">Remaining Technical Challenges include the need for PCMs that simultaneously offer high latent heat, adequate thermal conductivity, long-term stability, and low cost [37, 46]. While individual solutions exist for each of these requirements, achieving all objectives simultaneously in a single material system remains elusive. Multi-functional composite PCMs that integrate thermal conductivity enhancement, shape stabilization, and fire retardancy within a single formulation represent a promising research direction.</w:t>
      </w:r>
    </w:p>
    <w:p>
      <w:pPr/>
      <w:r>
        <w:rPr/>
        <w:t xml:space="preserve">Economic Barriers and Scalable Manufacturing represent significant obstacles to widespread deployment [36, 65, 61]. The transition from laboratory-scale synthesis to industrial production must maintain material quality and consistency while achieving cost targets competitive with conventional energy storage and thermal management solutions.</w:t>
      </w:r>
    </w:p>
    <w:p>
      <w:pPr/>
      <w:r>
        <w:rPr/>
        <w:t xml:space="preserve">Regulatory Frameworks and Standards play a crucial role in supporting PCM technology deployment [45, 76, 75]. The development of standardized testing protocols, performance metrics, and safety certifications is essential for building industry confidence and enabling fair comparison between competing products and technologies.</w:t>
      </w:r>
    </w:p>
    <w:p>
      <w:pPr/>
      <w:r>
        <w:rPr/>
        <w:t xml:space="preserve">Policy Support and Incentives can significantly accelerate PCM deployment [7, 8, 20]. Building energy codes that recognize the thermal storage contribution of PCMs, carbon pricing mechanisms that properly value the emissions reductions achieved, and research funding programs that support scale-up activities can all catalyze market development.</w:t>
      </w:r>
    </w:p>
    <w:p>
      <w:pPr/>
      <w:r>
        <w:rPr/>
        <w:t xml:space="preserve">Interdisciplinary Research and Collaboration will be essential for realizing the full potential of PCM technologies [6, 73, 47]. The convergence of materials science, thermal engineering, architecture, electrical engineering, and data science creates opportunities for breakthrough innovations that no single discipline could achieve independently.</w:t>
      </w:r>
    </w:p>
    <w:p>
      <w:pPr/>
      <w:r>
        <w:rPr/>
        <w:t xml:space="preserve">Strategic Foresight and the Global Energy Transition - the convergence of PCM technology with digital technologies, advanced manufacturing, and circular economy principles positions the field for continued innovation and growing impact on global energy systems [72, 74, 21]. As the world accelerates its transition away from fossil fuels, the ability to store and manage thermal energy efficiently will become increasingly critical, ensuring that PCMs remain at the forefront of sustainable energy technology development for decades to come.</w:t>
      </w:r>
    </w:p>
    <w:p>
      <w:pPr>
        <w:pStyle w:val="Heading1"/>
      </w:pPr>
      <w:r>
        <w:rPr>
          <w:b/>
        </w:rPr>
        <w:t xml:space="preserve">References</w:t>
      </w:r>
    </w:p>
    <w:p>
      <w:pPr/>
      <w:r>
        <w:rPr>
          <w:sz w:val="20"/>
          <w:szCs w:val="20"/>
        </w:rPr>
        <w:t xml:space="preserve">[1] Sharma, A., Tyagi, V. V., Chen, C. R., &amp; Buddhi, D. (2009). Review on thermal energy storage with phase change materials and applications. Renewable and Sustainable Energy Reviews, 13(2), 318-345.</w:t>
      </w:r>
    </w:p>
    <w:p>
      <w:pPr/>
      <w:r>
        <w:rPr>
          <w:sz w:val="20"/>
          <w:szCs w:val="20"/>
        </w:rPr>
        <w:t xml:space="preserve">[2] Kenisarin, M., &amp; Mahkamov, K. (2007). Solar energy storage using phase change materials. Renewable and Sustainable Energy Reviews, 11(9), 1913-1965.</w:t>
      </w:r>
    </w:p>
    <w:p>
      <w:pPr/>
      <w:r>
        <w:rPr>
          <w:sz w:val="20"/>
          <w:szCs w:val="20"/>
        </w:rPr>
        <w:t xml:space="preserve">[3] Zalba, B., Marin, J. M., Cabeza, L. F., &amp; Mehling, H. (2003). Review on thermal energy storage with phase change: Materials, heat transfer analysis and applications. Applied Thermal Engineering, 23(3), 251-283.</w:t>
      </w:r>
    </w:p>
    <w:p>
      <w:pPr/>
      <w:r>
        <w:rPr>
          <w:sz w:val="20"/>
          <w:szCs w:val="20"/>
        </w:rPr>
        <w:t xml:space="preserve">[4] Ling, Z., Zhang, Z., Shi, G., Fang, X., Wang, L., Gao, X., et al. (2014). Review on thermal management systems using PCMs for electronic components, Li-ion batteries and photovoltaic modules. Renewable and Sustainable Energy Reviews, 31, 427-438.</w:t>
      </w:r>
    </w:p>
    <w:p>
      <w:pPr/>
      <w:r>
        <w:rPr>
          <w:sz w:val="20"/>
          <w:szCs w:val="20"/>
        </w:rPr>
        <w:t xml:space="preserve">[5] Cabeza, L. F., Castell, A., Barreneche, C., de Gracia, A., &amp; Fernandez, A. I. (2011). Materials used as PCM in thermal energy storage in buildings: A review. Renewable and Sustainable Energy Reviews, 15(3), 1675-1695.</w:t>
      </w:r>
    </w:p>
    <w:p>
      <w:pPr/>
      <w:r>
        <w:rPr>
          <w:sz w:val="20"/>
          <w:szCs w:val="20"/>
        </w:rPr>
        <w:t xml:space="preserve">[6] Dincer, I., &amp; Rosen, M. A. (2011). Thermal energy storage: Systems and applications (2nd ed.). John Wiley &amp; Sons.</w:t>
      </w:r>
    </w:p>
    <w:p>
      <w:pPr/>
      <w:r>
        <w:rPr>
          <w:sz w:val="20"/>
          <w:szCs w:val="20"/>
        </w:rPr>
        <w:t xml:space="preserve">[7] International Energy Agency. (2014). Technology roadmap: Energy storage. IEA Publications.</w:t>
      </w:r>
    </w:p>
    <w:p>
      <w:pPr/>
      <w:r>
        <w:rPr>
          <w:sz w:val="20"/>
          <w:szCs w:val="20"/>
        </w:rPr>
        <w:t xml:space="preserve">[8] Mahlia, T. M. I., Saktisahdan, T. J., Jannifar, A., Hasan, M. H., &amp; Matseelar, H. S. C. (2014). A review of available methods and development on energy storage: Technology update. Renewable and Sustainable Energy Reviews, 33, 532-545.</w:t>
      </w:r>
    </w:p>
    <w:p>
      <w:pPr/>
      <w:r>
        <w:rPr>
          <w:sz w:val="20"/>
          <w:szCs w:val="20"/>
        </w:rPr>
        <w:t xml:space="preserve">[9] Kuznik, F., David, D., Johannes, K., &amp; Roux, J. J. (2011). A review on phase change materials integrated in building walls. Renewable and Sustainable Energy Reviews, 15(1), 379-391.</w:t>
      </w:r>
    </w:p>
    <w:p>
      <w:pPr/>
      <w:r>
        <w:rPr>
          <w:sz w:val="20"/>
          <w:szCs w:val="20"/>
        </w:rPr>
        <w:t xml:space="preserve">[10] Agyenim, F., Hewitt, N., Eames, P., &amp; Smyth, M. (2010). A review of materials, heat transfer and phase change problem formulation for LHTESS. Renewable and Sustainable Energy Reviews, 14(2), 615-628.</w:t>
      </w:r>
    </w:p>
    <w:p>
      <w:pPr/>
      <w:r>
        <w:rPr>
          <w:sz w:val="20"/>
          <w:szCs w:val="20"/>
        </w:rPr>
        <w:t xml:space="preserve">[11] Gil, A., Medrano, M., Martorell, I., Lazaro, A., Dolado, P., Zalba, B., &amp; Cabeza, L. F. (2010). State of the art on high temperature thermal energy storage for power generation. Part 1. Renewable and Sustainable Energy Reviews, 14(1), 31-55.</w:t>
      </w:r>
    </w:p>
    <w:p>
      <w:pPr/>
      <w:r>
        <w:rPr>
          <w:sz w:val="20"/>
          <w:szCs w:val="20"/>
        </w:rPr>
        <w:t xml:space="preserve">[12] Osterman, E., Tyagi, V. V., Butala, V., Rahim, N. A., &amp; Stritih, U. (2012). Review of PCM based cooling technologies for buildings. Energy and Buildings, 49, 37-49.</w:t>
      </w:r>
    </w:p>
    <w:p>
      <w:pPr/>
      <w:r>
        <w:rPr>
          <w:sz w:val="20"/>
          <w:szCs w:val="20"/>
        </w:rPr>
        <w:t xml:space="preserve">[13] Hasnain, S. M. (1998). Review on sustainable thermal energy storage technologies. Energy Conversion and Management, 39(11), 1127-1138.</w:t>
      </w:r>
    </w:p>
    <w:p>
      <w:pPr/>
      <w:r>
        <w:rPr>
          <w:sz w:val="20"/>
          <w:szCs w:val="20"/>
        </w:rPr>
        <w:t xml:space="preserve">[14] Medrano, M., Gil, A., Martorell, I., Potau, X., &amp; Cabeza, L. F. (2010). State of the art on high-temperature thermal energy storage for power generation. Part 2. Renewable and Sustainable Energy Reviews, 14(1), 56-72.</w:t>
      </w:r>
    </w:p>
    <w:p>
      <w:pPr/>
      <w:r>
        <w:rPr>
          <w:sz w:val="20"/>
          <w:szCs w:val="20"/>
        </w:rPr>
        <w:t xml:space="preserve">[15] Farid, M. M., Khudhair, A. M., Razack, S. A. K., &amp; Al-Hallaj, S. (2004). A review on phase change energy storage: Materials and applications. Energy Conversion and Management, 45(9-10), 1597-1615.</w:t>
      </w:r>
    </w:p>
    <w:p>
      <w:pPr/>
      <w:r>
        <w:rPr>
          <w:sz w:val="20"/>
          <w:szCs w:val="20"/>
        </w:rPr>
        <w:t xml:space="preserve">[16] Pielichowska, K., &amp; Pielichowski, K. (2014). Phase change materials for thermal energy storage. Progress in Materials Science, 65, 67-123.</w:t>
      </w:r>
    </w:p>
    <w:p>
      <w:pPr/>
      <w:r>
        <w:rPr>
          <w:sz w:val="20"/>
          <w:szCs w:val="20"/>
        </w:rPr>
        <w:t xml:space="preserve">[17] Cot-Gores, J., Castell, A., &amp; Cabeza, L. F. (2012). Thermochemical energy storage and conversion: A state-of-the-art review. Renewable and Sustainable Energy Reviews, 16(7), 5207-5224.</w:t>
      </w:r>
    </w:p>
    <w:p>
      <w:pPr/>
      <w:r>
        <w:rPr>
          <w:sz w:val="20"/>
          <w:szCs w:val="20"/>
        </w:rPr>
        <w:t xml:space="preserve">[18] Lazaro, A., Dolado, P., Marin, J. M., &amp; Zalba, B. (2009). PCM-air heat exchangers for free-cooling applications in buildings. Energy Conversion and Management, 50(3), 439-443.</w:t>
      </w:r>
    </w:p>
    <w:p>
      <w:pPr/>
      <w:r>
        <w:rPr>
          <w:sz w:val="20"/>
          <w:szCs w:val="20"/>
        </w:rPr>
        <w:t xml:space="preserve">[19] Soares, N., Costa, J. J., Gaspar, A. R., &amp; Santos, P. (2013). Review of passive PCM latent heat thermal energy storage systems towards buildings energy efficiency. Energy and Buildings, 59, 82-103.</w:t>
      </w:r>
    </w:p>
    <w:p>
      <w:pPr/>
      <w:r>
        <w:rPr>
          <w:sz w:val="20"/>
          <w:szCs w:val="20"/>
        </w:rPr>
        <w:t xml:space="preserve">[20] Navarro, L., de Gracia, A., Niall, D., Castell, A., et al. (2016). Thermal energy storage in building integrated thermal systems: A review. Part 2. Renewable Energy, 85, 1334-1356.</w:t>
      </w:r>
    </w:p>
    <w:p>
      <w:pPr/>
      <w:r>
        <w:rPr>
          <w:sz w:val="20"/>
          <w:szCs w:val="20"/>
        </w:rPr>
        <w:t xml:space="preserve">[21] de Gracia, A., &amp; Cabeza, L. F. (2015). Phase change materials and thermal energy storage for buildings. Energy and Buildings, 103, 414-419.</w:t>
      </w:r>
    </w:p>
    <w:p>
      <w:pPr/>
      <w:r>
        <w:rPr>
          <w:sz w:val="20"/>
          <w:szCs w:val="20"/>
        </w:rPr>
        <w:t xml:space="preserve">[22] Abhat, A. (1983). Low temperature latent heat thermal energy storage: Heat storage materials. Solar Energy, 30(4), 313-332.</w:t>
      </w:r>
    </w:p>
    <w:p>
      <w:pPr/>
      <w:r>
        <w:rPr>
          <w:sz w:val="20"/>
          <w:szCs w:val="20"/>
        </w:rPr>
        <w:t xml:space="preserve">[23] Lane, G. A. (1983). Solar heat storage: Latent heat materials (Vol. 1). CRC Press.</w:t>
      </w:r>
    </w:p>
    <w:p>
      <w:pPr/>
      <w:r>
        <w:rPr>
          <w:sz w:val="20"/>
          <w:szCs w:val="20"/>
        </w:rPr>
        <w:t xml:space="preserve">[24] Mehling, H., &amp; Cabeza, L. F. (2008). Heat and cold storage with PCM: An up to date introduction into basics and applications. Springer.</w:t>
      </w:r>
    </w:p>
    <w:p>
      <w:pPr/>
      <w:r>
        <w:rPr>
          <w:sz w:val="20"/>
          <w:szCs w:val="20"/>
        </w:rPr>
        <w:t xml:space="preserve">[25] Akeiber, H., Nejat, P., Majid, M. Z. A., et al. (2016). A review on PCM for sustainable passive cooling in building envelopes. Renewable and Sustainable Energy Reviews, 60, 1470-1497.</w:t>
      </w:r>
    </w:p>
    <w:p>
      <w:pPr/>
      <w:r>
        <w:rPr>
          <w:sz w:val="20"/>
          <w:szCs w:val="20"/>
        </w:rPr>
        <w:t xml:space="preserve">[26] Himran, S., Suwono, A., &amp; Mansoori, G. A. (1994). Characterization of alkanes and paraffin waxes for application as PCM. Energy Sources, 16(1), 117-128.</w:t>
      </w:r>
    </w:p>
    <w:p>
      <w:pPr/>
      <w:r>
        <w:rPr>
          <w:sz w:val="20"/>
          <w:szCs w:val="20"/>
        </w:rPr>
        <w:t xml:space="preserve">[27] Dimaano, M. N. R., &amp; Watanabe, T. (2002). The capric-lauric acid and pentadecane combination as PCM for cooling applications. Applied Thermal Engineering, 22(4), 365-377.</w:t>
      </w:r>
    </w:p>
    <w:p>
      <w:pPr/>
      <w:r>
        <w:rPr>
          <w:sz w:val="20"/>
          <w:szCs w:val="20"/>
        </w:rPr>
        <w:t xml:space="preserve">[28] Sari, A. (2003). Thermal reliability test of some fatty acids as PCMs for solar thermal latent heat storage. Energy Conversion and Management, 44(14), 2277-2287.</w:t>
      </w:r>
    </w:p>
    <w:p>
      <w:pPr/>
      <w:r>
        <w:rPr>
          <w:sz w:val="20"/>
          <w:szCs w:val="20"/>
        </w:rPr>
        <w:t xml:space="preserve">[29] Yuan, Y., Zhang, N., Tao, W., Cao, X., &amp; He, Y. (2014). Fatty acids as phase change materials: A review. Renewable and Sustainable Energy Reviews, 29, 482-498.</w:t>
      </w:r>
    </w:p>
    <w:p>
      <w:pPr/>
      <w:r>
        <w:rPr>
          <w:sz w:val="20"/>
          <w:szCs w:val="20"/>
        </w:rPr>
        <w:t xml:space="preserve">[30] Karaman, S., Karaipekli, A., Sari, A., &amp; Bicer, A. (2011). PEG/diatomite composite as a novel form-stable PCM for thermal energy storage. Solar Energy Materials and Solar Cells, 95(7), 1647-1653.</w:t>
      </w:r>
    </w:p>
    <w:p>
      <w:pPr/>
      <w:r>
        <w:rPr>
          <w:sz w:val="20"/>
          <w:szCs w:val="20"/>
        </w:rPr>
        <w:t xml:space="preserve">[31] Tyagi, V. V., &amp; Buddhi, D. (2007). PCM thermal storage in buildings: A state of art. Renewable and Sustainable Energy Reviews, 11(6), 1146-1166.</w:t>
      </w:r>
    </w:p>
    <w:p>
      <w:pPr/>
      <w:r>
        <w:rPr>
          <w:sz w:val="20"/>
          <w:szCs w:val="20"/>
        </w:rPr>
        <w:t xml:space="preserve">[32] Oro, E., de Gracia, A., Castell, A., Farid, M. M., &amp; Cabeza, L. F. (2012). Review on PCMs for cold thermal energy storage applications. Applied Energy, 99, 513-533.</w:t>
      </w:r>
    </w:p>
    <w:p>
      <w:pPr/>
      <w:r>
        <w:rPr>
          <w:sz w:val="20"/>
          <w:szCs w:val="20"/>
        </w:rPr>
        <w:t xml:space="preserve">[33] Mohamed, S. A., Al-Sulaiman, F. A., Ibrahim, N. I., et al. (2017). A review on current status and challenges of inorganic PCMs for TES systems. Renewable and Sustainable Energy Reviews, 70, 1072-1089.</w:t>
      </w:r>
    </w:p>
    <w:p>
      <w:pPr/>
      <w:r>
        <w:rPr>
          <w:sz w:val="20"/>
          <w:szCs w:val="20"/>
        </w:rPr>
        <w:t xml:space="preserve">[34] Liu, M., Saman, W., &amp; Bruno, F. (2012). Review on storage materials and thermal performance enhancement for high temperature PCM storage. Renewable and Sustainable Energy Reviews, 16(4), 2118-2132.</w:t>
      </w:r>
    </w:p>
    <w:p>
      <w:pPr/>
      <w:r>
        <w:rPr>
          <w:sz w:val="20"/>
          <w:szCs w:val="20"/>
        </w:rPr>
        <w:t xml:space="preserve">[35] Sharma, R. K., Ganesan, P., Tyagi, V. V., et al. (2015). Developments in organic solid-liquid PCMs and their applications in TES. Energy Conversion and Management, 95, 193-228.</w:t>
      </w:r>
    </w:p>
    <w:p>
      <w:pPr/>
      <w:r>
        <w:rPr>
          <w:sz w:val="20"/>
          <w:szCs w:val="20"/>
        </w:rPr>
        <w:t xml:space="preserve">[36] Kousksou, T., Bruel, P., Jamil, A., El Rhafiki, T., &amp; Zeraouli, Y. (2014). Energy storage: Applications and challenges. Solar Energy Materials and Solar Cells, 120, 59-80.</w:t>
      </w:r>
    </w:p>
    <w:p>
      <w:pPr/>
      <w:r>
        <w:rPr>
          <w:sz w:val="20"/>
          <w:szCs w:val="20"/>
        </w:rPr>
        <w:t xml:space="preserve">[37] Lin, Y., Jia, Y., Alva, G., &amp; Fang, G. (2018). Review on thermal conductivity enhancement of PCMs in thermal energy storage. Renewable and Sustainable Energy Reviews, 82, 2730-2742.</w:t>
      </w:r>
    </w:p>
    <w:p>
      <w:pPr/>
      <w:r>
        <w:rPr>
          <w:sz w:val="20"/>
          <w:szCs w:val="20"/>
        </w:rPr>
        <w:t xml:space="preserve">[38] Fan, L., &amp; Khodadadi, J. M. (2011). Thermal conductivity enhancement of PCMs for thermal energy storage: A review. Renewable and Sustainable Energy Reviews, 15(1), 24-46.</w:t>
      </w:r>
    </w:p>
    <w:p>
      <w:pPr/>
      <w:r>
        <w:rPr>
          <w:sz w:val="20"/>
          <w:szCs w:val="20"/>
        </w:rPr>
        <w:t xml:space="preserve">[39] Dhaidan, N. S., &amp; Khodadadi, J. M. (2015). Melting and convection of PCMs in different shape containers: A review. Renewable and Sustainable Energy Reviews, 43, 449-477.</w:t>
      </w:r>
    </w:p>
    <w:p>
      <w:pPr/>
      <w:r>
        <w:rPr>
          <w:sz w:val="20"/>
          <w:szCs w:val="20"/>
        </w:rPr>
        <w:t xml:space="preserve">[40] Rathod, M. K., &amp; Banerjee, J. (2013). Thermal stability of PCMs used in latent heat energy storage systems: A review. Renewable and Sustainable Energy Reviews, 18, 246-258.</w:t>
      </w:r>
    </w:p>
    <w:p>
      <w:pPr/>
      <w:r>
        <w:rPr>
          <w:sz w:val="20"/>
          <w:szCs w:val="20"/>
        </w:rPr>
        <w:t xml:space="preserve">[41] Cabeza, L. F., Castellon, C., Nogues, M., et al. (2007). Use of microencapsulated PCM in concrete walls for energy savings. Energy and Buildings, 39(2), 113-119.</w:t>
      </w:r>
    </w:p>
    <w:p>
      <w:pPr/>
      <w:r>
        <w:rPr>
          <w:sz w:val="20"/>
          <w:szCs w:val="20"/>
        </w:rPr>
        <w:t xml:space="preserve">[42] Gunther, E., Hiebler, S., Mehling, H., &amp; Redlich, R. (2009). Enthalpy of PCMs as a function of temperature. International Journal of Thermophysics, 30(4), 1257-1269.</w:t>
      </w:r>
    </w:p>
    <w:p>
      <w:pPr/>
      <w:r>
        <w:rPr>
          <w:sz w:val="20"/>
          <w:szCs w:val="20"/>
        </w:rPr>
        <w:t xml:space="preserve">[43] Sari, A., &amp; Karaipekli, A. (2007). Thermal conductivity and latent heat characteristics of paraffin/expanded graphite composite PCM. Applied Thermal Engineering, 27(8-9), 1271-1277.</w:t>
      </w:r>
    </w:p>
    <w:p>
      <w:pPr/>
      <w:r>
        <w:rPr>
          <w:sz w:val="20"/>
          <w:szCs w:val="20"/>
        </w:rPr>
        <w:t xml:space="preserve">[44] Alva, G., Lin, Y., &amp; Fang, G. (2018). An overview of thermal energy storage systems. Energy, 144, 341-378.</w:t>
      </w:r>
    </w:p>
    <w:p>
      <w:pPr/>
      <w:r>
        <w:rPr>
          <w:sz w:val="20"/>
          <w:szCs w:val="20"/>
        </w:rPr>
        <w:t xml:space="preserve">[45] Pandey, A. K., Hossain, M. S., Tyagi, V. V., et al. (2018). Novel approaches and recent developments on potential applications of PCMs in solar energy. Renewable and Sustainable Energy Reviews, 82, 281-323.</w:t>
      </w:r>
    </w:p>
    <w:p>
      <w:pPr/>
      <w:r>
        <w:rPr>
          <w:sz w:val="20"/>
          <w:szCs w:val="20"/>
        </w:rPr>
        <w:t xml:space="preserve">[46] Huang, X., Alva, G., Jia, Y., &amp; Fang, G. (2017). Morphological characterization and applications of PCMs in thermal energy storage: A review. Renewable and Sustainable Energy Reviews, 72, 128-145.</w:t>
      </w:r>
    </w:p>
    <w:p>
      <w:pPr/>
      <w:r>
        <w:rPr>
          <w:sz w:val="20"/>
          <w:szCs w:val="20"/>
        </w:rPr>
        <w:t xml:space="preserve">[47] Milian, Y. E., Gutierrez, A., Grageda, M., &amp; Ushak, S. (2017). A review on encapsulation techniques for inorganic PCMs. Renewable and Sustainable Energy Reviews, 73, 983-999.</w:t>
      </w:r>
    </w:p>
    <w:p>
      <w:pPr/>
      <w:r>
        <w:rPr>
          <w:sz w:val="20"/>
          <w:szCs w:val="20"/>
        </w:rPr>
        <w:t xml:space="preserve">[48] Zhao, C. Y., &amp; Wu, Z. G. (2011). Heat transfer enhancement of high temperature TES using metal foams and expanded graphite. Solar Energy Materials and Solar Cells, 95(2), 636-643.</w:t>
      </w:r>
    </w:p>
    <w:p>
      <w:pPr/>
      <w:r>
        <w:rPr>
          <w:sz w:val="20"/>
          <w:szCs w:val="20"/>
        </w:rPr>
        <w:t xml:space="preserve">[49] Xiao, X., Zhang, P., &amp; Li, M. (2013). Preparation and thermal characterization of paraffin/metal foam composite PCM. Applied Energy, 112, 1357-1366.</w:t>
      </w:r>
    </w:p>
    <w:p>
      <w:pPr/>
      <w:r>
        <w:rPr>
          <w:sz w:val="20"/>
          <w:szCs w:val="20"/>
        </w:rPr>
        <w:t xml:space="preserve">[50] Khodadadi, J. M., &amp; Hosseinizadeh, S. F. (2007). Nanoparticle-enhanced PCMs (NEPCM) with great potential for improved TES. International Communications in Heat and Mass Transfer, 34(5), 534-543.</w:t>
      </w:r>
    </w:p>
    <w:p>
      <w:pPr/>
      <w:r>
        <w:rPr>
          <w:sz w:val="20"/>
          <w:szCs w:val="20"/>
        </w:rPr>
        <w:t xml:space="preserve">[51] Leong, K. Y., Abdul Rahman, M. R., &amp; Gurunathan, B. A. (2019). Nano-enhanced PCMs: A review of thermo-physical properties and challenges. Journal of Energy Storage, 21, 18-31.</w:t>
      </w:r>
    </w:p>
    <w:p>
      <w:pPr/>
      <w:r>
        <w:rPr>
          <w:sz w:val="20"/>
          <w:szCs w:val="20"/>
        </w:rPr>
        <w:t xml:space="preserve">[52] Wu, S., Zhu, D., Zhang, X., &amp; Huang, J. (2010). Preparation and melting/freezing characteristics of Cu/paraffin nanofluid as PCM. Energy &amp; Fuels, 24(3), 1894-1898.</w:t>
      </w:r>
    </w:p>
    <w:p>
      <w:pPr/>
      <w:r>
        <w:rPr>
          <w:sz w:val="20"/>
          <w:szCs w:val="20"/>
        </w:rPr>
        <w:t xml:space="preserve">[53] Zhang, P., Xiao, X., &amp; Ma, Z. W. (2016). A review of the composite PCMs: Fabrication, characterization, mathematical modeling and application. Applied Energy, 165, 472-510.</w:t>
      </w:r>
    </w:p>
    <w:p>
      <w:pPr/>
      <w:r>
        <w:rPr>
          <w:sz w:val="20"/>
          <w:szCs w:val="20"/>
        </w:rPr>
        <w:t xml:space="preserve">[54] Sari, A., &amp; Karaipekli, A. (2009). Preparation and thermal reliability of palmitic acid/expanded graphite composite as form-stable PCM. Solar Energy Materials and Solar Cells, 93(5), 571-576.</w:t>
      </w:r>
    </w:p>
    <w:p>
      <w:pPr/>
      <w:r>
        <w:rPr>
          <w:sz w:val="20"/>
          <w:szCs w:val="20"/>
        </w:rPr>
        <w:t xml:space="preserve">[55] Shi, J. N., Ger, M. D., Liu, Y. M., et al. (2013). Improving thermal conductivity and shape-stabilization of PCMs using nanographite. Carbon, 51, 365-372.</w:t>
      </w:r>
    </w:p>
    <w:p>
      <w:pPr/>
      <w:r>
        <w:rPr>
          <w:sz w:val="20"/>
          <w:szCs w:val="20"/>
        </w:rPr>
        <w:t xml:space="preserve">[56] Agyenim, F., Eames, P., &amp; Smyth, M. (2009). Heat transfer enhancement in a medium temperature TES heat exchanger using fins. Solar Energy, 83(9), 1509-1520.</w:t>
      </w:r>
    </w:p>
    <w:p>
      <w:pPr/>
      <w:r>
        <w:rPr>
          <w:sz w:val="20"/>
          <w:szCs w:val="20"/>
        </w:rPr>
        <w:t xml:space="preserve">[57] Mat, S., Al-Abidi, A. A., Sopian, K., et al. (2013). Enhance heat transfer for PCM melting in triplex tube with internal-external fins. Energy Conversion and Management, 74, 223-236.</w:t>
      </w:r>
    </w:p>
    <w:p>
      <w:pPr/>
      <w:r>
        <w:rPr>
          <w:sz w:val="20"/>
          <w:szCs w:val="20"/>
        </w:rPr>
        <w:t xml:space="preserve">[58] Javani, N., Dincer, I., Naterer, G. F., &amp; Yilbas, B. S. (2014). Heat transfer and thermal management with PCMs in Li-ion battery cells for EVs. International Journal of Heat and Mass Transfer, 72, 690-703.</w:t>
      </w:r>
    </w:p>
    <w:p>
      <w:pPr/>
      <w:r>
        <w:rPr>
          <w:sz w:val="20"/>
          <w:szCs w:val="20"/>
        </w:rPr>
        <w:t xml:space="preserve">[59] Jamekhorshid, A., Sadrameli, S. M., &amp; Farid, M. (2014). A review of microencapsulation methods of PCMs as TES medium. Renewable and Sustainable Energy Reviews, 31, 531-542.</w:t>
      </w:r>
    </w:p>
    <w:p>
      <w:pPr/>
      <w:r>
        <w:rPr>
          <w:sz w:val="20"/>
          <w:szCs w:val="20"/>
        </w:rPr>
        <w:t xml:space="preserve">[60] Regin, A. F., Solanki, S. C., &amp; Saini, J. S. (2008). Heat transfer characteristics of TES system using PCM capsules: A review. Renewable and Sustainable Energy Reviews, 12(9), 2438-2458.</w:t>
      </w:r>
    </w:p>
    <w:p>
      <w:pPr/>
      <w:r>
        <w:rPr>
          <w:sz w:val="20"/>
          <w:szCs w:val="20"/>
        </w:rPr>
        <w:t xml:space="preserve">[61] Salunkhe, P. B., &amp; Shembekar, P. S. (2012). A review on effect of PCM encapsulation on the thermal performance of a system. Renewable and Sustainable Energy Reviews, 16(8), 5603-5616.</w:t>
      </w:r>
    </w:p>
    <w:p>
      <w:pPr/>
      <w:r>
        <w:rPr>
          <w:sz w:val="20"/>
          <w:szCs w:val="20"/>
        </w:rPr>
        <w:t xml:space="preserve">[62] Mondal, S. (2008). Phase change materials for smart textiles - An overview. Applied Thermal Engineering, 28(11-12), 1536-1550.</w:t>
      </w:r>
    </w:p>
    <w:p>
      <w:pPr/>
      <w:r>
        <w:rPr>
          <w:sz w:val="20"/>
          <w:szCs w:val="20"/>
        </w:rPr>
        <w:t xml:space="preserve">[63] Zhao, C. Y., &amp; Zhang, G. H. (2011). Review on microencapsulated PCMs: Fabrication, characterization and applications. Renewable and Sustainable Energy Reviews, 15(8), 3813-3832.</w:t>
      </w:r>
    </w:p>
    <w:p>
      <w:pPr/>
      <w:r>
        <w:rPr>
          <w:sz w:val="20"/>
          <w:szCs w:val="20"/>
        </w:rPr>
        <w:t xml:space="preserve">[64] Sarier, N., &amp; Onder, E. (2012). Organic PCMs and their textile applications: An overview. Thermochimica Acta, 540, 7-60.</w:t>
      </w:r>
    </w:p>
    <w:p>
      <w:pPr/>
      <w:r>
        <w:rPr>
          <w:sz w:val="20"/>
          <w:szCs w:val="20"/>
        </w:rPr>
        <w:t xml:space="preserve">[65] Tyagi, V. V., Kaushik, S. C., Tyagi, S. K., &amp; Akiyama, T. (2011). Development of PCM based microencapsulated technology for buildings: A review. Renewable and Sustainable Energy Reviews, 15(2), 1373-1391.</w:t>
      </w:r>
    </w:p>
    <w:p>
      <w:pPr/>
      <w:r>
        <w:rPr>
          <w:sz w:val="20"/>
          <w:szCs w:val="20"/>
        </w:rPr>
        <w:t xml:space="preserve">[66] Khadiran, T., Hussein, M. Z., Zainal, Z., &amp; Rusli, R. (2016). Shape-stabilised n-octadecane/activated carbon nanocomposite PCM. Journal of the Taiwan Institute of Chemical Engineers, 55, 26-34.</w:t>
      </w:r>
    </w:p>
    <w:p>
      <w:pPr/>
      <w:r>
        <w:rPr>
          <w:sz w:val="20"/>
          <w:szCs w:val="20"/>
        </w:rPr>
        <w:t xml:space="preserve">[67] Wen, R., Zhang, X., Huang, Z., et al. (2017). Preparation and thermal properties of fatty acid/diatomite form-stable composite PCM. Solar Energy Materials and Solar Cells, 178, 273-279.</w:t>
      </w:r>
    </w:p>
    <w:p>
      <w:pPr/>
      <w:r>
        <w:rPr>
          <w:sz w:val="20"/>
          <w:szCs w:val="20"/>
        </w:rPr>
        <w:t xml:space="preserve">[68] Al-Abidi, A. A., Mat, S., Sopian, K., et al. (2013). Numerical study of PCM solidification in a triplex tube heat exchanger. International Journal of Heat and Mass Transfer, 61, 684-695.</w:t>
      </w:r>
    </w:p>
    <w:p>
      <w:pPr/>
      <w:r>
        <w:rPr>
          <w:sz w:val="20"/>
          <w:szCs w:val="20"/>
        </w:rPr>
        <w:t xml:space="preserve">[69] Voller, V. R., &amp; Prakash, C. (1987). A fixed grid numerical modelling methodology for phase-change problems. International Journal of Heat and Mass Transfer, 30(8), 1709-1719.</w:t>
      </w:r>
    </w:p>
    <w:p>
      <w:pPr/>
      <w:r>
        <w:rPr>
          <w:sz w:val="20"/>
          <w:szCs w:val="20"/>
        </w:rPr>
        <w:t xml:space="preserve">[70] Dutil, Y., Rousse, D. R., Salah, N. B., et al. (2011). A review on PCMs: Mathematical modeling and simulations. Renewable and Sustainable Energy Reviews, 15(1), 112-130.</w:t>
      </w:r>
    </w:p>
    <w:p>
      <w:pPr/>
      <w:r>
        <w:rPr>
          <w:sz w:val="20"/>
          <w:szCs w:val="20"/>
        </w:rPr>
        <w:t xml:space="preserve">[71] Jegadheeswaran, S., &amp; Pohekar, S. D. (2009). Performance enhancement in latent heat thermal storage system: A review. Renewable and Sustainable Energy Reviews, 13(9), 2225-2244.</w:t>
      </w:r>
    </w:p>
    <w:p>
      <w:pPr/>
      <w:r>
        <w:rPr>
          <w:sz w:val="20"/>
          <w:szCs w:val="20"/>
        </w:rPr>
        <w:t xml:space="preserve">[72] Khudhair, A. M., &amp; Farid, M. M. (2004). A review on energy conservation in building applications with thermal storage using PCMs. Energy Conversion and Management, 45(2), 263-275.</w:t>
      </w:r>
    </w:p>
    <w:p>
      <w:pPr/>
      <w:r>
        <w:rPr>
          <w:sz w:val="20"/>
          <w:szCs w:val="20"/>
        </w:rPr>
        <w:t xml:space="preserve">[73] Baetens, R., Jelle, B. P., &amp; Gustavsen, A. (2010). Phase change materials for building applications: A state-of-the-art review. Energy and Buildings, 42(9), 1361-1368.</w:t>
      </w:r>
    </w:p>
    <w:p>
      <w:pPr/>
      <w:r>
        <w:rPr>
          <w:sz w:val="20"/>
          <w:szCs w:val="20"/>
        </w:rPr>
        <w:t xml:space="preserve">[74] Xu, H. J., Zhao, C. Y., &amp; Liang, D. (2019). Analytical considerations of thermal storage and interface evolution of a PCM with/without porous media. Int. J. Numerical Methods for Heat &amp; Fluid Flow, 30(1), 373-400.</w:t>
      </w:r>
    </w:p>
    <w:p>
      <w:pPr/>
      <w:r>
        <w:rPr>
          <w:sz w:val="20"/>
          <w:szCs w:val="20"/>
        </w:rPr>
        <w:t xml:space="preserve">[75] Bland, A., Khzouz, M., Statheros, T., &amp; Gkanas, E. I. (2017). PCMs for residential building applications: A short review. Buildings, 7(3), 78.</w:t>
      </w:r>
    </w:p>
    <w:p>
      <w:pPr/>
      <w:r>
        <w:rPr>
          <w:sz w:val="20"/>
          <w:szCs w:val="20"/>
        </w:rPr>
        <w:t xml:space="preserve">[76] Souayfane, F., Fardoun, F., &amp; Biwole, P. H. (2016). Phase change materials (PCM) for cooling applications in buildings: A review. Energy and Buildings, 129, 396-431.</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4"/>
      <w:szCs w:val="24"/>
      <w:rFonts w:ascii="Times New Roman" w:hAnsi="Times New Roman"/>
    </w:rPr>
    <w:pPr>
      <w:spacing w:after="120" w:line="360" w:lineRule="auto"/>
      <w:jc w:val="both"/>
    </w:pPr>
  </w:style>
  <w:style w:type="paragraph" w:styleId="Heading1">
    <w:name w:val="heading 1"/>
    <w:pPr>
      <w:spacing w:before="360" w:after="120"/>
    </w:pPr>
    <w:rPr>
      <w:b/>
      <w:sz w:val="32"/>
      <w:szCs w:val="32"/>
      <w:rFonts w:ascii="Times New Roman" w:hAnsi="Times New Roman"/>
      <w:color w:val="1B3C78"/>
    </w:rPr>
  </w:style>
  <w:style w:type="paragraph" w:styleId="Heading2">
    <w:name w:val="heading 2"/>
    <w:pPr>
      <w:spacing w:before="240" w:after="120"/>
    </w:pPr>
    <w:rPr>
      <w:b/>
      <w:sz w:val="28"/>
      <w:szCs w:val="28"/>
      <w:rFonts w:ascii="Times New Roman" w:hAnsi="Times New Roman"/>
      <w:color w:val="2E5090"/>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 Type="http://schemas.openxmlformats.org/officeDocument/2006/relationships/image" Target="media/Figure_1_PCM_Classification.png"/><Relationship Id="rId11" Type="http://schemas.openxmlformats.org/officeDocument/2006/relationships/image" Target="media/Figure_2_Thermal_Conductivity_Enhancement.png"/><Relationship Id="rId12" Type="http://schemas.openxmlformats.org/officeDocument/2006/relationships/image" Target="media/Figure_3_Temperature_Profile.png"/><Relationship Id="rId13" Type="http://schemas.openxmlformats.org/officeDocument/2006/relationships/image" Target="media/Figure_4_Encapsulation_Methods.png"/><Relationship Id="rId14" Type="http://schemas.openxmlformats.org/officeDocument/2006/relationships/image" Target="media/Figure_5_PCM_Applications.png"/><Relationship Id="rId15" Type="http://schemas.openxmlformats.org/officeDocument/2006/relationships/image" Target="media/Figure_6_TES_Schematic.png"/></Relationships>
</file>