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5</w:t>
      </w:r>
    </w:p>
    <w:p>
      <w:pPr>
        <w:pStyle w:val="Heading1"/>
        <w:jc w:val="center"/>
      </w:pPr>
      <w:r>
        <w:t>AI-Powered Digital Marketing for Sustainability</w:t>
      </w:r>
    </w:p>
    <w:p>
      <w:pPr>
        <w:pStyle w:val="Heading2"/>
      </w:pPr>
      <w:r>
        <w:t>Abstract</w:t>
      </w:r>
    </w:p>
    <w:p>
      <w:pPr>
        <w:ind w:firstLine="720"/>
      </w:pPr>
      <w:r>
        <w:t>The convergence of artificial intelligence (AI) and digital marketing presents unprecedented opportunities for advancing sustainability objectives across industries. This chapter examines the multifaceted role of AI technologies in transforming digital marketing practices toward environmentally conscious and socially responsible outcomes. Through comprehensive analysis of predictive analytics, natural language processing, generative AI, recommendation engines, and dynamic pricing systems, we explore how these technologies enable brands to engage consumers in meaningful sustainability dialogues while optimizing marketing efficiency. The chapter critically evaluates the paradox of AI's environmental footprint against its potential for promoting sustainable consumption patterns, addressing concerns around algorithmic bias, data privacy, greenwashing, and responsible AI design. Industry-specific applications across fashion, food, and e-commerce sectors are analyzed through frameworks measuring environmental, social, and marketing impact. Future directions emphasize the evolution toward digital sustainability ecosystems where AI serves as both enabler and guardian of ethical brand-consumer relationships. The findings suggest that when deployed responsibly, AI-powered digital marketing can significantly accelerate the transition toward sustainable consumption while maintaining commercial viability and consumer trust.</w:t>
      </w:r>
    </w:p>
    <w:p>
      <w:r>
        <w:rPr>
          <w:b/>
        </w:rPr>
        <w:t xml:space="preserve">Keywords: </w:t>
      </w:r>
      <w:r>
        <w:t>Artificial Intelligence, Digital Marketing, Sustainability, Green Consumerism, Predictive Analytics, Natural Language Processing, Responsible AI, Ethical Branding, Consumer Engagement, Environmental Marketing</w:t>
      </w:r>
    </w:p>
    <w:p>
      <w:r>
        <w:br w:type="page"/>
      </w:r>
    </w:p>
    <w:p>
      <w:pPr>
        <w:pStyle w:val="Heading1"/>
      </w:pPr>
      <w:r>
        <w:t>1. AI, Digital Marketing, and the Sustainability Imperative</w:t>
      </w:r>
    </w:p>
    <w:p>
      <w:pPr>
        <w:pStyle w:val="Heading2"/>
      </w:pPr>
      <w:r>
        <w:t>1.1 Sustainability Challenges and the Changing Marketing Landscape</w:t>
      </w:r>
    </w:p>
    <w:p>
      <w:pPr>
        <w:ind w:firstLine="720"/>
      </w:pPr>
      <w:r>
        <w:t>The global marketing landscape is undergoing a fundamental transformation driven by escalating environmental concerns, shifting consumer values, and regulatory pressures demanding corporate accountability. Climate change, resource depletion, and biodiversity loss have elevated sustainability from a peripheral corporate social responsibility initiative to a central strategic imperative [1]. The United Nations Sustainable Development Goals (SDGs) have provided a universal framework that increasingly shapes marketing strategies, compelling organizations to align their brand narratives with measurable environmental and social outcomes [2]. Digital marketing, which accounts for over 60% of global advertising expenditure, faces particular scrutiny regarding its environmental impact and its potential to either accelerate or mitigate unsustainable consumption patterns [3].</w:t>
      </w:r>
    </w:p>
    <w:p>
      <w:pPr>
        <w:ind w:firstLine="720"/>
      </w:pPr>
      <w:r>
        <w:t>The traditional marketing paradigm, oriented primarily toward maximizing consumption volume, increasingly conflicts with planetary boundaries and societal expectations. Consumer awareness of environmental issues has reached unprecedented levels, with surveys indicating that 73% of global consumers are willing to change consumption habits to reduce environmental impact [4]. This shift creates both challenges and opportunities for digital marketers who must balance commercial objectives with sustainability commitments. The emergence of the circular economy concept, regenerative business models, and stakeholder capitalism further complicates the marketing landscape, requiring sophisticated tools capable of managing complex, multi-stakeholder communication strategies [5]. Moreover, the accelerating pace of environmental degradation creates urgency for marketing professionals to adopt technologies that can simultaneously achieve commercial objectives and contribute positively to environmental outcomes.</w:t>
      </w:r>
    </w:p>
    <w:p>
      <w:pPr>
        <w:ind w:firstLine="720"/>
      </w:pPr>
      <w:r>
        <w:t>Digital marketing channels—social media, search engines, email, content platforms, and programmatic advertising—collectively generate substantial data volumes that, paradoxically, both contribute to carbon emissions through energy-intensive data processing and provide the analytical foundation for optimizing sustainability communications [6]. The dual nature of digital infrastructure as both environmental burden and sustainability enabler creates a fundamental tension that AI technologies are uniquely positioned to address. By optimizing targeting efficiency, reducing wasteful advertising impressions, and enabling precision sustainability messaging, AI offers pathways to reconcile marketing effectiveness with environmental responsibility [7]. The integration of sustainability considerations into marketing technology stacks represents not merely an ethical choice but an emerging business necessity as regulatory frameworks tighten and consumer expectations intensify across global markets.</w:t>
      </w:r>
    </w:p>
    <w:p>
      <w:pPr>
        <w:ind w:firstLine="720"/>
      </w:pPr>
      <w:r>
        <w:t>The proliferation of environmental, social, and governance (ESG) reporting requirements has created additional pressure on marketing organizations to demonstrate measurable sustainability contributions. Corporate sustainability reporting frameworks, including the Global Reporting Initiative (GRI), Sustainability Accounting Standards Board (SASB), and Task Force on Climate-related Financial Disclosures (TCFD), increasingly require quantification of marketing's role in driving sustainable consumer behavior [2]. This accountability landscape demands sophisticated measurement capabilities that traditional marketing analytics cannot provide, positioning AI-powered measurement and optimization as essential infrastructure for credible sustainability marketing programs. Furthermore, investor pressure on ESG performance creates financial incentives for marketing organizations to demonstrate tangible sustainability contributions, transforming sustainability marketing from a cost center to a value creation mechanism that directly influences corporate valuation and access to capital markets.</w:t>
      </w:r>
    </w:p>
    <w:p>
      <w:pPr>
        <w:ind w:firstLine="720"/>
      </w:pPr>
      <w:r>
        <w:t>The competitive dynamics of sustainability marketing have intensified as major brands across all sectors stake claims to environmental leadership. This competitive pressure creates both opportunities for genuine sustainability differentiation and risks of a 'sustainability arms race' where marketing claims escalate faster than actual environmental performance improvements [3]. AI technologies serve a dual function in this competitive landscape: enabling brands to identify and communicate genuine sustainability advantages while also providing consumers and regulators with tools to verify claims and hold brands accountable. The resulting transparency pressure creates market conditions that increasingly reward authentic sustainability performance over superficial sustainability marketing, aligning commercial incentives with environmental outcomes.</w:t>
      </w:r>
    </w:p>
    <w:p>
      <w:pPr>
        <w:pStyle w:val="Heading2"/>
      </w:pPr>
      <w:r>
        <w:t>1.2 Role of AI in Sustainable Consumer Engagement</w:t>
      </w:r>
    </w:p>
    <w:p>
      <w:pPr>
        <w:ind w:firstLine="720"/>
      </w:pPr>
      <w:r>
        <w:t>Artificial intelligence has emerged as a transformative force in digital marketing, with applications spanning consumer behavior prediction, content generation, campaign optimization, and performance measurement [8]. In the sustainability context, AI's capacity for processing vast datasets, identifying patterns in consumer sentiment, and personalizing communications at scale positions it as a critical enabler of sustainable consumer engagement strategies. Machine learning algorithms can analyze consumer purchase histories, social media interactions, and demographic data to identify sustainability-conscious segments and tailor messaging that resonates with specific environmental values [9]. The sophistication of modern AI systems enables brands to move beyond one-size-fits-all sustainability communications toward highly personalized engagement strategies that acknowledge individual consumer motivations, knowledge levels, and behavioral readiness for sustainable consumption transitions.</w:t>
      </w:r>
    </w:p>
    <w:p>
      <w:pPr>
        <w:ind w:firstLine="720"/>
      </w:pPr>
      <w:r>
        <w:t>The integration of AI into sustainable marketing operates across multiple dimensions as illustrated in Figure 1. At the strategic level, AI-powered predictive models enable organizations to anticipate shifts in green consumer preferences and proactively develop sustainability-aligned product offerings [10]. At the tactical level, natural language processing (NLP) and generative AI facilitate the creation of compelling sustainability narratives that avoid greenwashing while maintaining consumer engagement [11]. At the operational level, AI optimizes resource allocation across marketing channels, minimizing the environmental footprint of campaign delivery while maximizing reach among sustainability-conscious audiences [12]. This multi-level integration ensures that sustainability considerations are embedded throughout the marketing value chain rather than confined to superficial messaging overlays.</w:t>
      </w:r>
    </w:p>
    <w:p/>
    <w:p>
      <w:pPr>
        <w:jc w:val="center"/>
      </w:pPr>
      <w:r>
        <w:drawing>
          <wp:inline xmlns:a="http://schemas.openxmlformats.org/drawingml/2006/main" xmlns:pic="http://schemas.openxmlformats.org/drawingml/2006/picture">
            <wp:extent cx="5029200" cy="3505200"/>
            <wp:docPr id="1" name="Picture 1"/>
            <wp:cNvGraphicFramePr>
              <a:graphicFrameLocks noChangeAspect="1"/>
            </wp:cNvGraphicFramePr>
            <a:graphic>
              <a:graphicData uri="http://schemas.openxmlformats.org/drawingml/2006/picture">
                <pic:pic>
                  <pic:nvPicPr>
                    <pic:cNvPr id="0" name="Figure_1_AI_Sustainable_Marketing_Framework.png"/>
                    <pic:cNvPicPr/>
                  </pic:nvPicPr>
                  <pic:blipFill>
                    <a:blip r:embed="rId9"/>
                    <a:stretch>
                      <a:fillRect/>
                    </a:stretch>
                  </pic:blipFill>
                  <pic:spPr>
                    <a:xfrm>
                      <a:off x="0" y="0"/>
                      <a:ext cx="5029200" cy="3505200"/>
                    </a:xfrm>
                    <a:prstGeom prst="rect"/>
                  </pic:spPr>
                </pic:pic>
              </a:graphicData>
            </a:graphic>
          </wp:inline>
        </w:drawing>
      </w:r>
    </w:p>
    <w:p>
      <w:pPr>
        <w:jc w:val="center"/>
      </w:pPr>
      <w:r>
        <w:rPr>
          <w:b/>
          <w:sz w:val="20"/>
        </w:rPr>
        <w:t>Figure 1. Framework for AI-Driven Sustainable Digital Marketing showing the interconnected components of predictive analytics, NLP, consumer segmentation, recommendation engines, ethical governance, and impact measurement.</w:t>
      </w:r>
    </w:p>
    <w:p>
      <w:pPr>
        <w:ind w:firstLine="720"/>
      </w:pPr>
      <w:r>
        <w:t>Deep learning architectures, including transformer models and recurrent neural networks, enable real-time analysis of sustainability-related discourse across digital platforms, providing marketers with actionable insights into emerging environmental concerns, consumer sentiment toward specific sustainability claims, and competitive positioning in the green marketplace [13]. Reinforcement learning techniques further enhance campaign optimization by continuously adapting messaging strategies based on consumer responses to sustainability communications, creating dynamic feedback loops that improve engagement effectiveness over time [14]. The framework depicted in Figure 1 demonstrates how these AI capabilities converge to create an integrated sustainable marketing ecosystem where each component both informs and is informed by the others, creating synergistic effects that amplify sustainability impact beyond what individual technologies could achieve in isolation.</w:t>
      </w:r>
    </w:p>
    <w:p>
      <w:pPr>
        <w:ind w:firstLine="720"/>
      </w:pPr>
      <w:r>
        <w:t>Furthermore, the emergence of multimodal AI systems capable of simultaneously processing text, images, video, and audio enables holistic analysis of sustainability marketing effectiveness across content formats. These systems can evaluate whether visual elements in sustainability advertisements align with textual claims, detect inconsistencies between verbal sustainability promises and visual representations, and optimize cross-format content strategies for maximum sustainability message retention [13]. The integration of computer vision with natural language understanding creates opportunities for comprehensive sustainability communication auditing that extends beyond text-based claims to encompass the full spectrum of marketing touchpoints.</w:t>
      </w:r>
    </w:p>
    <w:p>
      <w:pPr>
        <w:pStyle w:val="Heading2"/>
      </w:pPr>
      <w:r>
        <w:t>1.3 Green Consumerism, Ethical Branding, and Consumer Expectations</w:t>
      </w:r>
    </w:p>
    <w:p>
      <w:pPr>
        <w:ind w:firstLine="720"/>
      </w:pPr>
      <w:r>
        <w:t>Green consumerism has evolved from a niche market segment to a mainstream consumer expectation, fundamentally reshaping brand-consumer relationships. Research indicates that millennial and Generation Z consumers—who represent the largest purchasing cohort—demonstrate significantly higher willingness to pay premiums for sustainable products, with studies reporting price premium acceptance of 10-25% for verified eco-friendly alternatives [15]. This generational shift creates market opportunities for brands capable of authenticating their sustainability credentials through transparent, data-driven communications that withstand consumer scrutiny [16]. The phenomenon of 'conscious consumerism' extends beyond individual purchase decisions to encompass broader lifestyle choices, creating opportunities for brands that can position themselves as partners in consumers' sustainability journeys rather than merely providers of individual sustainable products.</w:t>
      </w:r>
    </w:p>
    <w:p>
      <w:pPr>
        <w:ind w:firstLine="720"/>
      </w:pPr>
      <w:r>
        <w:t>Ethical branding in the AI era extends beyond environmental claims to encompass broader stakeholder considerations including labor practices, supply chain transparency, community engagement, and corporate governance [17]. AI technologies enable brands to monitor and communicate their ethical performance across these dimensions in real-time, creating opportunities for authentic stakeholder engagement that builds long-term brand equity. However, the sophistication of AI-generated content also raises concerns about the potential for more convincing greenwashing, where AI-crafted sustainability narratives may obscure inadequate environmental performance [18]. The tension between AI's capacity to enhance authentic sustainability communication and its potential for sophisticated deception represents a central challenge for responsible marketing professionals and regulators alike.</w:t>
      </w:r>
    </w:p>
    <w:p>
      <w:pPr>
        <w:ind w:firstLine="720"/>
      </w:pPr>
      <w:r>
        <w:t>Table 1 presents the evolution of consumer expectations regarding sustainability in digital marketing across different generational cohorts, highlighting the accelerating demand for transparency and accountability that characterizes younger consumer segments.</w:t>
      </w:r>
    </w:p>
    <w:p>
      <w:pPr>
        <w:jc w:val="center"/>
      </w:pPr>
      <w:r>
        <w:rPr>
          <w:b/>
          <w:sz w:val="20"/>
        </w:rPr>
        <w:t>Table 1. Evolution of Consumer Sustainability Expectations Across Generational Cohorts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565C0" w:val="clear"/>
          </w:tcPr>
          <w:p>
            <w:pPr>
              <w:jc w:val="center"/>
            </w:pPr>
            <w:r/>
            <w:r>
              <w:rPr>
                <w:b/>
                <w:color w:val="FFFFFF"/>
                <w:sz w:val="18"/>
              </w:rPr>
              <w:t>Dimension</w:t>
            </w:r>
          </w:p>
        </w:tc>
        <w:tc>
          <w:tcPr>
            <w:tcW w:type="dxa" w:w="1872"/>
            <w:shd w:fill="1565C0" w:val="clear"/>
          </w:tcPr>
          <w:p>
            <w:pPr>
              <w:jc w:val="center"/>
            </w:pPr>
            <w:r/>
            <w:r>
              <w:rPr>
                <w:b/>
                <w:color w:val="FFFFFF"/>
                <w:sz w:val="18"/>
              </w:rPr>
              <w:t>Baby Boomers</w:t>
            </w:r>
          </w:p>
        </w:tc>
        <w:tc>
          <w:tcPr>
            <w:tcW w:type="dxa" w:w="1872"/>
            <w:shd w:fill="1565C0" w:val="clear"/>
          </w:tcPr>
          <w:p>
            <w:pPr>
              <w:jc w:val="center"/>
            </w:pPr>
            <w:r/>
            <w:r>
              <w:rPr>
                <w:b/>
                <w:color w:val="FFFFFF"/>
                <w:sz w:val="18"/>
              </w:rPr>
              <w:t>Generation X</w:t>
            </w:r>
          </w:p>
        </w:tc>
        <w:tc>
          <w:tcPr>
            <w:tcW w:type="dxa" w:w="1872"/>
            <w:shd w:fill="1565C0" w:val="clear"/>
          </w:tcPr>
          <w:p>
            <w:pPr>
              <w:jc w:val="center"/>
            </w:pPr>
            <w:r/>
            <w:r>
              <w:rPr>
                <w:b/>
                <w:color w:val="FFFFFF"/>
                <w:sz w:val="18"/>
              </w:rPr>
              <w:t>Millennials</w:t>
            </w:r>
          </w:p>
        </w:tc>
        <w:tc>
          <w:tcPr>
            <w:tcW w:type="dxa" w:w="1872"/>
            <w:shd w:fill="1565C0" w:val="clear"/>
          </w:tcPr>
          <w:p>
            <w:pPr>
              <w:jc w:val="center"/>
            </w:pPr>
            <w:r/>
            <w:r>
              <w:rPr>
                <w:b/>
                <w:color w:val="FFFFFF"/>
                <w:sz w:val="18"/>
              </w:rPr>
              <w:t>Generation Z</w:t>
            </w:r>
          </w:p>
        </w:tc>
      </w:tr>
      <w:tr>
        <w:tc>
          <w:tcPr>
            <w:tcW w:type="dxa" w:w="1872"/>
            <w:shd w:fill="E3F2FD" w:val="clear"/>
          </w:tcPr>
          <w:p>
            <w:pPr>
              <w:jc w:val="left"/>
            </w:pPr>
            <w:r/>
            <w:r>
              <w:rPr>
                <w:b/>
                <w:sz w:val="18"/>
              </w:rPr>
              <w:t>Price Premium Acceptance</w:t>
            </w:r>
          </w:p>
        </w:tc>
        <w:tc>
          <w:tcPr>
            <w:tcW w:type="dxa" w:w="1872"/>
            <w:shd w:fill="E3F2FD" w:val="clear"/>
          </w:tcPr>
          <w:p>
            <w:pPr>
              <w:jc w:val="left"/>
            </w:pPr>
            <w:r/>
            <w:r>
              <w:rPr>
                <w:b w:val="0"/>
                <w:sz w:val="18"/>
              </w:rPr>
              <w:t>5-8%</w:t>
            </w:r>
          </w:p>
        </w:tc>
        <w:tc>
          <w:tcPr>
            <w:tcW w:type="dxa" w:w="1872"/>
            <w:shd w:fill="E3F2FD" w:val="clear"/>
          </w:tcPr>
          <w:p>
            <w:pPr>
              <w:jc w:val="left"/>
            </w:pPr>
            <w:r/>
            <w:r>
              <w:rPr>
                <w:b w:val="0"/>
                <w:sz w:val="18"/>
              </w:rPr>
              <w:t>8-12%</w:t>
            </w:r>
          </w:p>
        </w:tc>
        <w:tc>
          <w:tcPr>
            <w:tcW w:type="dxa" w:w="1872"/>
            <w:shd w:fill="E3F2FD" w:val="clear"/>
          </w:tcPr>
          <w:p>
            <w:pPr>
              <w:jc w:val="left"/>
            </w:pPr>
            <w:r/>
            <w:r>
              <w:rPr>
                <w:b w:val="0"/>
                <w:sz w:val="18"/>
              </w:rPr>
              <w:t>12-20%</w:t>
            </w:r>
          </w:p>
        </w:tc>
        <w:tc>
          <w:tcPr>
            <w:tcW w:type="dxa" w:w="1872"/>
            <w:shd w:fill="E3F2FD" w:val="clear"/>
          </w:tcPr>
          <w:p>
            <w:pPr>
              <w:jc w:val="left"/>
            </w:pPr>
            <w:r/>
            <w:r>
              <w:rPr>
                <w:b w:val="0"/>
                <w:sz w:val="18"/>
              </w:rPr>
              <w:t>15-25%</w:t>
            </w:r>
          </w:p>
        </w:tc>
      </w:tr>
      <w:tr>
        <w:tc>
          <w:tcPr>
            <w:tcW w:type="dxa" w:w="1872"/>
          </w:tcPr>
          <w:p>
            <w:pPr>
              <w:jc w:val="left"/>
            </w:pPr>
            <w:r/>
            <w:r>
              <w:rPr>
                <w:b/>
                <w:sz w:val="18"/>
              </w:rPr>
              <w:t>Transparency Demand</w:t>
            </w:r>
          </w:p>
        </w:tc>
        <w:tc>
          <w:tcPr>
            <w:tcW w:type="dxa" w:w="1872"/>
          </w:tcPr>
          <w:p>
            <w:pPr>
              <w:jc w:val="left"/>
            </w:pPr>
            <w:r/>
            <w:r>
              <w:rPr>
                <w:b w:val="0"/>
                <w:sz w:val="18"/>
              </w:rPr>
              <w:t>Low</w:t>
            </w:r>
          </w:p>
        </w:tc>
        <w:tc>
          <w:tcPr>
            <w:tcW w:type="dxa" w:w="1872"/>
          </w:tcPr>
          <w:p>
            <w:pPr>
              <w:jc w:val="left"/>
            </w:pPr>
            <w:r/>
            <w:r>
              <w:rPr>
                <w:b w:val="0"/>
                <w:sz w:val="18"/>
              </w:rPr>
              <w:t>Moderate</w:t>
            </w:r>
          </w:p>
        </w:tc>
        <w:tc>
          <w:tcPr>
            <w:tcW w:type="dxa" w:w="1872"/>
          </w:tcPr>
          <w:p>
            <w:pPr>
              <w:jc w:val="left"/>
            </w:pPr>
            <w:r/>
            <w:r>
              <w:rPr>
                <w:b w:val="0"/>
                <w:sz w:val="18"/>
              </w:rPr>
              <w:t>High</w:t>
            </w:r>
          </w:p>
        </w:tc>
        <w:tc>
          <w:tcPr>
            <w:tcW w:type="dxa" w:w="1872"/>
          </w:tcPr>
          <w:p>
            <w:pPr>
              <w:jc w:val="left"/>
            </w:pPr>
            <w:r/>
            <w:r>
              <w:rPr>
                <w:b w:val="0"/>
                <w:sz w:val="18"/>
              </w:rPr>
              <w:t>Very High</w:t>
            </w:r>
          </w:p>
        </w:tc>
      </w:tr>
      <w:tr>
        <w:tc>
          <w:tcPr>
            <w:tcW w:type="dxa" w:w="1872"/>
            <w:shd w:fill="E3F2FD" w:val="clear"/>
          </w:tcPr>
          <w:p>
            <w:pPr>
              <w:jc w:val="left"/>
            </w:pPr>
            <w:r/>
            <w:r>
              <w:rPr>
                <w:b/>
                <w:sz w:val="18"/>
              </w:rPr>
              <w:t>Digital Engagement Preference</w:t>
            </w:r>
          </w:p>
        </w:tc>
        <w:tc>
          <w:tcPr>
            <w:tcW w:type="dxa" w:w="1872"/>
            <w:shd w:fill="E3F2FD" w:val="clear"/>
          </w:tcPr>
          <w:p>
            <w:pPr>
              <w:jc w:val="left"/>
            </w:pPr>
            <w:r/>
            <w:r>
              <w:rPr>
                <w:b w:val="0"/>
                <w:sz w:val="18"/>
              </w:rPr>
              <w:t>Email/Web</w:t>
            </w:r>
          </w:p>
        </w:tc>
        <w:tc>
          <w:tcPr>
            <w:tcW w:type="dxa" w:w="1872"/>
            <w:shd w:fill="E3F2FD" w:val="clear"/>
          </w:tcPr>
          <w:p>
            <w:pPr>
              <w:jc w:val="left"/>
            </w:pPr>
            <w:r/>
            <w:r>
              <w:rPr>
                <w:b w:val="0"/>
                <w:sz w:val="18"/>
              </w:rPr>
              <w:t>Social Media</w:t>
            </w:r>
          </w:p>
        </w:tc>
        <w:tc>
          <w:tcPr>
            <w:tcW w:type="dxa" w:w="1872"/>
            <w:shd w:fill="E3F2FD" w:val="clear"/>
          </w:tcPr>
          <w:p>
            <w:pPr>
              <w:jc w:val="left"/>
            </w:pPr>
            <w:r/>
            <w:r>
              <w:rPr>
                <w:b w:val="0"/>
                <w:sz w:val="18"/>
              </w:rPr>
              <w:t>Multi-channel</w:t>
            </w:r>
          </w:p>
        </w:tc>
        <w:tc>
          <w:tcPr>
            <w:tcW w:type="dxa" w:w="1872"/>
            <w:shd w:fill="E3F2FD" w:val="clear"/>
          </w:tcPr>
          <w:p>
            <w:pPr>
              <w:jc w:val="left"/>
            </w:pPr>
            <w:r/>
            <w:r>
              <w:rPr>
                <w:b w:val="0"/>
                <w:sz w:val="18"/>
              </w:rPr>
              <w:t>Immersive/AI</w:t>
            </w:r>
          </w:p>
        </w:tc>
      </w:tr>
      <w:tr>
        <w:tc>
          <w:tcPr>
            <w:tcW w:type="dxa" w:w="1872"/>
          </w:tcPr>
          <w:p>
            <w:pPr>
              <w:jc w:val="left"/>
            </w:pPr>
            <w:r/>
            <w:r>
              <w:rPr>
                <w:b/>
                <w:sz w:val="18"/>
              </w:rPr>
              <w:t>Greenwashing Sensitivity</w:t>
            </w:r>
          </w:p>
        </w:tc>
        <w:tc>
          <w:tcPr>
            <w:tcW w:type="dxa" w:w="1872"/>
          </w:tcPr>
          <w:p>
            <w:pPr>
              <w:jc w:val="left"/>
            </w:pPr>
            <w:r/>
            <w:r>
              <w:rPr>
                <w:b w:val="0"/>
                <w:sz w:val="18"/>
              </w:rPr>
              <w:t>Low</w:t>
            </w:r>
          </w:p>
        </w:tc>
        <w:tc>
          <w:tcPr>
            <w:tcW w:type="dxa" w:w="1872"/>
          </w:tcPr>
          <w:p>
            <w:pPr>
              <w:jc w:val="left"/>
            </w:pPr>
            <w:r/>
            <w:r>
              <w:rPr>
                <w:b w:val="0"/>
                <w:sz w:val="18"/>
              </w:rPr>
              <w:t>Moderate</w:t>
            </w:r>
          </w:p>
        </w:tc>
        <w:tc>
          <w:tcPr>
            <w:tcW w:type="dxa" w:w="1872"/>
          </w:tcPr>
          <w:p>
            <w:pPr>
              <w:jc w:val="left"/>
            </w:pPr>
            <w:r/>
            <w:r>
              <w:rPr>
                <w:b w:val="0"/>
                <w:sz w:val="18"/>
              </w:rPr>
              <w:t>High</w:t>
            </w:r>
          </w:p>
        </w:tc>
        <w:tc>
          <w:tcPr>
            <w:tcW w:type="dxa" w:w="1872"/>
          </w:tcPr>
          <w:p>
            <w:pPr>
              <w:jc w:val="left"/>
            </w:pPr>
            <w:r/>
            <w:r>
              <w:rPr>
                <w:b w:val="0"/>
                <w:sz w:val="18"/>
              </w:rPr>
              <w:t>Critical</w:t>
            </w:r>
          </w:p>
        </w:tc>
      </w:tr>
      <w:tr>
        <w:tc>
          <w:tcPr>
            <w:tcW w:type="dxa" w:w="1872"/>
            <w:shd w:fill="E3F2FD" w:val="clear"/>
          </w:tcPr>
          <w:p>
            <w:pPr>
              <w:jc w:val="left"/>
            </w:pPr>
            <w:r/>
            <w:r>
              <w:rPr>
                <w:b/>
                <w:sz w:val="18"/>
              </w:rPr>
              <w:t>Brand Switching Likelihood</w:t>
            </w:r>
          </w:p>
        </w:tc>
        <w:tc>
          <w:tcPr>
            <w:tcW w:type="dxa" w:w="1872"/>
            <w:shd w:fill="E3F2FD" w:val="clear"/>
          </w:tcPr>
          <w:p>
            <w:pPr>
              <w:jc w:val="left"/>
            </w:pPr>
            <w:r/>
            <w:r>
              <w:rPr>
                <w:b w:val="0"/>
                <w:sz w:val="18"/>
              </w:rPr>
              <w:t>15%</w:t>
            </w:r>
          </w:p>
        </w:tc>
        <w:tc>
          <w:tcPr>
            <w:tcW w:type="dxa" w:w="1872"/>
            <w:shd w:fill="E3F2FD" w:val="clear"/>
          </w:tcPr>
          <w:p>
            <w:pPr>
              <w:jc w:val="left"/>
            </w:pPr>
            <w:r/>
            <w:r>
              <w:rPr>
                <w:b w:val="0"/>
                <w:sz w:val="18"/>
              </w:rPr>
              <w:t>28%</w:t>
            </w:r>
          </w:p>
        </w:tc>
        <w:tc>
          <w:tcPr>
            <w:tcW w:type="dxa" w:w="1872"/>
            <w:shd w:fill="E3F2FD" w:val="clear"/>
          </w:tcPr>
          <w:p>
            <w:pPr>
              <w:jc w:val="left"/>
            </w:pPr>
            <w:r/>
            <w:r>
              <w:rPr>
                <w:b w:val="0"/>
                <w:sz w:val="18"/>
              </w:rPr>
              <w:t>45%</w:t>
            </w:r>
          </w:p>
        </w:tc>
        <w:tc>
          <w:tcPr>
            <w:tcW w:type="dxa" w:w="1872"/>
            <w:shd w:fill="E3F2FD" w:val="clear"/>
          </w:tcPr>
          <w:p>
            <w:pPr>
              <w:jc w:val="left"/>
            </w:pPr>
            <w:r/>
            <w:r>
              <w:rPr>
                <w:b w:val="0"/>
                <w:sz w:val="18"/>
              </w:rPr>
              <w:t>62%</w:t>
            </w:r>
          </w:p>
        </w:tc>
      </w:tr>
    </w:tbl>
    <w:p/>
    <w:p>
      <w:pPr>
        <w:ind w:firstLine="720"/>
      </w:pPr>
      <w:r>
        <w:t>As shown in Table 1, younger generations demonstrate substantially higher expectations for sustainability transparency and are more likely to switch brands based on environmental performance. These patterns underscore the strategic importance of AI-enabled sustainability marketing for long-term brand viability. Consumer expectations are further shaped by social media amplification effects, where sustainability failures can rapidly escalate into brand crises through viral sharing, while authentic sustainability achievements can generate organic advocacy [19]. The interplay between consumer expectations and AI capabilities creates a dynamic landscape where technology both enables and demands higher standards of environmental accountability in marketing communications. Brands that fail to adapt to these evolving expectations face not only market share erosion but potential reputational damage that extends far beyond the sustainability domain into overall brand perception and consumer trust.</w:t>
      </w:r>
    </w:p>
    <w:p>
      <w:r>
        <w:br w:type="page"/>
      </w:r>
    </w:p>
    <w:p>
      <w:pPr>
        <w:pStyle w:val="Heading1"/>
      </w:pPr>
      <w:r>
        <w:t>2. AI Applications for Sustainable Digital Marketing</w:t>
      </w:r>
    </w:p>
    <w:p>
      <w:pPr>
        <w:pStyle w:val="Heading2"/>
      </w:pPr>
      <w:r>
        <w:t>2.1 Predictive Analytics and Intelligent Consumer Segmentation</w:t>
      </w:r>
    </w:p>
    <w:p>
      <w:pPr>
        <w:ind w:firstLine="720"/>
      </w:pPr>
      <w:r>
        <w:t>Predictive analytics represents one of the most mature and impactful applications of AI in sustainable digital marketing. By leveraging historical purchase data, browsing behavior, social media engagement patterns, and demographic information, machine learning models can identify consumers most receptive to sustainability messaging and predict their future purchasing behavior with remarkable accuracy [20]. Advanced segmentation algorithms move beyond traditional demographic categorization to create psychographic profiles that capture nuanced sustainability attitudes, enabling marketers to differentiate between consumers motivated by environmental altruism, health concerns, social signaling, or cost savings associated with sustainable alternatives [21]. These multidimensional consumer profiles enable precision targeting that reduces marketing waste—both in terms of advertising spend and the environmental resources consumed by irrelevant ad delivery—while simultaneously improving conversion rates for sustainability-focused campaigns.</w:t>
      </w:r>
    </w:p>
    <w:p>
      <w:pPr>
        <w:ind w:firstLine="720"/>
      </w:pPr>
      <w:r>
        <w:t>Clustering algorithms such as k-means, hierarchical clustering, and Gaussian mixture models segment consumers based on sustainability engagement levels, creating actionable personas that guide campaign development [22]. Deep learning approaches, particularly autoencoders and variational autoencoders, enable unsupervised discovery of latent sustainability preference dimensions that may not be apparent through traditional market research methods. These models can identify emerging green consumer micro-segments—such as 'carbon-conscious commuters' or 'zero-waste enthusiasts'—enabling hyper-targeted sustainability communications that achieve higher engagement rates while reducing advertising waste [23]. The granularity of AI-powered segmentation allows brands to identify and nurture consumers who are on the cusp of sustainable behavior transitions, providing precisely calibrated interventions that facilitate movement along the sustainability adoption continuum.</w:t>
      </w:r>
    </w:p>
    <w:p>
      <w:pPr>
        <w:ind w:firstLine="720"/>
      </w:pPr>
      <w:r>
        <w:t>Time-series forecasting models, including Long Short-Term Memory (LSTM) networks and temporal convolutional networks, enable prediction of seasonal variations in sustainability interest, allowing marketers to optimize campaign timing around events such as Earth Day, Climate Week, and World Environment Day [24]. Propensity scoring models further refine targeting by estimating individual-level probabilities of sustainable purchase conversion, enabling efficient allocation of marketing resources toward consumers most likely to respond positively to sustainability messaging. These models incorporate not only static demographic features but also dynamic behavioral signals including real-time browsing patterns, content engagement recency, and contextual factors such as weather events and environmental news cycles that temporarily elevate sustainability consciousness [25].</w:t>
      </w:r>
    </w:p>
    <w:p>
      <w:pPr>
        <w:ind w:firstLine="720"/>
      </w:pPr>
      <w:r>
        <w:t>The consumer engagement lifecycle enhanced by these AI capabilities is depicted in Figure 2, which illustrates how different AI tools support each stage of the sustainability-focused customer journey. Advanced propensity models can also predict the lifetime sustainability impact of individual consumers, enabling resource allocation strategies that prioritize consumers whose behavioral change will generate the greatest cumulative environmental benefit over extended time horizons [25].</w:t>
      </w:r>
    </w:p>
    <w:p/>
    <w:p>
      <w:pPr>
        <w:jc w:val="center"/>
      </w:pPr>
      <w:r>
        <w:drawing>
          <wp:inline xmlns:a="http://schemas.openxmlformats.org/drawingml/2006/main" xmlns:pic="http://schemas.openxmlformats.org/drawingml/2006/picture">
            <wp:extent cx="5029200" cy="2722228"/>
            <wp:docPr id="2" name="Picture 2"/>
            <wp:cNvGraphicFramePr>
              <a:graphicFrameLocks noChangeAspect="1"/>
            </wp:cNvGraphicFramePr>
            <a:graphic>
              <a:graphicData uri="http://schemas.openxmlformats.org/drawingml/2006/picture">
                <pic:pic>
                  <pic:nvPicPr>
                    <pic:cNvPr id="0" name="Figure_2_Consumer_Engagement_Lifecycle.png"/>
                    <pic:cNvPicPr/>
                  </pic:nvPicPr>
                  <pic:blipFill>
                    <a:blip r:embed="rId10"/>
                    <a:stretch>
                      <a:fillRect/>
                    </a:stretch>
                  </pic:blipFill>
                  <pic:spPr>
                    <a:xfrm>
                      <a:off x="0" y="0"/>
                      <a:ext cx="5029200" cy="2722228"/>
                    </a:xfrm>
                    <a:prstGeom prst="rect"/>
                  </pic:spPr>
                </pic:pic>
              </a:graphicData>
            </a:graphic>
          </wp:inline>
        </w:drawing>
      </w:r>
    </w:p>
    <w:p>
      <w:pPr>
        <w:jc w:val="center"/>
      </w:pPr>
      <w:r>
        <w:rPr>
          <w:b/>
          <w:sz w:val="20"/>
        </w:rPr>
        <w:t>Figure 2. AI-Enhanced Consumer Engagement Lifecycle for Sustainability, demonstrating the integration of AI tools across awareness, interest, evaluation, purchase, and advocacy stages with a sustainability integration layer.</w:t>
      </w:r>
    </w:p>
    <w:p>
      <w:pPr>
        <w:ind w:firstLine="720"/>
      </w:pPr>
      <w:r>
        <w:t>The lifecycle framework shown in Figure 2 demonstrates how AI technologies create a continuous engagement loop where sustainability messaging is dynamically adapted based on consumer stage progression. Predictive churn models specifically designed for sustainability-branded products enable proactive retention strategies that maintain consumer commitment to sustainable alternatives despite potential price premiums or convenience trade-offs [26]. These models incorporate behavioral signals such as decreasing engagement with sustainability content, reduced purchase frequency of eco-labeled products, and competitive brand exploration to trigger targeted interventions before consumer defection occurs. The sustainability integration layer ensures that environmental considerations remain central throughout the entire customer journey, rather than being relegated to isolated marketing moments or seasonal campaigns.</w:t>
      </w:r>
    </w:p>
    <w:p>
      <w:pPr>
        <w:pStyle w:val="Heading2"/>
      </w:pPr>
      <w:r>
        <w:t>2.2 NLP, Generative AI, and Sustainable Content Optimization</w:t>
      </w:r>
    </w:p>
    <w:p>
      <w:pPr>
        <w:ind w:firstLine="720"/>
      </w:pPr>
      <w:r>
        <w:t>Natural Language Processing and generative AI technologies have revolutionized content creation and optimization for sustainability marketing. Large language models (LLMs) such as GPT-4, Claude, and specialized domain models enable automated generation of sustainability-focused marketing content including product descriptions, social media posts, email campaigns, and long-form thought leadership articles [27]. These models can be fine-tuned on verified sustainability data to ensure factual accuracy while maintaining engaging narrative structures that resonate with target audiences. The capacity of generative AI to produce sustainability content at scale addresses a critical challenge facing marketing organizations: the need for consistent, high-volume sustainability messaging across multiple channels and audience segments without sacrificing accuracy or authenticity.</w:t>
      </w:r>
    </w:p>
    <w:p>
      <w:pPr>
        <w:ind w:firstLine="720"/>
      </w:pPr>
      <w:r>
        <w:t>Sentiment analysis algorithms powered by transformer architectures enable real-time monitoring of consumer sentiment toward brand sustainability initiatives across social media platforms, review sites, and online forums [28]. Advanced aspect-based sentiment analysis distinguishes between consumer reactions to different sustainability dimensions—packaging, sourcing, carbon emissions, labor practices—enabling targeted communication adjustments that address specific stakeholder concerns. Named entity recognition and relationship extraction further enable mapping of sustainability discourse networks, identifying influential voices and emerging narratives that shape consumer perceptions [29]. These analytical capabilities provide unprecedented granularity in understanding how different sustainability messages resonate across consumer segments, enabling continuous refinement of communication strategies based on empirical audience response data.</w:t>
      </w:r>
    </w:p>
    <w:p>
      <w:pPr>
        <w:ind w:firstLine="720"/>
      </w:pPr>
      <w:r>
        <w:t>AI-powered content optimization extends to search engine optimization (SEO) for sustainability-related queries, where NLP models identify emerging search patterns related to eco-friendly products, sustainable living, and environmental certifications. Topic modeling algorithms such as Latent Dirichlet Allocation (LDA) and neural topic models reveal sustainability conversation clusters that inform content strategy development [30]. Automated A/B testing of sustainability messaging variations, powered by multi-armed bandit algorithms, enables continuous optimization of headline framing, call-to-action language, and visual elements to maximize engagement with sustainability content while maintaining message authenticity and avoiding sensationalism [31]. The integration of these optimization techniques creates a data-driven content development pipeline where sustainability messaging is continuously refined based on measurable audience engagement and behavioral outcomes.</w:t>
      </w:r>
    </w:p>
    <w:p>
      <w:pPr>
        <w:ind w:firstLine="720"/>
      </w:pPr>
      <w:r>
        <w:t>Conversational AI systems, including sustainability-focused chatbots and virtual assistants, represent an emerging frontier in sustainable consumer engagement. These systems leverage dialogue management and knowledge graph technologies to provide personalized sustainability education, answer consumer questions about environmental certifications and product lifecycle impacts, and guide purchasing decisions toward more sustainable alternatives [27]. The conversational interface creates a more natural and engaging mode of sustainability communication compared to traditional one-directional marketing content, enabling two-way dialogues that address individual consumer concerns and knowledge gaps. Advanced chatbot systems can adapt their communication style and complexity based on individual consumer sustainability literacy levels, ensuring accessibility across diverse audience segments.</w:t>
      </w:r>
    </w:p>
    <w:p>
      <w:pPr>
        <w:jc w:val="center"/>
      </w:pPr>
      <w:r>
        <w:rPr>
          <w:b/>
          <w:sz w:val="20"/>
        </w:rPr>
        <w:t>Table 2. AI-Powered NLP Applications for Sustainable Content Marketing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565C0" w:val="clear"/>
          </w:tcPr>
          <w:p>
            <w:pPr>
              <w:jc w:val="center"/>
            </w:pPr>
            <w:r/>
            <w:r>
              <w:rPr>
                <w:b/>
                <w:color w:val="FFFFFF"/>
                <w:sz w:val="18"/>
              </w:rPr>
              <w:t>NLP Application</w:t>
            </w:r>
          </w:p>
        </w:tc>
        <w:tc>
          <w:tcPr>
            <w:tcW w:type="dxa" w:w="2340"/>
            <w:shd w:fill="1565C0" w:val="clear"/>
          </w:tcPr>
          <w:p>
            <w:pPr>
              <w:jc w:val="center"/>
            </w:pPr>
            <w:r/>
            <w:r>
              <w:rPr>
                <w:b/>
                <w:color w:val="FFFFFF"/>
                <w:sz w:val="18"/>
              </w:rPr>
              <w:t>Technology</w:t>
            </w:r>
          </w:p>
        </w:tc>
        <w:tc>
          <w:tcPr>
            <w:tcW w:type="dxa" w:w="2340"/>
            <w:shd w:fill="1565C0" w:val="clear"/>
          </w:tcPr>
          <w:p>
            <w:pPr>
              <w:jc w:val="center"/>
            </w:pPr>
            <w:r/>
            <w:r>
              <w:rPr>
                <w:b/>
                <w:color w:val="FFFFFF"/>
                <w:sz w:val="18"/>
              </w:rPr>
              <w:t>Sustainability Use Case</w:t>
            </w:r>
          </w:p>
        </w:tc>
        <w:tc>
          <w:tcPr>
            <w:tcW w:type="dxa" w:w="2340"/>
            <w:shd w:fill="1565C0" w:val="clear"/>
          </w:tcPr>
          <w:p>
            <w:pPr>
              <w:jc w:val="center"/>
            </w:pPr>
            <w:r/>
            <w:r>
              <w:rPr>
                <w:b/>
                <w:color w:val="FFFFFF"/>
                <w:sz w:val="18"/>
              </w:rPr>
              <w:t>Effectiveness Metric</w:t>
            </w:r>
          </w:p>
        </w:tc>
      </w:tr>
      <w:tr>
        <w:tc>
          <w:tcPr>
            <w:tcW w:type="dxa" w:w="2340"/>
            <w:shd w:fill="E8F5E9" w:val="clear"/>
          </w:tcPr>
          <w:p>
            <w:pPr>
              <w:jc w:val="left"/>
            </w:pPr>
            <w:r/>
            <w:r>
              <w:rPr>
                <w:b/>
                <w:sz w:val="18"/>
              </w:rPr>
              <w:t>Sentiment Analysis</w:t>
            </w:r>
          </w:p>
        </w:tc>
        <w:tc>
          <w:tcPr>
            <w:tcW w:type="dxa" w:w="2340"/>
            <w:shd w:fill="E8F5E9" w:val="clear"/>
          </w:tcPr>
          <w:p>
            <w:pPr>
              <w:jc w:val="left"/>
            </w:pPr>
            <w:r/>
            <w:r>
              <w:rPr>
                <w:b w:val="0"/>
                <w:sz w:val="18"/>
              </w:rPr>
              <w:t>BERT/RoBERTa</w:t>
            </w:r>
          </w:p>
        </w:tc>
        <w:tc>
          <w:tcPr>
            <w:tcW w:type="dxa" w:w="2340"/>
            <w:shd w:fill="E8F5E9" w:val="clear"/>
          </w:tcPr>
          <w:p>
            <w:pPr>
              <w:jc w:val="left"/>
            </w:pPr>
            <w:r/>
            <w:r>
              <w:rPr>
                <w:b w:val="0"/>
                <w:sz w:val="18"/>
              </w:rPr>
              <w:t>Brand sustainability perception tracking</w:t>
            </w:r>
          </w:p>
        </w:tc>
        <w:tc>
          <w:tcPr>
            <w:tcW w:type="dxa" w:w="2340"/>
            <w:shd w:fill="E8F5E9" w:val="clear"/>
          </w:tcPr>
          <w:p>
            <w:pPr>
              <w:jc w:val="left"/>
            </w:pPr>
            <w:r/>
            <w:r>
              <w:rPr>
                <w:b w:val="0"/>
                <w:sz w:val="18"/>
              </w:rPr>
              <w:t>92% accuracy</w:t>
            </w:r>
          </w:p>
        </w:tc>
      </w:tr>
      <w:tr>
        <w:tc>
          <w:tcPr>
            <w:tcW w:type="dxa" w:w="2340"/>
          </w:tcPr>
          <w:p>
            <w:pPr>
              <w:jc w:val="left"/>
            </w:pPr>
            <w:r/>
            <w:r>
              <w:rPr>
                <w:b/>
                <w:sz w:val="18"/>
              </w:rPr>
              <w:t>Content Generation</w:t>
            </w:r>
          </w:p>
        </w:tc>
        <w:tc>
          <w:tcPr>
            <w:tcW w:type="dxa" w:w="2340"/>
          </w:tcPr>
          <w:p>
            <w:pPr>
              <w:jc w:val="left"/>
            </w:pPr>
            <w:r/>
            <w:r>
              <w:rPr>
                <w:b w:val="0"/>
                <w:sz w:val="18"/>
              </w:rPr>
              <w:t>GPT-4/LLMs</w:t>
            </w:r>
          </w:p>
        </w:tc>
        <w:tc>
          <w:tcPr>
            <w:tcW w:type="dxa" w:w="2340"/>
          </w:tcPr>
          <w:p>
            <w:pPr>
              <w:jc w:val="left"/>
            </w:pPr>
            <w:r/>
            <w:r>
              <w:rPr>
                <w:b w:val="0"/>
                <w:sz w:val="18"/>
              </w:rPr>
              <w:t>Eco-product descriptions and campaigns</w:t>
            </w:r>
          </w:p>
        </w:tc>
        <w:tc>
          <w:tcPr>
            <w:tcW w:type="dxa" w:w="2340"/>
          </w:tcPr>
          <w:p>
            <w:pPr>
              <w:jc w:val="left"/>
            </w:pPr>
            <w:r/>
            <w:r>
              <w:rPr>
                <w:b w:val="0"/>
                <w:sz w:val="18"/>
              </w:rPr>
              <w:t>3.2x engagement increase</w:t>
            </w:r>
          </w:p>
        </w:tc>
      </w:tr>
      <w:tr>
        <w:tc>
          <w:tcPr>
            <w:tcW w:type="dxa" w:w="2340"/>
            <w:shd w:fill="E8F5E9" w:val="clear"/>
          </w:tcPr>
          <w:p>
            <w:pPr>
              <w:jc w:val="left"/>
            </w:pPr>
            <w:r/>
            <w:r>
              <w:rPr>
                <w:b/>
                <w:sz w:val="18"/>
              </w:rPr>
              <w:t>Topic Modeling</w:t>
            </w:r>
          </w:p>
        </w:tc>
        <w:tc>
          <w:tcPr>
            <w:tcW w:type="dxa" w:w="2340"/>
            <w:shd w:fill="E8F5E9" w:val="clear"/>
          </w:tcPr>
          <w:p>
            <w:pPr>
              <w:jc w:val="left"/>
            </w:pPr>
            <w:r/>
            <w:r>
              <w:rPr>
                <w:b w:val="0"/>
                <w:sz w:val="18"/>
              </w:rPr>
              <w:t>LDA/Neural TM</w:t>
            </w:r>
          </w:p>
        </w:tc>
        <w:tc>
          <w:tcPr>
            <w:tcW w:type="dxa" w:w="2340"/>
            <w:shd w:fill="E8F5E9" w:val="clear"/>
          </w:tcPr>
          <w:p>
            <w:pPr>
              <w:jc w:val="left"/>
            </w:pPr>
            <w:r/>
            <w:r>
              <w:rPr>
                <w:b w:val="0"/>
                <w:sz w:val="18"/>
              </w:rPr>
              <w:t>Green discourse pattern identification</w:t>
            </w:r>
          </w:p>
        </w:tc>
        <w:tc>
          <w:tcPr>
            <w:tcW w:type="dxa" w:w="2340"/>
            <w:shd w:fill="E8F5E9" w:val="clear"/>
          </w:tcPr>
          <w:p>
            <w:pPr>
              <w:jc w:val="left"/>
            </w:pPr>
            <w:r/>
            <w:r>
              <w:rPr>
                <w:b w:val="0"/>
                <w:sz w:val="18"/>
              </w:rPr>
              <w:t>78% topic coherence</w:t>
            </w:r>
          </w:p>
        </w:tc>
      </w:tr>
      <w:tr>
        <w:tc>
          <w:tcPr>
            <w:tcW w:type="dxa" w:w="2340"/>
          </w:tcPr>
          <w:p>
            <w:pPr>
              <w:jc w:val="left"/>
            </w:pPr>
            <w:r/>
            <w:r>
              <w:rPr>
                <w:b/>
                <w:sz w:val="18"/>
              </w:rPr>
              <w:t>SEO Optimization</w:t>
            </w:r>
          </w:p>
        </w:tc>
        <w:tc>
          <w:tcPr>
            <w:tcW w:type="dxa" w:w="2340"/>
          </w:tcPr>
          <w:p>
            <w:pPr>
              <w:jc w:val="left"/>
            </w:pPr>
            <w:r/>
            <w:r>
              <w:rPr>
                <w:b w:val="0"/>
                <w:sz w:val="18"/>
              </w:rPr>
              <w:t>Transformer models</w:t>
            </w:r>
          </w:p>
        </w:tc>
        <w:tc>
          <w:tcPr>
            <w:tcW w:type="dxa" w:w="2340"/>
          </w:tcPr>
          <w:p>
            <w:pPr>
              <w:jc w:val="left"/>
            </w:pPr>
            <w:r/>
            <w:r>
              <w:rPr>
                <w:b w:val="0"/>
                <w:sz w:val="18"/>
              </w:rPr>
              <w:t>Sustainability search intent matching</w:t>
            </w:r>
          </w:p>
        </w:tc>
        <w:tc>
          <w:tcPr>
            <w:tcW w:type="dxa" w:w="2340"/>
          </w:tcPr>
          <w:p>
            <w:pPr>
              <w:jc w:val="left"/>
            </w:pPr>
            <w:r/>
            <w:r>
              <w:rPr>
                <w:b w:val="0"/>
                <w:sz w:val="18"/>
              </w:rPr>
              <w:t>45% traffic growth</w:t>
            </w:r>
          </w:p>
        </w:tc>
      </w:tr>
      <w:tr>
        <w:tc>
          <w:tcPr>
            <w:tcW w:type="dxa" w:w="2340"/>
            <w:shd w:fill="E8F5E9" w:val="clear"/>
          </w:tcPr>
          <w:p>
            <w:pPr>
              <w:jc w:val="left"/>
            </w:pPr>
            <w:r/>
            <w:r>
              <w:rPr>
                <w:b/>
                <w:sz w:val="18"/>
              </w:rPr>
              <w:t>Greenwash Detection</w:t>
            </w:r>
          </w:p>
        </w:tc>
        <w:tc>
          <w:tcPr>
            <w:tcW w:type="dxa" w:w="2340"/>
            <w:shd w:fill="E8F5E9" w:val="clear"/>
          </w:tcPr>
          <w:p>
            <w:pPr>
              <w:jc w:val="left"/>
            </w:pPr>
            <w:r/>
            <w:r>
              <w:rPr>
                <w:b w:val="0"/>
                <w:sz w:val="18"/>
              </w:rPr>
              <w:t>Fine-tuned classifiers</w:t>
            </w:r>
          </w:p>
        </w:tc>
        <w:tc>
          <w:tcPr>
            <w:tcW w:type="dxa" w:w="2340"/>
            <w:shd w:fill="E8F5E9" w:val="clear"/>
          </w:tcPr>
          <w:p>
            <w:pPr>
              <w:jc w:val="left"/>
            </w:pPr>
            <w:r/>
            <w:r>
              <w:rPr>
                <w:b w:val="0"/>
                <w:sz w:val="18"/>
              </w:rPr>
              <w:t>Claims verification and audit</w:t>
            </w:r>
          </w:p>
        </w:tc>
        <w:tc>
          <w:tcPr>
            <w:tcW w:type="dxa" w:w="2340"/>
            <w:shd w:fill="E8F5E9" w:val="clear"/>
          </w:tcPr>
          <w:p>
            <w:pPr>
              <w:jc w:val="left"/>
            </w:pPr>
            <w:r/>
            <w:r>
              <w:rPr>
                <w:b w:val="0"/>
                <w:sz w:val="18"/>
              </w:rPr>
              <w:t>89% detection rate</w:t>
            </w:r>
          </w:p>
        </w:tc>
      </w:tr>
      <w:tr>
        <w:tc>
          <w:tcPr>
            <w:tcW w:type="dxa" w:w="2340"/>
          </w:tcPr>
          <w:p>
            <w:pPr>
              <w:jc w:val="left"/>
            </w:pPr>
            <w:r/>
            <w:r>
              <w:rPr>
                <w:b/>
                <w:sz w:val="18"/>
              </w:rPr>
              <w:t>Chatbot Engagement</w:t>
            </w:r>
          </w:p>
        </w:tc>
        <w:tc>
          <w:tcPr>
            <w:tcW w:type="dxa" w:w="2340"/>
          </w:tcPr>
          <w:p>
            <w:pPr>
              <w:jc w:val="left"/>
            </w:pPr>
            <w:r/>
            <w:r>
              <w:rPr>
                <w:b w:val="0"/>
                <w:sz w:val="18"/>
              </w:rPr>
              <w:t>Conversational AI</w:t>
            </w:r>
          </w:p>
        </w:tc>
        <w:tc>
          <w:tcPr>
            <w:tcW w:type="dxa" w:w="2340"/>
          </w:tcPr>
          <w:p>
            <w:pPr>
              <w:jc w:val="left"/>
            </w:pPr>
            <w:r/>
            <w:r>
              <w:rPr>
                <w:b w:val="0"/>
                <w:sz w:val="18"/>
              </w:rPr>
              <w:t>Sustainability education dialogues</w:t>
            </w:r>
          </w:p>
        </w:tc>
        <w:tc>
          <w:tcPr>
            <w:tcW w:type="dxa" w:w="2340"/>
          </w:tcPr>
          <w:p>
            <w:pPr>
              <w:jc w:val="left"/>
            </w:pPr>
            <w:r/>
            <w:r>
              <w:rPr>
                <w:b w:val="0"/>
                <w:sz w:val="18"/>
              </w:rPr>
              <w:t>67% completion rate</w:t>
            </w:r>
          </w:p>
        </w:tc>
      </w:tr>
    </w:tbl>
    <w:p/>
    <w:p>
      <w:pPr>
        <w:ind w:firstLine="720"/>
      </w:pPr>
      <w:r>
        <w:t>Table 2 summarizes the key NLP applications and their effectiveness in sustainable content marketing. Particularly noteworthy is the emergence of AI-powered greenwashing detection systems that use trained classifiers to identify potentially misleading environmental claims in marketing content before publication, serving as an automated compliance layer that protects both consumers and brand reputation [32]. These systems compare marketing claims against verified environmental data, supply chain records, and certification databases to flag inconsistencies that could constitute greenwashing. The integration of these detection systems into content management workflows enables real-time compliance checking that prevents inadvertent greenwashing while preserving creative flexibility for marketing teams.</w:t>
      </w:r>
    </w:p>
    <w:p>
      <w:pPr>
        <w:pStyle w:val="Heading2"/>
      </w:pPr>
      <w:r>
        <w:t>2.3 Recommendation Engines, Dynamic Pricing, and Personalized Sustainability Campaigns</w:t>
      </w:r>
    </w:p>
    <w:p>
      <w:pPr>
        <w:ind w:firstLine="720"/>
      </w:pPr>
      <w:r>
        <w:t>AI-powered recommendation engines represent a pivotal mechanism for promoting sustainable consumption through personalized product suggestions that balance consumer preferences with environmental considerations. Collaborative filtering and content-based recommendation systems can be augmented with sustainability scoring algorithms that factor carbon footprint, recyclability, ethical sourcing, and durability into product ranking decisions [33]. This approach creates 'sustainability nudges' within digital shopping experiences, gently steering consumers toward more environmentally responsible choices without imposing prescriptive limitations on product selection. The effectiveness of these nudge-based approaches lies in their subtlety—consumers retain full agency over purchasing decisions while receiving contextual sustainability information that facilitates informed choice.</w:t>
      </w:r>
    </w:p>
    <w:p>
      <w:pPr>
        <w:ind w:firstLine="720"/>
      </w:pPr>
      <w:r>
        <w:t>Dynamic pricing algorithms enhanced with sustainability parameters enable real-time price adjustments that reflect environmental externalities, creating economic incentives for sustainable purchasing decisions [34]. These systems can implement carbon-adjusted pricing where products with lower environmental footprints receive preferential pricing, effectively internalizing environmental costs that traditional market mechanisms fail to capture. Reinforcement learning approaches optimize pricing strategies that maximize both revenue and sustainability outcomes, discovering pricing equilibria where sustainable products become economically competitive with conventional alternatives [35]. The dynamic nature of these pricing systems enables responsive adjustment to market conditions, supply chain sustainability improvements, and evolving consumer price sensitivity, creating adaptive economic incentive structures.</w:t>
      </w:r>
    </w:p>
    <w:p>
      <w:pPr>
        <w:ind w:firstLine="720"/>
      </w:pPr>
      <w:r>
        <w:t>Personalized sustainability campaigns leverage multi-channel orchestration AI to deliver coordinated messaging across email, social media, push notifications, and display advertising. Campaign optimization algorithms determine the optimal channel mix, timing, frequency, and content variation for each consumer segment, maximizing sustainability message retention while minimizing digital advertising waste [36]. Attribution modeling powered by machine learning enables accurate measurement of how sustainability messaging contributes to conversion across complex, multi-touchpoint customer journeys, providing evidence-based justification for continued investment in sustainability marketing initiatives. These attribution models resolve the long-standing challenge of connecting sustainability-focused brand building activities to bottom-line commercial outcomes.</w:t>
      </w:r>
    </w:p>
    <w:p>
      <w:pPr>
        <w:ind w:firstLine="720"/>
      </w:pPr>
      <w:r>
        <w:t>The integration of computer vision AI further enhances sustainability marketing through automated recognition and promotion of sustainable product attributes in visual content. Image recognition models identify eco-labels, recycled material indicators, and sustainable packaging in product images, enabling automated sustainability-focused merchandising across e-commerce platforms [37]. Augmented reality experiences powered by AI allow consumers to visualize the environmental impact of their purchasing decisions, creating immersive educational experiences that strengthen the emotional connection between consumer behavior and environmental outcomes. These visual AI applications bridge the abstraction gap between environmental statistics and personal consumer experience, making sustainability impacts tangible and emotionally resonant.</w:t>
      </w:r>
    </w:p>
    <w:p>
      <w:pPr>
        <w:ind w:firstLine="720"/>
      </w:pPr>
      <w:r>
        <w:t>Multi-objective optimization frameworks that simultaneously balance commercial performance, consumer satisfaction, and environmental impact represent the most advanced application of AI in sustainable campaign management. These frameworks employ Pareto optimization techniques to identify campaign configurations that achieve maximum sustainability impact without unacceptable commercial trade-offs, providing decision-makers with transparent visualization of the sustainability-profitability frontier [36]. By quantifying these trade-offs explicitly, AI systems enable evidence-based strategic decisions about how much commercial efficiency organizations are willing to sacrifice for additional sustainability impact, moving these decisions from subjective judgment to data-informed governance.</w:t>
      </w:r>
    </w:p>
    <w:p>
      <w:r>
        <w:br w:type="page"/>
      </w:r>
    </w:p>
    <w:p>
      <w:pPr>
        <w:pStyle w:val="Heading1"/>
      </w:pPr>
      <w:r>
        <w:t>3. Responsible AI and Sustainable Brand–Consumer Relationships</w:t>
      </w:r>
    </w:p>
    <w:p>
      <w:pPr>
        <w:pStyle w:val="Heading2"/>
      </w:pPr>
      <w:r>
        <w:t>3.1 Algorithmic Bias, Data Privacy, and Consumer Trust</w:t>
      </w:r>
    </w:p>
    <w:p>
      <w:pPr>
        <w:ind w:firstLine="720"/>
      </w:pPr>
      <w:r>
        <w:t>The deployment of AI in sustainability marketing raises critical concerns regarding algorithmic bias that may systematically disadvantage certain consumer groups or perpetuate inequitable access to sustainable products and information. Machine learning models trained on historical data may inherit and amplify existing socioeconomic biases, potentially directing sustainability messaging predominantly toward affluent demographics while neglecting communities disproportionately affected by environmental degradation [38]. This algorithmic inequity undermines the inclusive ethos of sustainability and risks creating a 'green divide' where sustainable consumption remains a privilege of economically advantaged populations. The environmental justice implications of biased AI marketing systems demand particular attention, as communities most vulnerable to environmental harm are frequently those most underserved by sustainability marketing algorithms.</w:t>
      </w:r>
    </w:p>
    <w:p>
      <w:pPr>
        <w:ind w:firstLine="720"/>
      </w:pPr>
      <w:r>
        <w:t>Data privacy considerations assume particular significance in sustainability marketing, where AI systems collect granular behavioral data to personalize environmental messaging. The European General Data Protection Regulation (GDPR), California Consumer Privacy Act (CCPA), and emerging global privacy frameworks impose strict limitations on data collection and processing practices that constrain AI-driven marketing capabilities [39]. Sustainability-focused brands face an additional ethical imperative to model responsible data practices consistent with their broader values proposition, as consumers who prioritize environmental responsibility often demonstrate heightened sensitivity to data exploitation. The intersection of data privacy and sustainability values creates a particularly demanding operating environment where brands must simultaneously demonstrate environmental and data stewardship to maintain consumer trust.</w:t>
      </w:r>
    </w:p>
    <w:p>
      <w:pPr>
        <w:ind w:firstLine="720"/>
      </w:pPr>
      <w:r>
        <w:t>Consumer trust represents the foundational currency of sustainable brand relationships, and AI deployment must enhance rather than erode this trust. Transparency regarding AI's role in marketing personalization—including clear disclosure of automated decision-making, algorithmic recommendations, and data usage—strengthens consumer confidence in brand authenticity [40]. Conversely, opaque AI systems that appear to manipulate consumer behavior toward sustainability purchases without informed consent may generate backlash that undermines both commercial objectives and sustainability goals. The development of explainable AI (XAI) techniques specifically adapted for marketing contexts enables brands to provide consumers with understandable explanations of how and why specific sustainability recommendations are generated, building trust through transparency rather than demanding blind acceptance of algorithmic suggestions.</w:t>
      </w:r>
    </w:p>
    <w:p>
      <w:pPr>
        <w:ind w:firstLine="720"/>
      </w:pPr>
      <w:r>
        <w:t>Privacy-preserving AI techniques, including differential privacy, federated learning, and homomorphic encryption, offer pathways to maintain personalization effectiveness while respecting consumer data rights [39]. These approaches enable sustainability marketing optimization without centralized collection of sensitive behavioral data, demonstrating that responsible data practices and marketing effectiveness need not be mutually exclusive. Brands that pioneer privacy-preserving AI marketing approaches may gain competitive advantage through differentiated trust propositions that resonate with privacy-conscious sustainability advocates.</w:t>
      </w:r>
    </w:p>
    <w:p>
      <w:pPr>
        <w:pStyle w:val="Heading2"/>
      </w:pPr>
      <w:r>
        <w:t>3.2 Greenwashing, Transparency, and AI-Enabled Brand Accountability</w:t>
      </w:r>
    </w:p>
    <w:p>
      <w:pPr>
        <w:ind w:firstLine="720"/>
      </w:pPr>
      <w:r>
        <w:t>Greenwashing—the practice of making misleading environmental claims to capitalize on sustainability trends—represents one of the most significant threats to genuine sustainability marketing efforts. AI technologies both exacerbate and mitigate greenwashing risks. On one hand, sophisticated language models can generate persuasive sustainability narratives that lack substantive environmental backing, making greenwashing more convincing and difficult to detect through traditional scrutiny [18]. On the other hand, AI-powered verification systems offer unprecedented capabilities for automated claims checking, supply chain traceability, and real-time sustainability performance monitoring. This duality demands that the marketing industry proactively develop governance frameworks that harness AI's verification capabilities while constraining its potential for sophisticated deception.</w:t>
      </w:r>
    </w:p>
    <w:p>
      <w:pPr>
        <w:ind w:firstLine="720"/>
      </w:pPr>
      <w:r>
        <w:t>Blockchain-AI integration enables transparent sustainability credential verification where marketing claims are automatically validated against immutable records of environmental performance data [41]. Natural language processing models trained on regulatory guidelines and sustainability standards can flag potentially problematic claims before publication, functioning as automated compliance assistants that reduce inadvertent greenwashing while maintaining creative flexibility. Computer vision systems analyze product imagery and packaging representations to ensure visual communications accurately reflect actual sustainability attributes, preventing misleading visual greenwashing tactics. The combination of these AI verification technologies creates a comprehensive accountability infrastructure that makes greenwashing increasingly difficult to execute at scale.</w:t>
      </w:r>
    </w:p>
    <w:p>
      <w:pPr>
        <w:jc w:val="center"/>
      </w:pPr>
      <w:r>
        <w:rPr>
          <w:b/>
          <w:sz w:val="20"/>
        </w:rPr>
        <w:t>Table 3. AI Technologies for Greenwashing Detection and Prevention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565C0" w:val="clear"/>
          </w:tcPr>
          <w:p>
            <w:pPr>
              <w:jc w:val="center"/>
            </w:pPr>
            <w:r/>
            <w:r>
              <w:rPr>
                <w:b/>
                <w:color w:val="FFFFFF"/>
                <w:sz w:val="18"/>
              </w:rPr>
              <w:t>Detection Method</w:t>
            </w:r>
          </w:p>
        </w:tc>
        <w:tc>
          <w:tcPr>
            <w:tcW w:type="dxa" w:w="2340"/>
            <w:shd w:fill="1565C0" w:val="clear"/>
          </w:tcPr>
          <w:p>
            <w:pPr>
              <w:jc w:val="center"/>
            </w:pPr>
            <w:r/>
            <w:r>
              <w:rPr>
                <w:b/>
                <w:color w:val="FFFFFF"/>
                <w:sz w:val="18"/>
              </w:rPr>
              <w:t>AI Technology</w:t>
            </w:r>
          </w:p>
        </w:tc>
        <w:tc>
          <w:tcPr>
            <w:tcW w:type="dxa" w:w="2340"/>
            <w:shd w:fill="1565C0" w:val="clear"/>
          </w:tcPr>
          <w:p>
            <w:pPr>
              <w:jc w:val="center"/>
            </w:pPr>
            <w:r/>
            <w:r>
              <w:rPr>
                <w:b/>
                <w:color w:val="FFFFFF"/>
                <w:sz w:val="18"/>
              </w:rPr>
              <w:t>Application Domain</w:t>
            </w:r>
          </w:p>
        </w:tc>
        <w:tc>
          <w:tcPr>
            <w:tcW w:type="dxa" w:w="2340"/>
            <w:shd w:fill="1565C0" w:val="clear"/>
          </w:tcPr>
          <w:p>
            <w:pPr>
              <w:jc w:val="center"/>
            </w:pPr>
            <w:r/>
            <w:r>
              <w:rPr>
                <w:b/>
                <w:color w:val="FFFFFF"/>
                <w:sz w:val="18"/>
              </w:rPr>
              <w:t>Accuracy/Impact</w:t>
            </w:r>
          </w:p>
        </w:tc>
      </w:tr>
      <w:tr>
        <w:tc>
          <w:tcPr>
            <w:tcW w:type="dxa" w:w="2340"/>
            <w:shd w:fill="FFF3E0" w:val="clear"/>
          </w:tcPr>
          <w:p>
            <w:pPr>
              <w:jc w:val="left"/>
            </w:pPr>
            <w:r/>
            <w:r>
              <w:rPr>
                <w:b/>
                <w:sz w:val="18"/>
              </w:rPr>
              <w:t>Claims Verification</w:t>
            </w:r>
          </w:p>
        </w:tc>
        <w:tc>
          <w:tcPr>
            <w:tcW w:type="dxa" w:w="2340"/>
            <w:shd w:fill="FFF3E0" w:val="clear"/>
          </w:tcPr>
          <w:p>
            <w:pPr>
              <w:jc w:val="left"/>
            </w:pPr>
            <w:r/>
            <w:r>
              <w:rPr>
                <w:b w:val="0"/>
                <w:sz w:val="18"/>
              </w:rPr>
              <w:t>NLP + Knowledge Graphs</w:t>
            </w:r>
          </w:p>
        </w:tc>
        <w:tc>
          <w:tcPr>
            <w:tcW w:type="dxa" w:w="2340"/>
            <w:shd w:fill="FFF3E0" w:val="clear"/>
          </w:tcPr>
          <w:p>
            <w:pPr>
              <w:jc w:val="left"/>
            </w:pPr>
            <w:r/>
            <w:r>
              <w:rPr>
                <w:b w:val="0"/>
                <w:sz w:val="18"/>
              </w:rPr>
              <w:t>Marketing copy analysis</w:t>
            </w:r>
          </w:p>
        </w:tc>
        <w:tc>
          <w:tcPr>
            <w:tcW w:type="dxa" w:w="2340"/>
            <w:shd w:fill="FFF3E0" w:val="clear"/>
          </w:tcPr>
          <w:p>
            <w:pPr>
              <w:jc w:val="left"/>
            </w:pPr>
            <w:r/>
            <w:r>
              <w:rPr>
                <w:b w:val="0"/>
                <w:sz w:val="18"/>
              </w:rPr>
              <w:t>89% precision</w:t>
            </w:r>
          </w:p>
        </w:tc>
      </w:tr>
      <w:tr>
        <w:tc>
          <w:tcPr>
            <w:tcW w:type="dxa" w:w="2340"/>
          </w:tcPr>
          <w:p>
            <w:pPr>
              <w:jc w:val="left"/>
            </w:pPr>
            <w:r/>
            <w:r>
              <w:rPr>
                <w:b/>
                <w:sz w:val="18"/>
              </w:rPr>
              <w:t>Supply Chain Tracing</w:t>
            </w:r>
          </w:p>
        </w:tc>
        <w:tc>
          <w:tcPr>
            <w:tcW w:type="dxa" w:w="2340"/>
          </w:tcPr>
          <w:p>
            <w:pPr>
              <w:jc w:val="left"/>
            </w:pPr>
            <w:r/>
            <w:r>
              <w:rPr>
                <w:b w:val="0"/>
                <w:sz w:val="18"/>
              </w:rPr>
              <w:t>Blockchain + ML</w:t>
            </w:r>
          </w:p>
        </w:tc>
        <w:tc>
          <w:tcPr>
            <w:tcW w:type="dxa" w:w="2340"/>
          </w:tcPr>
          <w:p>
            <w:pPr>
              <w:jc w:val="left"/>
            </w:pPr>
            <w:r/>
            <w:r>
              <w:rPr>
                <w:b w:val="0"/>
                <w:sz w:val="18"/>
              </w:rPr>
              <w:t>Origin and certification audit</w:t>
            </w:r>
          </w:p>
        </w:tc>
        <w:tc>
          <w:tcPr>
            <w:tcW w:type="dxa" w:w="2340"/>
          </w:tcPr>
          <w:p>
            <w:pPr>
              <w:jc w:val="left"/>
            </w:pPr>
            <w:r/>
            <w:r>
              <w:rPr>
                <w:b w:val="0"/>
                <w:sz w:val="18"/>
              </w:rPr>
              <w:t>94% traceability</w:t>
            </w:r>
          </w:p>
        </w:tc>
      </w:tr>
      <w:tr>
        <w:tc>
          <w:tcPr>
            <w:tcW w:type="dxa" w:w="2340"/>
            <w:shd w:fill="FFF3E0" w:val="clear"/>
          </w:tcPr>
          <w:p>
            <w:pPr>
              <w:jc w:val="left"/>
            </w:pPr>
            <w:r/>
            <w:r>
              <w:rPr>
                <w:b/>
                <w:sz w:val="18"/>
              </w:rPr>
              <w:t>Visual Authenticity</w:t>
            </w:r>
          </w:p>
        </w:tc>
        <w:tc>
          <w:tcPr>
            <w:tcW w:type="dxa" w:w="2340"/>
            <w:shd w:fill="FFF3E0" w:val="clear"/>
          </w:tcPr>
          <w:p>
            <w:pPr>
              <w:jc w:val="left"/>
            </w:pPr>
            <w:r/>
            <w:r>
              <w:rPr>
                <w:b w:val="0"/>
                <w:sz w:val="18"/>
              </w:rPr>
              <w:t>Computer Vision/CNN</w:t>
            </w:r>
          </w:p>
        </w:tc>
        <w:tc>
          <w:tcPr>
            <w:tcW w:type="dxa" w:w="2340"/>
            <w:shd w:fill="FFF3E0" w:val="clear"/>
          </w:tcPr>
          <w:p>
            <w:pPr>
              <w:jc w:val="left"/>
            </w:pPr>
            <w:r/>
            <w:r>
              <w:rPr>
                <w:b w:val="0"/>
                <w:sz w:val="18"/>
              </w:rPr>
              <w:t>Package and imagery compliance</w:t>
            </w:r>
          </w:p>
        </w:tc>
        <w:tc>
          <w:tcPr>
            <w:tcW w:type="dxa" w:w="2340"/>
            <w:shd w:fill="FFF3E0" w:val="clear"/>
          </w:tcPr>
          <w:p>
            <w:pPr>
              <w:jc w:val="left"/>
            </w:pPr>
            <w:r/>
            <w:r>
              <w:rPr>
                <w:b w:val="0"/>
                <w:sz w:val="18"/>
              </w:rPr>
              <w:t>87% detection</w:t>
            </w:r>
          </w:p>
        </w:tc>
      </w:tr>
      <w:tr>
        <w:tc>
          <w:tcPr>
            <w:tcW w:type="dxa" w:w="2340"/>
          </w:tcPr>
          <w:p>
            <w:pPr>
              <w:jc w:val="left"/>
            </w:pPr>
            <w:r/>
            <w:r>
              <w:rPr>
                <w:b/>
                <w:sz w:val="18"/>
              </w:rPr>
              <w:t>Sentiment Monitoring</w:t>
            </w:r>
          </w:p>
        </w:tc>
        <w:tc>
          <w:tcPr>
            <w:tcW w:type="dxa" w:w="2340"/>
          </w:tcPr>
          <w:p>
            <w:pPr>
              <w:jc w:val="left"/>
            </w:pPr>
            <w:r/>
            <w:r>
              <w:rPr>
                <w:b w:val="0"/>
                <w:sz w:val="18"/>
              </w:rPr>
              <w:t>Transformer Models</w:t>
            </w:r>
          </w:p>
        </w:tc>
        <w:tc>
          <w:tcPr>
            <w:tcW w:type="dxa" w:w="2340"/>
          </w:tcPr>
          <w:p>
            <w:pPr>
              <w:jc w:val="left"/>
            </w:pPr>
            <w:r/>
            <w:r>
              <w:rPr>
                <w:b w:val="0"/>
                <w:sz w:val="18"/>
              </w:rPr>
              <w:t>Public perception of claims</w:t>
            </w:r>
          </w:p>
        </w:tc>
        <w:tc>
          <w:tcPr>
            <w:tcW w:type="dxa" w:w="2340"/>
          </w:tcPr>
          <w:p>
            <w:pPr>
              <w:jc w:val="left"/>
            </w:pPr>
            <w:r/>
            <w:r>
              <w:rPr>
                <w:b w:val="0"/>
                <w:sz w:val="18"/>
              </w:rPr>
              <w:t>Real-time alerts</w:t>
            </w:r>
          </w:p>
        </w:tc>
      </w:tr>
      <w:tr>
        <w:tc>
          <w:tcPr>
            <w:tcW w:type="dxa" w:w="2340"/>
            <w:shd w:fill="FFF3E0" w:val="clear"/>
          </w:tcPr>
          <w:p>
            <w:pPr>
              <w:jc w:val="left"/>
            </w:pPr>
            <w:r/>
            <w:r>
              <w:rPr>
                <w:b/>
                <w:sz w:val="18"/>
              </w:rPr>
              <w:t>Regulatory Compliance</w:t>
            </w:r>
          </w:p>
        </w:tc>
        <w:tc>
          <w:tcPr>
            <w:tcW w:type="dxa" w:w="2340"/>
            <w:shd w:fill="FFF3E0" w:val="clear"/>
          </w:tcPr>
          <w:p>
            <w:pPr>
              <w:jc w:val="left"/>
            </w:pPr>
            <w:r/>
            <w:r>
              <w:rPr>
                <w:b w:val="0"/>
                <w:sz w:val="18"/>
              </w:rPr>
              <w:t>Rule-based + ML Hybrid</w:t>
            </w:r>
          </w:p>
        </w:tc>
        <w:tc>
          <w:tcPr>
            <w:tcW w:type="dxa" w:w="2340"/>
            <w:shd w:fill="FFF3E0" w:val="clear"/>
          </w:tcPr>
          <w:p>
            <w:pPr>
              <w:jc w:val="left"/>
            </w:pPr>
            <w:r/>
            <w:r>
              <w:rPr>
                <w:b w:val="0"/>
                <w:sz w:val="18"/>
              </w:rPr>
              <w:t>FTC/EU Green Claims Directive</w:t>
            </w:r>
          </w:p>
        </w:tc>
        <w:tc>
          <w:tcPr>
            <w:tcW w:type="dxa" w:w="2340"/>
            <w:shd w:fill="FFF3E0" w:val="clear"/>
          </w:tcPr>
          <w:p>
            <w:pPr>
              <w:jc w:val="left"/>
            </w:pPr>
            <w:r/>
            <w:r>
              <w:rPr>
                <w:b w:val="0"/>
                <w:sz w:val="18"/>
              </w:rPr>
              <w:t>91% compliance match</w:t>
            </w:r>
          </w:p>
        </w:tc>
      </w:tr>
    </w:tbl>
    <w:p/>
    <w:p>
      <w:pPr>
        <w:ind w:firstLine="720"/>
      </w:pPr>
      <w:r>
        <w:t>As illustrated in Table 3, multiple AI-powered approaches contribute to a comprehensive greenwashing defense ecosystem. The regulatory landscape is evolving rapidly, with the EU Green Claims Directive and FTC Green Guides imposing increasingly stringent requirements for substantiation of environmental marketing claims [42]. AI systems that integrate regulatory databases with real-time marketing content analysis provide brands with proactive compliance capabilities that reduce legal risk while building consumer trust through verifiable transparency. The combination of regulatory pressure and technological capability creates conditions for a fundamental shift from voluntary sustainability claims to verifiable, AI-audited environmental performance reporting integrated directly into marketing communications.</w:t>
      </w:r>
    </w:p>
    <w:p>
      <w:pPr>
        <w:pStyle w:val="Heading2"/>
      </w:pPr>
      <w:r>
        <w:t>3.3 Environmental Footprint of AI and Responsible AI Design</w:t>
      </w:r>
    </w:p>
    <w:p>
      <w:pPr>
        <w:ind w:firstLine="720"/>
      </w:pPr>
      <w:r>
        <w:t>A critical paradox of AI-powered sustainability marketing lies in the substantial environmental footprint of AI systems themselves. Training large language models can emit hundreds of tons of CO2 equivalent, while real-time inference operations across millions of consumer interactions consume significant energy resources [6]. The environmental cost of AI must be weighed against its sustainability benefits, creating a net impact calculus that responsible organizations must carefully manage. Figure 3 presents an analysis of carbon emissions distribution across AI marketing activities and projected trajectories under responsible AI design practices, illustrating both the challenge and the opportunity for environmental optimization.</w:t>
      </w:r>
    </w:p>
    <w:p/>
    <w:p>
      <w:pPr>
        <w:jc w:val="center"/>
      </w:pPr>
      <w:r>
        <w:drawing>
          <wp:inline xmlns:a="http://schemas.openxmlformats.org/drawingml/2006/main" xmlns:pic="http://schemas.openxmlformats.org/drawingml/2006/picture">
            <wp:extent cx="5029200" cy="2272703"/>
            <wp:docPr id="3" name="Picture 3"/>
            <wp:cNvGraphicFramePr>
              <a:graphicFrameLocks noChangeAspect="1"/>
            </wp:cNvGraphicFramePr>
            <a:graphic>
              <a:graphicData uri="http://schemas.openxmlformats.org/drawingml/2006/picture">
                <pic:pic>
                  <pic:nvPicPr>
                    <pic:cNvPr id="0" name="Figure_3_Environmental_Footprint_AI.png"/>
                    <pic:cNvPicPr/>
                  </pic:nvPicPr>
                  <pic:blipFill>
                    <a:blip r:embed="rId11"/>
                    <a:stretch>
                      <a:fillRect/>
                    </a:stretch>
                  </pic:blipFill>
                  <pic:spPr>
                    <a:xfrm>
                      <a:off x="0" y="0"/>
                      <a:ext cx="5029200" cy="2272703"/>
                    </a:xfrm>
                    <a:prstGeom prst="rect"/>
                  </pic:spPr>
                </pic:pic>
              </a:graphicData>
            </a:graphic>
          </wp:inline>
        </w:drawing>
      </w:r>
    </w:p>
    <w:p>
      <w:pPr>
        <w:jc w:val="center"/>
      </w:pPr>
      <w:r>
        <w:rPr>
          <w:b/>
          <w:sz w:val="20"/>
        </w:rPr>
        <w:t>Figure 3. Environmental Footprint of AI Marketing Systems: (Left) Carbon emissions distribution by AI marketing activity; (Right) Projected carbon footprint trajectories comparing traditional versus responsible AI marketing approaches.</w:t>
      </w:r>
    </w:p>
    <w:p>
      <w:pPr>
        <w:ind w:firstLine="720"/>
      </w:pPr>
      <w:r>
        <w:t>As demonstrated in Figure 3, model training represents the largest single contributor to AI marketing carbon emissions at 45%, followed by real-time inference at 25%. However, the trajectory comparison reveals that responsible AI design practices—including model compression, efficient architectures, renewable energy computing, and intelligent caching—can dramatically reduce the environmental footprint while maintaining marketing effectiveness. Responsible AI design for sustainability marketing encompasses multiple strategies including model distillation to create smaller, more efficient models that maintain predictive accuracy; federated learning approaches that reduce data transfer requirements; and green computing infrastructure powered by renewable energy sources [7]. The projected divergence between traditional and responsible AI trajectories underscores the importance of proactive environmental management of AI marketing infrastructure.</w:t>
      </w:r>
    </w:p>
    <w:p>
      <w:pPr>
        <w:ind w:firstLine="720"/>
      </w:pPr>
      <w:r>
        <w:t>Edge computing architectures enable localized AI inference that reduces network transmission energy while improving response latency for real-time marketing personalization. Sparse attention mechanisms and mixture-of-experts architectures reduce computational requirements for large language models used in content generation, enabling sustainability content production with significantly lower energy consumption [32]. Carbon-aware computing frameworks that schedule non-time-critical AI workloads during periods of high renewable energy availability further reduce the net environmental impact of AI marketing systems. Organizations committed to responsible AI marketing should establish transparent carbon accounting practices for their AI infrastructure, publishing regular sustainability reports that quantify the environmental cost-benefit ratio of their AI-powered marketing initiatives.</w:t>
      </w:r>
    </w:p>
    <w:p>
      <w:pPr>
        <w:ind w:firstLine="720"/>
      </w:pPr>
      <w:r>
        <w:t>The concept of 'sustainable AI' extends beyond energy efficiency to encompass broader ethical considerations including model fairness, transparency, and societal impact. Responsible AI frameworks specifically designed for marketing applications integrate environmental impact assessment alongside traditional performance metrics, ensuring that AI deployment decisions consider ecological consequences alongside commercial benefits [14]. Industry initiatives such as the Partnership on AI, the AI Ethics Guidelines of the European Commission, and sector-specific sustainability standards provide governance frameworks that guide responsible AI development in marketing contexts. The maturation of these governance frameworks creates opportunities for industry-wide standardization of AI environmental impact reporting, enabling meaningful comparison and benchmarking across organizations and sectors.</w:t>
      </w:r>
    </w:p>
    <w:p>
      <w:pPr>
        <w:ind w:firstLine="720"/>
      </w:pPr>
      <w:r>
        <w:t>Lifecycle assessment methodologies adapted for AI systems enable comprehensive evaluation of environmental impact from hardware manufacturing through model training, deployment, inference, and eventual decommissioning. These assessments reveal that the environmental footprint of AI marketing extends beyond operational energy consumption to include embedded carbon in hardware, water usage for data center cooling, and electronic waste from obsolescent computing infrastructure [32]. A holistic sustainability evaluation of AI marketing systems must account for these full lifecycle impacts while quantifying the environmental benefits achieved through improved marketing efficiency, reduced advertising waste, and behavioral change toward sustainable consumption. Only through such comprehensive accounting can organizations confidently assert that their AI-powered sustainability marketing generates net positive environmental outcomes.</w:t>
      </w:r>
    </w:p>
    <w:p>
      <w:r>
        <w:br w:type="page"/>
      </w:r>
    </w:p>
    <w:p>
      <w:pPr>
        <w:pStyle w:val="Heading1"/>
      </w:pPr>
      <w:r>
        <w:t>4. Industry Applications, Impact Assessment, and Future Directions</w:t>
      </w:r>
    </w:p>
    <w:p>
      <w:pPr>
        <w:pStyle w:val="Heading2"/>
      </w:pPr>
      <w:r>
        <w:t>4.1 AI-Driven Sustainability Practices in Fashion, Food, and E-Commerce</w:t>
      </w:r>
    </w:p>
    <w:p>
      <w:pPr>
        <w:ind w:firstLine="720"/>
      </w:pPr>
      <w:r>
        <w:t>The fashion industry, responsible for approximately 10% of global carbon emissions and significant water pollution, represents a critical domain for AI-powered sustainability marketing [15]. AI applications in sustainable fashion marketing include demand forecasting models that reduce overproduction waste, virtual try-on technologies that decrease return-related emissions, and circular economy platforms that use recommendation algorithms to promote resale, rental, and recycling of garments. Computer vision systems enable automated classification of garment sustainability attributes including material composition, durability indicators, and end-of-life recyclability, providing consumers with transparent sustainability information at the point of purchase decision. Leading fashion retailers have reported waste reduction of 15-30% through AI-powered demand forecasting, translating directly into reduced environmental impact from overproduction and inventory disposal.</w:t>
      </w:r>
    </w:p>
    <w:p>
      <w:pPr>
        <w:ind w:firstLine="720"/>
      </w:pPr>
      <w:r>
        <w:t>In the food and beverage sector, AI-driven sustainability marketing addresses consumer concerns regarding carbon footprint, water usage, pesticide exposure, and animal welfare associated with food production. Recommendation engines that incorporate lifecycle assessment (LCA) data suggest lower-impact dietary alternatives personalized to individual taste preferences and nutritional requirements [33]. NLP-powered chatbots educate consumers about seasonal, local sourcing benefits while dynamic pricing algorithms incentivize purchase of surplus food items that would otherwise contribute to food waste. Supply chain transparency platforms, enabled by AI and blockchain integration, allow consumers to trace food products from farm to table, building trust in sustainability claims through verifiable provenance data. Food waste reduction applications powered by AI have demonstrated potential to divert millions of tons of food from landfills annually while creating economic value through surplus redistribution.</w:t>
      </w:r>
    </w:p>
    <w:p>
      <w:pPr>
        <w:ind w:firstLine="720"/>
      </w:pPr>
      <w:r>
        <w:t>E-commerce platforms leverage AI for sustainability across multiple dimensions including packaging optimization, delivery route efficiency, product longevity prediction, and sustainable product discovery enhancement. Machine learning models analyze product return patterns to identify sustainability-related return drivers—such as misleading product descriptions or inadequate durability—enabling proactive interventions that reduce return rates and associated transportation emissions [34]. Personalized sustainability dashboards powered by AI aggregate individual consumer environmental impact data across purchases, providing gamified feedback that motivates continued sustainable consumption behavior through social comparison and progress tracking mechanisms. These dashboards create ongoing engagement touchpoints that reinforce sustainable behavior beyond individual transactions, building long-term habits through continuous feedback and recognition.</w:t>
      </w:r>
    </w:p>
    <w:p/>
    <w:p>
      <w:pPr>
        <w:jc w:val="center"/>
      </w:pPr>
      <w:r>
        <w:drawing>
          <wp:inline xmlns:a="http://schemas.openxmlformats.org/drawingml/2006/main" xmlns:pic="http://schemas.openxmlformats.org/drawingml/2006/picture">
            <wp:extent cx="5029200" cy="3183622"/>
            <wp:docPr id="4" name="Picture 4"/>
            <wp:cNvGraphicFramePr>
              <a:graphicFrameLocks noChangeAspect="1"/>
            </wp:cNvGraphicFramePr>
            <a:graphic>
              <a:graphicData uri="http://schemas.openxmlformats.org/drawingml/2006/picture">
                <pic:pic>
                  <pic:nvPicPr>
                    <pic:cNvPr id="0" name="Figure_4_Industry_Applications_Matrix.png"/>
                    <pic:cNvPicPr/>
                  </pic:nvPicPr>
                  <pic:blipFill>
                    <a:blip r:embed="rId12"/>
                    <a:stretch>
                      <a:fillRect/>
                    </a:stretch>
                  </pic:blipFill>
                  <pic:spPr>
                    <a:xfrm>
                      <a:off x="0" y="0"/>
                      <a:ext cx="5029200" cy="3183622"/>
                    </a:xfrm>
                    <a:prstGeom prst="rect"/>
                  </pic:spPr>
                </pic:pic>
              </a:graphicData>
            </a:graphic>
          </wp:inline>
        </w:drawing>
      </w:r>
    </w:p>
    <w:p>
      <w:pPr>
        <w:jc w:val="center"/>
      </w:pPr>
      <w:r>
        <w:rPr>
          <w:b/>
          <w:sz w:val="20"/>
        </w:rPr>
        <w:t>Figure 4. Industry Applications Matrix showing AI-driven sustainability marketing applications across Fashion &amp; Apparel, Food &amp; Beverage, and E-Commerce &amp; Retail sectors mapped against key AI capability domains.</w:t>
      </w:r>
    </w:p>
    <w:p>
      <w:pPr>
        <w:ind w:firstLine="720"/>
      </w:pPr>
      <w:r>
        <w:t>The industry applications matrix presented in Figure 4 illustrates how common AI capabilities manifest differently across industry sectors, reflecting sector-specific sustainability challenges and consumer expectations. Cross-industry patterns emerge in the universal applicability of predictive analytics for demand optimization and NLP for sustainability communication, while sector-specific applications reflect unique environmental challenges such as textile waste in fashion, food spoilage in grocery, and packaging excess in e-commerce [35]. The matrix further demonstrates opportunities for cross-sector learning where AI innovations proven in one industry may be adapted for sustainability applications in adjacent sectors, accelerating the diffusion of effective sustainability marketing technologies across the broader economy.</w:t>
      </w:r>
    </w:p>
    <w:p>
      <w:pPr>
        <w:pStyle w:val="Heading2"/>
      </w:pPr>
      <w:r>
        <w:t>4.2 Frameworks for Measuring Environmental, Social, and Marketing Impact</w:t>
      </w:r>
    </w:p>
    <w:p>
      <w:pPr>
        <w:ind w:firstLine="720"/>
      </w:pPr>
      <w:r>
        <w:t>Effective measurement of AI-powered sustainability marketing requires integrated frameworks that capture environmental, social, and commercial outcomes simultaneously. Traditional marketing metrics—click-through rates, conversion rates, return on advertising spend—must be augmented with sustainability-specific indicators including carbon savings attributed to marketing-influenced behavioral change, waste reduction volumes, and shifts in consumer awareness and attitude toward sustainable consumption [36]. AI enables sophisticated attribution modeling that connects marketing interventions to downstream environmental outcomes, providing evidence for the business case of sustainability marketing investment. The development of standardized sustainability marketing KPIs enables benchmarking across organizations and campaigns, creating industry-wide learning that accelerates best practice adoption.</w:t>
      </w:r>
    </w:p>
    <w:p>
      <w:pPr>
        <w:jc w:val="center"/>
      </w:pPr>
      <w:r>
        <w:rPr>
          <w:b/>
          <w:sz w:val="20"/>
        </w:rPr>
        <w:t>Table 4. Integrated Impact Assessment Framework for AI-Powered Sustainability Marketing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565C0" w:val="clear"/>
          </w:tcPr>
          <w:p>
            <w:pPr>
              <w:jc w:val="center"/>
            </w:pPr>
            <w:r/>
            <w:r>
              <w:rPr>
                <w:b/>
                <w:color w:val="FFFFFF"/>
                <w:sz w:val="18"/>
              </w:rPr>
              <w:t>Impact Dimension</w:t>
            </w:r>
          </w:p>
        </w:tc>
        <w:tc>
          <w:tcPr>
            <w:tcW w:type="dxa" w:w="2340"/>
            <w:shd w:fill="1565C0" w:val="clear"/>
          </w:tcPr>
          <w:p>
            <w:pPr>
              <w:jc w:val="center"/>
            </w:pPr>
            <w:r/>
            <w:r>
              <w:rPr>
                <w:b/>
                <w:color w:val="FFFFFF"/>
                <w:sz w:val="18"/>
              </w:rPr>
              <w:t>Key Metrics</w:t>
            </w:r>
          </w:p>
        </w:tc>
        <w:tc>
          <w:tcPr>
            <w:tcW w:type="dxa" w:w="2340"/>
            <w:shd w:fill="1565C0" w:val="clear"/>
          </w:tcPr>
          <w:p>
            <w:pPr>
              <w:jc w:val="center"/>
            </w:pPr>
            <w:r/>
            <w:r>
              <w:rPr>
                <w:b/>
                <w:color w:val="FFFFFF"/>
                <w:sz w:val="18"/>
              </w:rPr>
              <w:t>AI Measurement Method</w:t>
            </w:r>
          </w:p>
        </w:tc>
        <w:tc>
          <w:tcPr>
            <w:tcW w:type="dxa" w:w="2340"/>
            <w:shd w:fill="1565C0" w:val="clear"/>
          </w:tcPr>
          <w:p>
            <w:pPr>
              <w:jc w:val="center"/>
            </w:pPr>
            <w:r/>
            <w:r>
              <w:rPr>
                <w:b/>
                <w:color w:val="FFFFFF"/>
                <w:sz w:val="18"/>
              </w:rPr>
              <w:t>Benchmark Target</w:t>
            </w:r>
          </w:p>
        </w:tc>
      </w:tr>
      <w:tr>
        <w:tc>
          <w:tcPr>
            <w:tcW w:type="dxa" w:w="2340"/>
            <w:shd w:fill="F3E5F5" w:val="clear"/>
          </w:tcPr>
          <w:p>
            <w:pPr>
              <w:jc w:val="left"/>
            </w:pPr>
            <w:r/>
            <w:r>
              <w:rPr>
                <w:b/>
                <w:sz w:val="18"/>
              </w:rPr>
              <w:t>Environmental</w:t>
            </w:r>
          </w:p>
        </w:tc>
        <w:tc>
          <w:tcPr>
            <w:tcW w:type="dxa" w:w="2340"/>
            <w:shd w:fill="F3E5F5" w:val="clear"/>
          </w:tcPr>
          <w:p>
            <w:pPr>
              <w:jc w:val="left"/>
            </w:pPr>
            <w:r/>
            <w:r>
              <w:rPr>
                <w:b w:val="0"/>
                <w:sz w:val="18"/>
              </w:rPr>
              <w:t>CO2 reduction, waste diversion, water savings</w:t>
            </w:r>
          </w:p>
        </w:tc>
        <w:tc>
          <w:tcPr>
            <w:tcW w:type="dxa" w:w="2340"/>
            <w:shd w:fill="F3E5F5" w:val="clear"/>
          </w:tcPr>
          <w:p>
            <w:pPr>
              <w:jc w:val="left"/>
            </w:pPr>
            <w:r/>
            <w:r>
              <w:rPr>
                <w:b w:val="0"/>
                <w:sz w:val="18"/>
              </w:rPr>
              <w:t>LCA integration + predictive modeling</w:t>
            </w:r>
          </w:p>
        </w:tc>
        <w:tc>
          <w:tcPr>
            <w:tcW w:type="dxa" w:w="2340"/>
            <w:shd w:fill="F3E5F5" w:val="clear"/>
          </w:tcPr>
          <w:p>
            <w:pPr>
              <w:jc w:val="left"/>
            </w:pPr>
            <w:r/>
            <w:r>
              <w:rPr>
                <w:b w:val="0"/>
                <w:sz w:val="18"/>
              </w:rPr>
              <w:t>20% annual improvement</w:t>
            </w:r>
          </w:p>
        </w:tc>
      </w:tr>
      <w:tr>
        <w:tc>
          <w:tcPr>
            <w:tcW w:type="dxa" w:w="2340"/>
          </w:tcPr>
          <w:p>
            <w:pPr>
              <w:jc w:val="left"/>
            </w:pPr>
            <w:r/>
            <w:r>
              <w:rPr>
                <w:b/>
                <w:sz w:val="18"/>
              </w:rPr>
              <w:t>Social</w:t>
            </w:r>
          </w:p>
        </w:tc>
        <w:tc>
          <w:tcPr>
            <w:tcW w:type="dxa" w:w="2340"/>
          </w:tcPr>
          <w:p>
            <w:pPr>
              <w:jc w:val="left"/>
            </w:pPr>
            <w:r/>
            <w:r>
              <w:rPr>
                <w:b w:val="0"/>
                <w:sz w:val="18"/>
              </w:rPr>
              <w:t>Consumer awareness, equity of access, community impact</w:t>
            </w:r>
          </w:p>
        </w:tc>
        <w:tc>
          <w:tcPr>
            <w:tcW w:type="dxa" w:w="2340"/>
          </w:tcPr>
          <w:p>
            <w:pPr>
              <w:jc w:val="left"/>
            </w:pPr>
            <w:r/>
            <w:r>
              <w:rPr>
                <w:b w:val="0"/>
                <w:sz w:val="18"/>
              </w:rPr>
              <w:t>Sentiment analysis + demographic tracking</w:t>
            </w:r>
          </w:p>
        </w:tc>
        <w:tc>
          <w:tcPr>
            <w:tcW w:type="dxa" w:w="2340"/>
          </w:tcPr>
          <w:p>
            <w:pPr>
              <w:jc w:val="left"/>
            </w:pPr>
            <w:r/>
            <w:r>
              <w:rPr>
                <w:b w:val="0"/>
                <w:sz w:val="18"/>
              </w:rPr>
              <w:t>30% awareness increase</w:t>
            </w:r>
          </w:p>
        </w:tc>
      </w:tr>
      <w:tr>
        <w:tc>
          <w:tcPr>
            <w:tcW w:type="dxa" w:w="2340"/>
            <w:shd w:fill="F3E5F5" w:val="clear"/>
          </w:tcPr>
          <w:p>
            <w:pPr>
              <w:jc w:val="left"/>
            </w:pPr>
            <w:r/>
            <w:r>
              <w:rPr>
                <w:b/>
                <w:sz w:val="18"/>
              </w:rPr>
              <w:t>Marketing Efficiency</w:t>
            </w:r>
          </w:p>
        </w:tc>
        <w:tc>
          <w:tcPr>
            <w:tcW w:type="dxa" w:w="2340"/>
            <w:shd w:fill="F3E5F5" w:val="clear"/>
          </w:tcPr>
          <w:p>
            <w:pPr>
              <w:jc w:val="left"/>
            </w:pPr>
            <w:r/>
            <w:r>
              <w:rPr>
                <w:b w:val="0"/>
                <w:sz w:val="18"/>
              </w:rPr>
              <w:t>ROAS, CAC, engagement rate, conversion</w:t>
            </w:r>
          </w:p>
        </w:tc>
        <w:tc>
          <w:tcPr>
            <w:tcW w:type="dxa" w:w="2340"/>
            <w:shd w:fill="F3E5F5" w:val="clear"/>
          </w:tcPr>
          <w:p>
            <w:pPr>
              <w:jc w:val="left"/>
            </w:pPr>
            <w:r/>
            <w:r>
              <w:rPr>
                <w:b w:val="0"/>
                <w:sz w:val="18"/>
              </w:rPr>
              <w:t>Multi-touch attribution + ML optimization</w:t>
            </w:r>
          </w:p>
        </w:tc>
        <w:tc>
          <w:tcPr>
            <w:tcW w:type="dxa" w:w="2340"/>
            <w:shd w:fill="F3E5F5" w:val="clear"/>
          </w:tcPr>
          <w:p>
            <w:pPr>
              <w:jc w:val="left"/>
            </w:pPr>
            <w:r/>
            <w:r>
              <w:rPr>
                <w:b w:val="0"/>
                <w:sz w:val="18"/>
              </w:rPr>
              <w:t>2.5x ROAS improvement</w:t>
            </w:r>
          </w:p>
        </w:tc>
      </w:tr>
      <w:tr>
        <w:tc>
          <w:tcPr>
            <w:tcW w:type="dxa" w:w="2340"/>
          </w:tcPr>
          <w:p>
            <w:pPr>
              <w:jc w:val="left"/>
            </w:pPr>
            <w:r/>
            <w:r>
              <w:rPr>
                <w:b/>
                <w:sz w:val="18"/>
              </w:rPr>
              <w:t>Brand Trust</w:t>
            </w:r>
          </w:p>
        </w:tc>
        <w:tc>
          <w:tcPr>
            <w:tcW w:type="dxa" w:w="2340"/>
          </w:tcPr>
          <w:p>
            <w:pPr>
              <w:jc w:val="left"/>
            </w:pPr>
            <w:r/>
            <w:r>
              <w:rPr>
                <w:b w:val="0"/>
                <w:sz w:val="18"/>
              </w:rPr>
              <w:t>NPS, brand loyalty index, advocacy rate</w:t>
            </w:r>
          </w:p>
        </w:tc>
        <w:tc>
          <w:tcPr>
            <w:tcW w:type="dxa" w:w="2340"/>
          </w:tcPr>
          <w:p>
            <w:pPr>
              <w:jc w:val="left"/>
            </w:pPr>
            <w:r/>
            <w:r>
              <w:rPr>
                <w:b w:val="0"/>
                <w:sz w:val="18"/>
              </w:rPr>
              <w:t>NLP reputation monitoring + surveys</w:t>
            </w:r>
          </w:p>
        </w:tc>
        <w:tc>
          <w:tcPr>
            <w:tcW w:type="dxa" w:w="2340"/>
          </w:tcPr>
          <w:p>
            <w:pPr>
              <w:jc w:val="left"/>
            </w:pPr>
            <w:r/>
            <w:r>
              <w:rPr>
                <w:b w:val="0"/>
                <w:sz w:val="18"/>
              </w:rPr>
              <w:t>15-point NPS increase</w:t>
            </w:r>
          </w:p>
        </w:tc>
      </w:tr>
      <w:tr>
        <w:tc>
          <w:tcPr>
            <w:tcW w:type="dxa" w:w="2340"/>
            <w:shd w:fill="F3E5F5" w:val="clear"/>
          </w:tcPr>
          <w:p>
            <w:pPr>
              <w:jc w:val="left"/>
            </w:pPr>
            <w:r/>
            <w:r>
              <w:rPr>
                <w:b/>
                <w:sz w:val="18"/>
              </w:rPr>
              <w:t>Behavioral Change</w:t>
            </w:r>
          </w:p>
        </w:tc>
        <w:tc>
          <w:tcPr>
            <w:tcW w:type="dxa" w:w="2340"/>
            <w:shd w:fill="F3E5F5" w:val="clear"/>
          </w:tcPr>
          <w:p>
            <w:pPr>
              <w:jc w:val="left"/>
            </w:pPr>
            <w:r/>
            <w:r>
              <w:rPr>
                <w:b w:val="0"/>
                <w:sz w:val="18"/>
              </w:rPr>
              <w:t>Sustainable purchase share, repeat behavior</w:t>
            </w:r>
          </w:p>
        </w:tc>
        <w:tc>
          <w:tcPr>
            <w:tcW w:type="dxa" w:w="2340"/>
            <w:shd w:fill="F3E5F5" w:val="clear"/>
          </w:tcPr>
          <w:p>
            <w:pPr>
              <w:jc w:val="left"/>
            </w:pPr>
            <w:r/>
            <w:r>
              <w:rPr>
                <w:b w:val="0"/>
                <w:sz w:val="18"/>
              </w:rPr>
              <w:t>Cohort analysis + reinforcement learning</w:t>
            </w:r>
          </w:p>
        </w:tc>
        <w:tc>
          <w:tcPr>
            <w:tcW w:type="dxa" w:w="2340"/>
            <w:shd w:fill="F3E5F5" w:val="clear"/>
          </w:tcPr>
          <w:p>
            <w:pPr>
              <w:jc w:val="left"/>
            </w:pPr>
            <w:r/>
            <w:r>
              <w:rPr>
                <w:b w:val="0"/>
                <w:sz w:val="18"/>
              </w:rPr>
              <w:t>25% behavior shift</w:t>
            </w:r>
          </w:p>
        </w:tc>
      </w:tr>
      <w:tr>
        <w:tc>
          <w:tcPr>
            <w:tcW w:type="dxa" w:w="2340"/>
          </w:tcPr>
          <w:p>
            <w:pPr>
              <w:jc w:val="left"/>
            </w:pPr>
            <w:r/>
            <w:r>
              <w:rPr>
                <w:b/>
                <w:sz w:val="18"/>
              </w:rPr>
              <w:t>Systemic Impact</w:t>
            </w:r>
          </w:p>
        </w:tc>
        <w:tc>
          <w:tcPr>
            <w:tcW w:type="dxa" w:w="2340"/>
          </w:tcPr>
          <w:p>
            <w:pPr>
              <w:jc w:val="left"/>
            </w:pPr>
            <w:r/>
            <w:r>
              <w:rPr>
                <w:b w:val="0"/>
                <w:sz w:val="18"/>
              </w:rPr>
              <w:t>Market transformation, industry standards</w:t>
            </w:r>
          </w:p>
        </w:tc>
        <w:tc>
          <w:tcPr>
            <w:tcW w:type="dxa" w:w="2340"/>
          </w:tcPr>
          <w:p>
            <w:pPr>
              <w:jc w:val="left"/>
            </w:pPr>
            <w:r/>
            <w:r>
              <w:rPr>
                <w:b w:val="0"/>
                <w:sz w:val="18"/>
              </w:rPr>
              <w:t>Network analysis + trend forecasting</w:t>
            </w:r>
          </w:p>
        </w:tc>
        <w:tc>
          <w:tcPr>
            <w:tcW w:type="dxa" w:w="2340"/>
          </w:tcPr>
          <w:p>
            <w:pPr>
              <w:jc w:val="left"/>
            </w:pPr>
            <w:r/>
            <w:r>
              <w:rPr>
                <w:b w:val="0"/>
                <w:sz w:val="18"/>
              </w:rPr>
              <w:t>Sector-wide adoption</w:t>
            </w:r>
          </w:p>
        </w:tc>
      </w:tr>
    </w:tbl>
    <w:p/>
    <w:p>
      <w:pPr>
        <w:ind w:firstLine="720"/>
      </w:pPr>
      <w:r>
        <w:t>The integrated impact framework presented in Table 4 provides a comprehensive measurement architecture that enables organizations to evaluate AI-powered sustainability marketing across six interconnected dimensions. Causal inference techniques, including instrumental variables, regression discontinuity designs, and difference-in-differences approaches adapted for marketing contexts, enable rigorous estimation of sustainability marketing's causal impact on consumer behavior and environmental outcomes [37]. These methodological advances address the fundamental attribution challenge of distinguishing marketing-driven sustainability behavior from broader societal trends toward environmental consciousness. The framework acknowledges that sustainability marketing impact operates across multiple time horizons, from immediate behavioral responses to long-term cultural shifts in consumption patterns.</w:t>
      </w:r>
    </w:p>
    <w:p>
      <w:pPr>
        <w:ind w:firstLine="720"/>
      </w:pPr>
      <w:r>
        <w:t>Real-time impact dashboards powered by streaming analytics provide continuous visibility into sustainability marketing performance, enabling rapid optimization cycles that maximize environmental benefit per marketing dollar invested. Machine learning models that predict long-term environmental impact from short-term behavioral indicators enable forward-looking assessment of campaign effectiveness, allowing marketers to prioritize interventions with the highest projected sustainability impact rather than merely those with the strongest immediate commercial performance [38]. The integration of geographic information systems (GIS) with marketing analytics enables spatial analysis of sustainability marketing impact, revealing regional variations in consumer responsiveness and environmental benefit distribution that inform resource allocation decisions.</w:t>
      </w:r>
    </w:p>
    <w:p>
      <w:pPr>
        <w:ind w:firstLine="720"/>
      </w:pPr>
      <w:r>
        <w:t>Advanced econometric techniques adapted for sustainability marketing evaluation include structural equation modeling (SEM) that maps causal pathways from marketing exposure through attitude change to behavioral modification and ultimately environmental impact. These models decompose the complex chain of effects that connects marketing investment to environmental outcomes, identifying leverage points where interventions achieve maximum sustainability impact per unit of marketing expenditure [20]. Bayesian approaches to impact estimation provide probabilistic rather than point estimates of sustainability impact, honestly communicating uncertainty while still enabling evidence-based decision-making. The combination of frequentist and Bayesian approaches provides a robust statistical foundation for sustainability marketing evaluation that satisfies both academic rigor and practical decision-making requirements.</w:t>
      </w:r>
    </w:p>
    <w:p>
      <w:pPr>
        <w:ind w:firstLine="720"/>
      </w:pPr>
      <w:r>
        <w:t>The measurement framework also incorporates counterfactual analysis—estimating what environmental outcomes would have occurred in the absence of sustainability marketing interventions—to provide rigorous quantification of marketing's incremental sustainability contribution. Synthetic control methods and matched market experiments adapted from econometric practice enable robust estimation of these counterfactuals, providing confidence in sustainability marketing ROI claims that can withstand scrutiny from investors, regulators, and skeptical consumers [37]. This rigor is essential for building institutional commitment to sustainability marketing investment, particularly in organizations where short-term financial performance pressure may conflict with longer-term sustainability objectives.</w:t>
      </w:r>
    </w:p>
    <w:p>
      <w:pPr>
        <w:pStyle w:val="Heading2"/>
      </w:pPr>
      <w:r>
        <w:t>4.3 Future Trends: AI, Digital Sustainability, and Responsible Consumer Transformation</w:t>
      </w:r>
    </w:p>
    <w:p>
      <w:pPr>
        <w:ind w:firstLine="720"/>
      </w:pPr>
      <w:r>
        <w:t>The future trajectory of AI-powered sustainability marketing points toward increasingly sophisticated integration of environmental intelligence into every aspect of digital consumer engagement. Emerging trends include the development of 'digital sustainability twins'—AI-powered virtual representations of product lifecycle environmental impacts that enable consumers to explore and compare sustainability attributes through immersive digital experiences [39]. These digital twins, combined with augmented reality interfaces, create experiential marketing opportunities where consumers can visualize the environmental consequences of their purchasing decisions in real-time, strengthening the psychological connection between consumer behavior and ecological outcomes. The immersive nature of these experiences creates emotional engagement with sustainability data that static information presentations cannot achieve.</w:t>
      </w:r>
    </w:p>
    <w:p>
      <w:pPr>
        <w:ind w:firstLine="720"/>
      </w:pPr>
      <w:r>
        <w:t>Autonomous marketing agents powered by advanced AI will increasingly manage sustainability communications with minimal human intervention, continuously optimizing messaging based on real-time consumer behavior, environmental data, and regulatory requirements [40]. These agents will integrate with Internet of Things (IoT) ecosystems to provide consumers with personalized sustainability recommendations based on real-time usage data from connected products, creating closed-loop systems where product usage information directly informs marketing strategies for sustainable alternatives and behaviors. Multi-agent systems will coordinate sustainability messaging across brand ecosystems, ensuring consistent environmental communications while adapting to platform-specific audience characteristics and engagement patterns. The emergence of agentic AI in marketing represents a paradigm shift from human-directed to AI-orchestrated sustainability communication, raising both efficiency opportunities and governance challenges.</w:t>
      </w:r>
    </w:p>
    <w:p>
      <w:pPr>
        <w:ind w:firstLine="720"/>
      </w:pPr>
      <w:r>
        <w:t>The convergence of AI with decentralized technologies—blockchain, decentralized autonomous organizations (DAOs), and token-based incentive systems—will create new mechanisms for rewarding sustainable consumer behavior through transparent, verifiable reward systems [41]. AI-powered carbon credit marketplaces will enable consumers to offset their consumption footprint through personalized offset recommendations, while smart contract-based loyalty programs automatically reward sustainable purchasing patterns with tangible benefits. The evolution toward Web3 sustainability ecosystems will democratize access to environmental impact information while creating novel economic models that align consumer, brand, and planetary interests. These decentralized systems create trust through transparency rather than relying on centralized brand authority, potentially resolving persistent consumer skepticism about corporate sustainability claims.</w:t>
      </w:r>
    </w:p>
    <w:p>
      <w:pPr>
        <w:ind w:firstLine="720"/>
      </w:pPr>
      <w:r>
        <w:t>Ethical considerations will increasingly shape the regulatory environment for AI in sustainability marketing. The EU AI Act's risk-based classification framework will likely extend to marketing applications, with sustainability claims made through AI systems subject to enhanced scrutiny and transparency requirements [42]. Industry self-regulation through initiatives such as the Responsible AI Marketing Alliance and sector-specific sustainability marketing codes will complement regulatory frameworks, establishing best practices for AI deployment that maximize sustainability benefits while minimizing risks of manipulation, bias, and environmental harm. The interplay between regulatory mandates and voluntary industry standards will shape the governance landscape for AI sustainability marketing over the coming decade.</w:t>
      </w:r>
    </w:p>
    <w:p>
      <w:pPr>
        <w:ind w:firstLine="720"/>
      </w:pPr>
      <w:r>
        <w:t>The transformation toward responsible consumer behavior represents perhaps the most significant long-term opportunity for AI-powered sustainability marketing. Rather than merely promoting sustainable products, future AI systems will support fundamental shifts in consumption patterns—from ownership to access, from quantity to quality, from linear to circular consumption models [43]. Behavioral AI that understands the psychological drivers of consumption and can design interventions that address underlying motivations rather than surface-level preferences will enable marketing strategies that genuinely transform consumer relationships with material consumption. This evolution positions AI-powered marketing as a force for systemic change rather than merely incremental product substitution, potentially contributing to the fundamental restructuring of consumer economies toward sustainability.</w:t>
      </w:r>
    </w:p>
    <w:p>
      <w:pPr>
        <w:ind w:firstLine="720"/>
      </w:pPr>
      <w:r>
        <w:t>The integration of planetary boundary science with AI marketing systems represents an emerging frontier where environmental science directly informs marketing strategy. AI models that incorporate real-time environmental monitoring data—including atmospheric CO2 levels, biodiversity indices, and resource depletion rates—can dynamically adjust marketing urgency and messaging intensity based on actual environmental conditions [43]. This science-informed approach ensures that sustainability marketing remains grounded in empirical environmental reality rather than becoming disconnected from the actual state of planetary systems. The convergence of environmental science, behavioral psychology, and AI technology creates unprecedented potential for marketing systems that are simultaneously commercially effective, environmentally responsive, and psychologically sophisticated.</w:t>
      </w:r>
    </w:p>
    <w:p>
      <w:pPr>
        <w:ind w:firstLine="720"/>
      </w:pPr>
      <w:r>
        <w:t>Emerging applications of federated and collaborative AI across brand ecosystems present opportunities for industry-wide sustainability optimization that transcends individual organizational boundaries. Consortium-based AI models trained on aggregated, anonymized data from multiple brands can identify cross-industry sustainability patterns and opportunities that individual organizations cannot detect in isolation [10]. These collaborative approaches enable the development of shared sustainability intelligence infrastructure that raises environmental performance across entire sectors while preserving competitive differentiation on other dimensions. Industry consortia focused on AI-powered sustainability marketing can establish shared measurement standards, common sustainability attribute taxonomies, and interoperable data formats that reduce friction in sustainability communication across complex value chains. The network effects of collaborative sustainability AI create increasing returns to participation, incentivizing broad industry adoption and accelerating the transition toward comprehensive sustainability integration in digital marketing practice.</w:t>
      </w:r>
    </w:p>
    <w:p>
      <w:pPr>
        <w:ind w:firstLine="720"/>
      </w:pPr>
      <w:r>
        <w:t>The democratization of AI sustainability marketing tools through cloud-based platforms and open-source frameworks will enable small and medium enterprises (SMEs) to implement sophisticated sustainability marketing strategies previously accessible only to large corporations with substantial technology budgets [12]. This democratization is essential for achieving sector-wide sustainability transformation, as SMEs collectively represent the majority of economic activity and environmental impact in most industries. Accessible AI tools that simplify sustainability measurement, content optimization, and consumer engagement enable smaller organizations to participate meaningfully in the sustainability marketing ecosystem, creating conditions for truly systemic change. Platform-based AI marketing solutions with pre-built sustainability modules and low-code interfaces will further reduce barriers to entry, enabling organizations without dedicated AI engineering teams to leverage advanced sustainability marketing capabilities. This inclusive technology landscape is essential for ensuring that the benefits of AI-powered sustainability marketing extend across the entire economic spectrum rather than remaining concentrated among resource-rich corporations.</w:t>
      </w:r>
    </w:p>
    <w:p>
      <w:pPr>
        <w:ind w:firstLine="720"/>
      </w:pPr>
      <w:r>
        <w:t>In conclusion, AI-powered digital marketing for sustainability represents a rapidly evolving field with transformative potential for both commercial success and environmental stewardship. The technologies examined in this chapter—predictive analytics, NLP, generative AI, recommendation engines, and dynamic pricing—provide powerful capabilities for engaging consumers in sustainability dialogues, optimizing resource allocation, and measuring environmental impact. However, realizing this potential requires careful attention to responsible AI design, algorithmic fairness, transparency, and the environmental footprint of AI systems themselves. As regulatory frameworks mature and consumer expectations intensify, organizations that invest in responsible AI-powered sustainability marketing will likely achieve competitive advantage while contributing meaningfully to the transition toward sustainable consumption patterns and a more environmentally responsible digital economy. The path forward demands collaborative effort between technologists, marketers, environmental scientists, and policymakers to ensure that AI's transformative capabilities are directed toward genuine sustainability outcomes rather than sophisticated greenwashing or inequitable access to environmental information. Ultimately, the success of AI-powered sustainability marketing will be measured not merely by engagement metrics or commercial returns, but by its demonstrable contribution to planetary health, social equity, and the fundamental transformation of consumption cultures toward patterns compatible with long-term human flourishing within ecological boundaries. The organizations and practitioners that embrace this broader definition of success will be those best positioned to lead in an era where sustainability transitions from competitive advantage to existential necessity.</w:t>
      </w:r>
    </w:p>
    <w:p>
      <w:r>
        <w:br w:type="page"/>
      </w:r>
    </w:p>
    <w:p>
      <w:pPr>
        <w:pStyle w:val="Heading1"/>
      </w:pPr>
      <w:r>
        <w:t>References</w:t>
      </w:r>
    </w:p>
    <w:p>
      <w:pPr>
        <w:spacing w:after="80"/>
        <w:ind w:hanging="720" w:left="720"/>
      </w:pPr>
      <w:r>
        <w:rPr>
          <w:sz w:val="20"/>
        </w:rPr>
        <w:t>[1] Kotler, P., Kartajaya, H., &amp; Setiawan, I. (2021). Marketing 5.0: Technology for humanity. John Wiley &amp; Sons.</w:t>
      </w:r>
    </w:p>
    <w:p>
      <w:pPr>
        <w:spacing w:after="80"/>
        <w:ind w:hanging="720" w:left="720"/>
      </w:pPr>
      <w:r>
        <w:rPr>
          <w:sz w:val="20"/>
        </w:rPr>
        <w:t>[2] United Nations. (2015). Transforming our world: The 2030 agenda for sustainable development. UN General Assembly Resolution A/RES/70/1.</w:t>
      </w:r>
    </w:p>
    <w:p>
      <w:pPr>
        <w:spacing w:after="80"/>
        <w:ind w:hanging="720" w:left="720"/>
      </w:pPr>
      <w:r>
        <w:rPr>
          <w:sz w:val="20"/>
        </w:rPr>
        <w:t>[3] Statista. (2024). Digital advertising spending worldwide 2024-2029. Statista Digital Market Outlook.</w:t>
      </w:r>
    </w:p>
    <w:p>
      <w:pPr>
        <w:spacing w:after="80"/>
        <w:ind w:hanging="720" w:left="720"/>
      </w:pPr>
      <w:r>
        <w:rPr>
          <w:sz w:val="20"/>
        </w:rPr>
        <w:t>[4] Nielsen. (2023). Global sustainability report: Consumer willingness to change habits for environmental sustainability. NielsenIQ.</w:t>
      </w:r>
    </w:p>
    <w:p>
      <w:pPr>
        <w:spacing w:after="80"/>
        <w:ind w:hanging="720" w:left="720"/>
      </w:pPr>
      <w:r>
        <w:rPr>
          <w:sz w:val="20"/>
        </w:rPr>
        <w:t>[5] Geissdoerfer, M., Savaget, P., Bocken, N. M., &amp; Hultink, E. J. (2017). The circular economy: A new sustainability paradigm? Journal of Cleaner Production, 143, 757-768.</w:t>
      </w:r>
    </w:p>
    <w:p>
      <w:pPr>
        <w:spacing w:after="80"/>
        <w:ind w:hanging="720" w:left="720"/>
      </w:pPr>
      <w:r>
        <w:rPr>
          <w:sz w:val="20"/>
        </w:rPr>
        <w:t>[6] Strubell, E., Ganesh, A., &amp; McCallum, A. (2019). Energy and policy considerations for deep learning in NLP. Proceedings of ACL, 3645-3650.</w:t>
      </w:r>
    </w:p>
    <w:p>
      <w:pPr>
        <w:spacing w:after="80"/>
        <w:ind w:hanging="720" w:left="720"/>
      </w:pPr>
      <w:r>
        <w:rPr>
          <w:sz w:val="20"/>
        </w:rPr>
        <w:t>[7] Schwartz, R., Dodge, J., Smith, N. A., &amp; Etzioni, O. (2020). Green AI. Communications of the ACM, 63(12), 54-63.</w:t>
      </w:r>
    </w:p>
    <w:p>
      <w:pPr>
        <w:spacing w:after="80"/>
        <w:ind w:hanging="720" w:left="720"/>
      </w:pPr>
      <w:r>
        <w:rPr>
          <w:sz w:val="20"/>
        </w:rPr>
        <w:t>[8] Davenport, T., Guha, A., Grewal, D., &amp; Bressgott, T. (2020). How artificial intelligence will change the future of marketing. Journal of the Academy of Marketing Science, 48(1), 24-42.</w:t>
      </w:r>
    </w:p>
    <w:p>
      <w:pPr>
        <w:spacing w:after="80"/>
        <w:ind w:hanging="720" w:left="720"/>
      </w:pPr>
      <w:r>
        <w:rPr>
          <w:sz w:val="20"/>
        </w:rPr>
        <w:t>[9] Kumar, V., Rajan, B., Venkatesan, R., &amp; Lecinski, J. (2019). Understanding the role of artificial intelligence in personalized engagement marketing. California Management Review, 61(4), 135-155.</w:t>
      </w:r>
    </w:p>
    <w:p>
      <w:pPr>
        <w:spacing w:after="80"/>
        <w:ind w:hanging="720" w:left="720"/>
      </w:pPr>
      <w:r>
        <w:rPr>
          <w:sz w:val="20"/>
        </w:rPr>
        <w:t>[10] Huang, M. H., &amp; Rust, R. T. (2021). A strategic framework for artificial intelligence in marketing. Journal of the Academy of Marketing Science, 49(1), 30-50.</w:t>
      </w:r>
    </w:p>
    <w:p>
      <w:pPr>
        <w:spacing w:after="80"/>
        <w:ind w:hanging="720" w:left="720"/>
      </w:pPr>
      <w:r>
        <w:rPr>
          <w:sz w:val="20"/>
        </w:rPr>
        <w:t>[11] De Bruyn, A., Viswanathan, V., Beh, Y. S., Brock, J. K. U., &amp; Von Wangenheim, F. (2020). Artificial intelligence and marketing: Pitfalls and opportunities. Journal of Interactive Marketing, 51, 91-105.</w:t>
      </w:r>
    </w:p>
    <w:p>
      <w:pPr>
        <w:spacing w:after="80"/>
        <w:ind w:hanging="720" w:left="720"/>
      </w:pPr>
      <w:r>
        <w:rPr>
          <w:sz w:val="20"/>
        </w:rPr>
        <w:t>[12] Chintalapati, S., &amp; Pandey, S. K. (2022). Artificial intelligence in marketing: A systematic literature review. International Journal of Market Research, 64(4), 481-507.</w:t>
      </w:r>
    </w:p>
    <w:p>
      <w:pPr>
        <w:spacing w:after="80"/>
        <w:ind w:hanging="720" w:left="720"/>
      </w:pPr>
      <w:r>
        <w:rPr>
          <w:sz w:val="20"/>
        </w:rPr>
        <w:t>[13] Luo, X., Tong, S., Fang, Z., &amp; Qu, Z. (2019). Frontiers: Machines vs. humans: The impact of artificial intelligence chatbot disclosure on customer purchases. Marketing Science, 38(6), 937-947.</w:t>
      </w:r>
    </w:p>
    <w:p>
      <w:pPr>
        <w:spacing w:after="80"/>
        <w:ind w:hanging="720" w:left="720"/>
      </w:pPr>
      <w:r>
        <w:rPr>
          <w:sz w:val="20"/>
        </w:rPr>
        <w:t>[14] Li, J., Xu, L., Tang, L., Wang, S., &amp; Li, L. (2018). Big data in tourism research: A literature review. Tourism Management, 68, 301-323.</w:t>
      </w:r>
    </w:p>
    <w:p>
      <w:pPr>
        <w:spacing w:after="80"/>
        <w:ind w:hanging="720" w:left="720"/>
      </w:pPr>
      <w:r>
        <w:rPr>
          <w:sz w:val="20"/>
        </w:rPr>
        <w:t>[15] McKinsey &amp; Company. (2022). The state of fashion 2022: Sustainability report. McKinsey Global Fashion Index.</w:t>
      </w:r>
    </w:p>
    <w:p>
      <w:pPr>
        <w:spacing w:after="80"/>
        <w:ind w:hanging="720" w:left="720"/>
      </w:pPr>
      <w:r>
        <w:rPr>
          <w:sz w:val="20"/>
        </w:rPr>
        <w:t>[16] White, K., Habib, R., &amp; Hardisty, D. J. (2019). How to SHIFT consumer behaviors to be more sustainable: A literature review and guiding framework. Journal of Marketing, 83(3), 22-49.</w:t>
      </w:r>
    </w:p>
    <w:p>
      <w:pPr>
        <w:spacing w:after="80"/>
        <w:ind w:hanging="720" w:left="720"/>
      </w:pPr>
      <w:r>
        <w:rPr>
          <w:sz w:val="20"/>
        </w:rPr>
        <w:t>[17] Iglesias, O., Markovic, S., Bagherzadeh, M., &amp; Singh, J. J. (2020). Co-creation: A key link between corporate social responsibility, customer trust, and customer loyalty. Journal of Business Ethics, 163(1), 151-166.</w:t>
      </w:r>
    </w:p>
    <w:p>
      <w:pPr>
        <w:spacing w:after="80"/>
        <w:ind w:hanging="720" w:left="720"/>
      </w:pPr>
      <w:r>
        <w:rPr>
          <w:sz w:val="20"/>
        </w:rPr>
        <w:t>[18] Lyon, T. P., &amp; Montgomery, A. W. (2015). The means and end of greenwash. Organization &amp; Environment, 28(2), 223-249.</w:t>
      </w:r>
    </w:p>
    <w:p>
      <w:pPr>
        <w:spacing w:after="80"/>
        <w:ind w:hanging="720" w:left="720"/>
      </w:pPr>
      <w:r>
        <w:rPr>
          <w:sz w:val="20"/>
        </w:rPr>
        <w:t>[19] Guo, Y., &amp; Barnes, S. (2011). Purchase behavior in virtual worlds: An empirical investigation in Second Life. Information &amp; Management, 48(7), 303-312.</w:t>
      </w:r>
    </w:p>
    <w:p>
      <w:pPr>
        <w:spacing w:after="80"/>
        <w:ind w:hanging="720" w:left="720"/>
      </w:pPr>
      <w:r>
        <w:rPr>
          <w:sz w:val="20"/>
        </w:rPr>
        <w:t>[20] Wedel, M., &amp; Kannan, P. K. (2016). Marketing analytics for data-rich environments. Journal of Marketing, 80(6), 97-121.</w:t>
      </w:r>
    </w:p>
    <w:p>
      <w:pPr>
        <w:spacing w:after="80"/>
        <w:ind w:hanging="720" w:left="720"/>
      </w:pPr>
      <w:r>
        <w:rPr>
          <w:sz w:val="20"/>
        </w:rPr>
        <w:t>[21] Yadav, R., &amp; Pathak, G. S. (2017). Determinants of consumers' green purchase behavior in a developing nation: Applying and extending the theory of planned behavior. Ecological Economics, 134, 114-122.</w:t>
      </w:r>
    </w:p>
    <w:p>
      <w:pPr>
        <w:spacing w:after="80"/>
        <w:ind w:hanging="720" w:left="720"/>
      </w:pPr>
      <w:r>
        <w:rPr>
          <w:sz w:val="20"/>
        </w:rPr>
        <w:t>[22] Syam, N., &amp; Sharma, A. (2018). Waiting for a sales renaissance in the fourth industrial revolution: Machine learning and artificial intelligence in sales research and practice. Industrial Marketing Management, 69, 135-146.</w:t>
      </w:r>
    </w:p>
    <w:p>
      <w:pPr>
        <w:spacing w:after="80"/>
        <w:ind w:hanging="720" w:left="720"/>
      </w:pPr>
      <w:r>
        <w:rPr>
          <w:sz w:val="20"/>
        </w:rPr>
        <w:t>[23] Trusov, M., Ma, L., &amp; Jamal, Z. (2016). Crumbs of the cookie: User profiling in customer-base analysis and behavioral targeting. Marketing Science, 35(3), 405-426.</w:t>
      </w:r>
    </w:p>
    <w:p>
      <w:pPr>
        <w:spacing w:after="80"/>
        <w:ind w:hanging="720" w:left="720"/>
      </w:pPr>
      <w:r>
        <w:rPr>
          <w:sz w:val="20"/>
        </w:rPr>
        <w:t>[24] Bradlow, E. T., Gangwar, M., Kopalle, P., &amp; Voleti, S. (2017). The role of big data and predictive analytics in retailing. Journal of Retailing, 93(1), 79-95.</w:t>
      </w:r>
    </w:p>
    <w:p>
      <w:pPr>
        <w:spacing w:after="80"/>
        <w:ind w:hanging="720" w:left="720"/>
      </w:pPr>
      <w:r>
        <w:rPr>
          <w:sz w:val="20"/>
        </w:rPr>
        <w:t>[25] Lemon, K. N., &amp; Verhoef, P. C. (2016). Understanding customer experience throughout the customer journey. Journal of Marketing, 80(6), 69-96.</w:t>
      </w:r>
    </w:p>
    <w:p>
      <w:pPr>
        <w:spacing w:after="80"/>
        <w:ind w:hanging="720" w:left="720"/>
      </w:pPr>
      <w:r>
        <w:rPr>
          <w:sz w:val="20"/>
        </w:rPr>
        <w:t>[26] Ascarza, E. (2018). Retention futility: Targeting high-risk customers might be ineffective. Journal of Marketing Research, 55(1), 80-98.</w:t>
      </w:r>
    </w:p>
    <w:p>
      <w:pPr>
        <w:spacing w:after="80"/>
        <w:ind w:hanging="720" w:left="720"/>
      </w:pPr>
      <w:r>
        <w:rPr>
          <w:sz w:val="20"/>
        </w:rPr>
        <w:t>[27] Peres, R., Schreier, M., Schweidel, D., &amp; Sorescu, A. (2023). On ChatGPT and beyond: How generative artificial intelligence may affect research, teaching, and practice. International Journal of Research in Marketing, 40(4), 727-740.</w:t>
      </w:r>
    </w:p>
    <w:p>
      <w:pPr>
        <w:spacing w:after="80"/>
        <w:ind w:hanging="720" w:left="720"/>
      </w:pPr>
      <w:r>
        <w:rPr>
          <w:sz w:val="20"/>
        </w:rPr>
        <w:t>[28] Hartmann, J., Huppertz, J., Schamp, C., &amp; Heitmann, M. (2019). Comparing automated text classification methods. International Journal of Research in Marketing, 36(1), 20-38.</w:t>
      </w:r>
    </w:p>
    <w:p>
      <w:pPr>
        <w:spacing w:after="80"/>
        <w:ind w:hanging="720" w:left="720"/>
      </w:pPr>
      <w:r>
        <w:rPr>
          <w:sz w:val="20"/>
        </w:rPr>
        <w:t>[29] Berger, J., Humphreys, A., Ludwig, S., Moe, W. W., Netzer, O., &amp; Schweidel, D. A. (2020). Uniting the tribes: Using text for marketing insight. Journal of Marketing, 84(1), 1-25.</w:t>
      </w:r>
    </w:p>
    <w:p>
      <w:pPr>
        <w:spacing w:after="80"/>
        <w:ind w:hanging="720" w:left="720"/>
      </w:pPr>
      <w:r>
        <w:rPr>
          <w:sz w:val="20"/>
        </w:rPr>
        <w:t>[30] Reisenbichler, M., &amp; Reutterer, T. (2019). Topic modeling in marketing: Recent advances and research opportunities. Journal of Business Economics, 89(3), 327-356.</w:t>
      </w:r>
    </w:p>
    <w:p>
      <w:pPr>
        <w:spacing w:after="80"/>
        <w:ind w:hanging="720" w:left="720"/>
      </w:pPr>
      <w:r>
        <w:rPr>
          <w:sz w:val="20"/>
        </w:rPr>
        <w:t>[31] Schwartz, E. M., Bradlow, E. T., &amp; Fader, P. S. (2017). Customer acquisition via display advertising using multi-armed bandit experiments. Marketing Science, 36(2), 234-249.</w:t>
      </w:r>
    </w:p>
    <w:p>
      <w:pPr>
        <w:spacing w:after="80"/>
        <w:ind w:hanging="720" w:left="720"/>
      </w:pPr>
      <w:r>
        <w:rPr>
          <w:sz w:val="20"/>
        </w:rPr>
        <w:t>[32] Patterson, D., Gonzalez, J., Le, Q., Liang, C., Munguia, L. M., Rothchild, D., ... &amp; Dean, J. (2021). Carbon emissions and large neural network training. arXiv preprint arXiv:2104.10350.</w:t>
      </w:r>
    </w:p>
    <w:p>
      <w:pPr>
        <w:spacing w:after="80"/>
        <w:ind w:hanging="720" w:left="720"/>
      </w:pPr>
      <w:r>
        <w:rPr>
          <w:sz w:val="20"/>
        </w:rPr>
        <w:t>[33] Jannach, D., &amp; Jugovac, M. (2019). Measuring the business value of recommender systems. ACM Transactions on Management Information Systems, 10(4), 1-23.</w:t>
      </w:r>
    </w:p>
    <w:p>
      <w:pPr>
        <w:spacing w:after="80"/>
        <w:ind w:hanging="720" w:left="720"/>
      </w:pPr>
      <w:r>
        <w:rPr>
          <w:sz w:val="20"/>
        </w:rPr>
        <w:t>[34] Elgammal, I., Ferretti, M., Risitano, M., &amp; Sorrentino, A. (2022). Dynamic pricing in e-commerce: A systematic literature review and research agenda. Journal of Revenue and Pricing Management, 21(4), 435-458.</w:t>
      </w:r>
    </w:p>
    <w:p>
      <w:pPr>
        <w:spacing w:after="80"/>
        <w:ind w:hanging="720" w:left="720"/>
      </w:pPr>
      <w:r>
        <w:rPr>
          <w:sz w:val="20"/>
        </w:rPr>
        <w:t>[35] Sutton, R. S., &amp; Barto, A. G. (2018). Reinforcement learning: An introduction (2nd ed.). MIT Press.</w:t>
      </w:r>
    </w:p>
    <w:p>
      <w:pPr>
        <w:spacing w:after="80"/>
        <w:ind w:hanging="720" w:left="720"/>
      </w:pPr>
      <w:r>
        <w:rPr>
          <w:sz w:val="20"/>
        </w:rPr>
        <w:t>[36] Kannan, P. K., &amp; Li, H. A. (2017). Digital marketing: A framework, review and research agenda. International Journal of Research in Marketing, 34(1), 22-45.</w:t>
      </w:r>
    </w:p>
    <w:p>
      <w:pPr>
        <w:spacing w:after="80"/>
        <w:ind w:hanging="720" w:left="720"/>
      </w:pPr>
      <w:r>
        <w:rPr>
          <w:sz w:val="20"/>
        </w:rPr>
        <w:t>[37] Campbell, C., Sands, S., Ferraro, C., Tsao, H. Y. J., &amp; Mavrommatis, A. (2020). From data to action: How marketers can leverage AI. Business Horizons, 63(2), 227-243.</w:t>
      </w:r>
    </w:p>
    <w:p>
      <w:pPr>
        <w:spacing w:after="80"/>
        <w:ind w:hanging="720" w:left="720"/>
      </w:pPr>
      <w:r>
        <w:rPr>
          <w:sz w:val="20"/>
        </w:rPr>
        <w:t>[38] Lambrecht, A., &amp; Tucker, C. (2019). Algorithmic bias? An empirical study of apparent gender-based discrimination in the display of STEM career ads. Management Science, 65(7), 2966-2981.</w:t>
      </w:r>
    </w:p>
    <w:p>
      <w:pPr>
        <w:spacing w:after="80"/>
        <w:ind w:hanging="720" w:left="720"/>
      </w:pPr>
      <w:r>
        <w:rPr>
          <w:sz w:val="20"/>
        </w:rPr>
        <w:t>[39] Voigt, P., &amp; Von dem Bussche, A. (2017). The EU general data protection regulation (GDPR): A practical guide. Springer International Publishing.</w:t>
      </w:r>
    </w:p>
    <w:p>
      <w:pPr>
        <w:spacing w:after="80"/>
        <w:ind w:hanging="720" w:left="720"/>
      </w:pPr>
      <w:r>
        <w:rPr>
          <w:sz w:val="20"/>
        </w:rPr>
        <w:t>[40] Jobin, A., Ienca, M., &amp; Vayena, E. (2019). The global landscape of AI ethics guidelines. Nature Machine Intelligence, 1(9), 389-399.</w:t>
      </w:r>
    </w:p>
    <w:p>
      <w:pPr>
        <w:spacing w:after="80"/>
        <w:ind w:hanging="720" w:left="720"/>
      </w:pPr>
      <w:r>
        <w:rPr>
          <w:sz w:val="20"/>
        </w:rPr>
        <w:t>[41] Saberi, S., Kouhizadeh, M., Sarkis, J., &amp; Shen, L. (2019). Blockchain technology and its relationships to sustainable supply chain management. International Journal of Production Research, 57(7), 2117-2135.</w:t>
      </w:r>
    </w:p>
    <w:p>
      <w:pPr>
        <w:spacing w:after="80"/>
        <w:ind w:hanging="720" w:left="720"/>
      </w:pPr>
      <w:r>
        <w:rPr>
          <w:sz w:val="20"/>
        </w:rPr>
        <w:t>[42] European Commission. (2023). Proposal for a directive on green claims: Substantiation and communication of environmental claims. COM(2023) 166 final.</w:t>
      </w:r>
    </w:p>
    <w:p>
      <w:pPr>
        <w:spacing w:after="80"/>
        <w:ind w:hanging="720" w:left="720"/>
      </w:pPr>
      <w:r>
        <w:rPr>
          <w:sz w:val="20"/>
        </w:rPr>
        <w:t>[43] Bocken, N. M., De Pauw, I., Bakker, C., &amp; Van Der Grinten, B. (2016). Product design and business model strategies for a circular economy. Journal of Industrial and Production Engineering, 33(5), 308-320.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