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Entropy Generation and Irreversibility Analysis of Unsteady EMHD Squeezing Flow of a Carreau Hybrid Nanofluid (AA7072–AA7075/Methanol) Between Parallel Porous Plates</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behaviour of unsteady, two-dimensional, electro-magnetohydrodynamic (EMHD) squeezing flow of a Carreau hybrid nanofluid confined between two parallel porous plates. The working fluid is a hybrid suspension in which two aluminium-alloy nanoparticle materials,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 thermal (Biot-type) and solutal slip boundary conditions. Local-similarity transformations reduce the governing partial differential equations to a locally similar ordinary differential equation (ODE) system in which the streamwise coordinate x and time t enter only through local dimensionless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confirms mesh independence to the reported numerical precision. Entropy generation is maximal near the plates and minimal in the core. The Brinkman number strongly amplifies friction and Joule irreversibilities, and the Bejan-number distribution reveals a transition from conduction-dominated irreversibility at the walls to friction-dominated irreversibility in the central region of the channel.</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arise in dampers, moulding and biomechanics [18–23].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dimensionally verified Dufour and Soret coefficients, a thermodynamically grounded entropy model,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porous plates are separated by the time-dependent gap</w:t>
      </w:r>
    </w:p>
    <w:p/>
    <w:p>
      <w:r>
        <w:t xml:space="preserve">$$</w:t>
      </w:r>
    </w:p>
    <w:p>
      <w:r>
        <w:t xml:space="preserve">h(t) = \left[\frac{\nu_f (1 - \gamma t)}{a}\right]^{1/2}</w:t>
      </w:r>
    </w:p>
    <w:p>
      <w:r>
        <w:t xml:space="preserve">\tag{1}</w:t>
      </w:r>
    </w:p>
    <w:p>
      <w:r>
        <w:t xml:space="preserve">$$</w:t>
      </w:r>
    </w:p>
    <w:p/>
    <w:p>
      <w:r>
        <w:t xml:space="preserve">where ν_f is the kinematic viscosity of the base fluid (methanol), a is a positive constant with dimension of inverse time, and γ is the squeezing-rate constant. The upper plate approaches (or recedes from) the lower plate with the squeezing velocity obtained by differentiating Eq. (1); the base-fluid viscosity ν_f (not an effective value) appears in this relation:</w:t>
      </w:r>
    </w:p>
    <w:p/>
    <w:p>
      <w:r>
        <w:t xml:space="preserve">$$</w:t>
      </w:r>
    </w:p>
    <w:p>
      <w:r>
        <w:t xml:space="preserve">v_h = \frac{dh}{dt} = -\frac{\gamma}{2}\left[\frac{\nu_f}{a(1 - \gamma t)}\right]^{1/2}</w:t>
      </w:r>
    </w:p>
    <w:p>
      <w:r>
        <w:t xml:space="preserve">\tag{2}</w:t>
      </w:r>
    </w:p>
    <w:p>
      <w:r>
        <w:t xml:space="preserve">$$</w:t>
      </w:r>
    </w:p>
    <w:p/>
    <w:p>
      <w:r>
        <w:t xml:space="preserve">Both plates are permeable (porous channel); no independent transpiration velocity is prescribed beyond the mass-conservation condition f(1) = Sq/2 established in Section 2.8. The transverse magnetic and aligned electric fields are time-dependent:</w:t>
      </w:r>
    </w:p>
    <w:p/>
    <w:p>
      <w:r>
        <w:t xml:space="preserve">$$</w:t>
      </w:r>
    </w:p>
    <w:p>
      <w:r>
        <w:t xml:space="preserve">B(t) = B_0 (1 - \gamma t)^{-1/2}</w:t>
      </w:r>
    </w:p>
    <w:p>
      <w:r>
        <w:t xml:space="preserve">\tag{3}</w:t>
      </w:r>
    </w:p>
    <w:p>
      <w:r>
        <w:t xml:space="preserve">$$</w:t>
      </w:r>
    </w:p>
    <w:p/>
    <w:p>
      <w:r>
        <w:t xml:space="preserve">$$</w:t>
      </w:r>
    </w:p>
    <w:p>
      <w:r>
        <w:t xml:space="preserve">E(t) = E_0 (1 - \gamma t)^{-3/2}</w:t>
      </w:r>
    </w:p>
    <w:p>
      <w:r>
        <w:t xml:space="preserve">\tag{4}</w:t>
      </w:r>
    </w:p>
    <w:p>
      <w:r>
        <w:t xml:space="preserve">$$</w:t>
      </w:r>
    </w:p>
    <w:p/>
    <w:p>
      <w:r>
        <w:t xml:space="preserve">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w:r>
        <w:t xml:space="preserve">$$</w:t>
      </w:r>
    </w:p>
    <w:p>
      <w:r>
        <w:t xml:space="preserve">\mu(\dot{\gamma}) = \mu_\infty + (\mu_0 - \mu_\infty)\left[1 + (\Gamma \dot{\gamma})^2\right]^{\frac{n-1}{2}}</w:t>
      </w:r>
    </w:p>
    <w:p>
      <w:r>
        <w:t xml:space="preserve">\tag{5}</w:t>
      </w:r>
    </w:p>
    <w:p>
      <w:r>
        <w:t xml:space="preserve">$$</w:t>
      </w:r>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w:r>
        <w:t xml:space="preserve">$$</w:t>
      </w:r>
    </w:p>
    <w:p>
      <w:r>
        <w:t xml:space="preserve">\mu(\dot{\gamma}) = \mu_0\left[1 + (\Gamma \dot{\gamma})^2\right]^{\frac{n-1}{2}}</w:t>
      </w:r>
    </w:p>
    <w:p>
      <w:r>
        <w:t xml:space="preserve">\tag{6}</w:t>
      </w:r>
    </w:p>
    <w:p>
      <w:r>
        <w:t xml:space="preserve">$$</w:t>
      </w:r>
    </w:p>
    <w:p/>
    <w:p>
      <w:r>
        <w:t xml:space="preserve">For n &gt; 1 the fluid is shear-thickening; for n &lt; 1 it is shear-thinning; n = 1 (or Γ → 0) recovers the Newtonian limit.</w:t>
      </w:r>
    </w:p>
    <w:p/>
    <w:p>
      <w:pPr>
        <w:pStyle w:val="Heading2"/>
      </w:pPr>
      <w:r>
        <w:t xml:space="preserve">2.3 Governing equations</w:t>
      </w:r>
    </w:p>
    <w:p/>
    <w:p>
      <w:r>
        <w:t xml:space="preserve">The continuity, x-momentum, y-momentum, energy and species equations under the usual boundary-layer scaling are</w:t>
      </w:r>
    </w:p>
    <w:p/>
    <w:p>
      <w:r>
        <w:t xml:space="preserve">$$</w:t>
      </w:r>
    </w:p>
    <w:p>
      <w:r>
        <w:t xml:space="preserve">\frac{\partial u}{\partial x} + \frac{\partial v}{\partial y} = 0</w:t>
      </w:r>
    </w:p>
    <w:p>
      <w:r>
        <w:t xml:space="preserve">\tag{7}</w:t>
      </w:r>
    </w:p>
    <w:p>
      <w:r>
        <w:t xml:space="preserve">$$</w:t>
      </w:r>
    </w:p>
    <w:p/>
    <w:p>
      <w:r>
        <w:t xml:space="preserve">$$</w:t>
      </w:r>
    </w:p>
    <w:p>
      <w:r>
        <w:t xml:space="preserve">\rho_{hnf}\left(\frac{\partial u}{\partial t} + u\frac{\partial u}{\partial x} + v\frac{\partial u}{\partial y}\right) = -\frac{\partial p}{\partial x} + \frac{\partial \tau_{xy}}{\partial y} - \frac{\mu_{hnf}}{k_p}u - \frac{\sigma_{hnf}}{\rho_{hnf}} B^2 (u - u_E) - \rho_{hnf} F_c u^2</w:t>
      </w:r>
    </w:p>
    <w:p>
      <w:r>
        <w:t xml:space="preserve">\tag{8}</w:t>
      </w:r>
    </w:p>
    <w:p>
      <w:r>
        <w:t xml:space="preserve">$$</w:t>
      </w:r>
    </w:p>
    <w:p/>
    <w:p>
      <w:r>
        <w:t xml:space="preserve">$$</w:t>
      </w:r>
    </w:p>
    <w:p>
      <w:r>
        <w:t xml:space="preserve">\rho_{hnf}\left(\frac{\partial v}{\partial t} + u\frac{\partial v}{\partial x} + v\frac{\partial v}{\partial y}\right) = -\frac{\partial p}{\partial y} + \frac{\partial \tau_{yy}}{\partial y}</w:t>
      </w:r>
    </w:p>
    <w:p>
      <w:r>
        <w:t xml:space="preserve">\tag{9}</w:t>
      </w:r>
    </w:p>
    <w:p>
      <w:r>
        <w:t xml:space="preserve">$$</w:t>
      </w:r>
    </w:p>
    <w:p/>
    <w:p>
      <w:r>
        <w:t xml:space="preserve">$$</w:t>
      </w:r>
    </w:p>
    <w:p>
      <w:r>
        <w:t xml:space="preserve">(\rho c_p)_{hnf}\left(\frac{\partial T}{\partial t} + u\frac{\partial T}{\partial x} + v\frac{\partial T}{\partial y}\right) = \kappa_{hnf}\frac{\partial^2 T}{\partial y^2} - \frac{\partial q_r}{\partial y} + \mu_{hnf}\left(\frac{\partial u}{\partial y}\right)^2 + \sigma_{hnf} B^2 (u - u_E)^2 + \frac{D_B K_T}{c_s}\frac{\partial^2 C}{\partial y^2}</w:t>
      </w:r>
    </w:p>
    <w:p>
      <w:r>
        <w:t xml:space="preserve">\tag{10}</w:t>
      </w:r>
    </w:p>
    <w:p>
      <w:r>
        <w:t xml:space="preserve">$$</w:t>
      </w:r>
    </w:p>
    <w:p/>
    <w:p>
      <w:r>
        <w:t xml:space="preserve">$$</w:t>
      </w:r>
    </w:p>
    <w:p>
      <w:r>
        <w:t xml:space="preserve">\frac{\partial C}{\partial t} + u\frac{\partial C}{\partial x} + v\frac{\partial C}{\partial y} = D_B\frac{\partial^2 C}{\partial y^2} + \frac{D_B K_T}{T_m}\frac{\partial^2 T}{\partial y^2} - k_r (C - C_0)</w:t>
      </w:r>
    </w:p>
    <w:p>
      <w:r>
        <w:t xml:space="preserve">\tag{11}</w:t>
      </w:r>
    </w:p>
    <w:p>
      <w:r>
        <w:t xml:space="preserve">$$</w:t>
      </w:r>
    </w:p>
    <w:p/>
    <w:p>
      <w:r>
        <w:t xml:space="preserve">where τ is the Carreau stress tensor, k_p is the permeability, F_c the Forchheimer inertia coefficient, u_E = E/B the electric drift velocity, D_B the mass diffusivity, K_T the thermal-diffusion ratio, c_s the concentration susceptibility, T_m the mean fluid temperature, and k_r the reaction-rate constant. The nonlinear (Rosseland) radiative flux is</w:t>
      </w:r>
    </w:p>
    <w:p/>
    <w:p>
      <w:r>
        <w:t xml:space="preserve">$$</w:t>
      </w:r>
    </w:p>
    <w:p>
      <w:r>
        <w:t xml:space="preserve">q_r = -\frac{16\sigma^*}{3 k^*}T^3\frac{\partial T}{\partial y}</w:t>
      </w:r>
    </w:p>
    <w:p>
      <w:r>
        <w:t xml:space="preserve">\tag{12}</w:t>
      </w:r>
    </w:p>
    <w:p>
      <w:r>
        <w:t xml:space="preserve">$$</w:t>
      </w:r>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w:r>
        <w:t xml:space="preserve">$$</w:t>
      </w:r>
    </w:p>
    <w:p>
      <w:r>
        <w:t xml:space="preserve">\mu_{hnf} = \frac{\mu_f}{(1 - \phi_1)^{2.5}(1 - \phi_2)^{2.5}}</w:t>
      </w:r>
    </w:p>
    <w:p>
      <w:r>
        <w:t xml:space="preserve">\tag{13}</w:t>
      </w:r>
    </w:p>
    <w:p>
      <w:r>
        <w:t xml:space="preserve">$$</w:t>
      </w:r>
    </w:p>
    <w:p/>
    <w:p>
      <w:r>
        <w:t xml:space="preserve">where φ₁ and φ₂ are the volume fractions of the AA7072 and AA7075 nanoparticle materials, respectively. The effective density, heat capacity, thermal conductivity (Maxwell–Garnett) and electrical conductivity are</w:t>
      </w:r>
    </w:p>
    <w:p/>
    <w:p>
      <w:r>
        <w:t xml:space="preserve">$$</w:t>
      </w:r>
    </w:p>
    <w:p>
      <w:r>
        <w:t xml:space="preserve">\rho_{hnf} = (1 - \phi_2)\left[(1 - \phi_1)\rho_f + \phi_1 \rho_{s1}\right] + \phi_2 \rho_{s2}</w:t>
      </w:r>
    </w:p>
    <w:p>
      <w:r>
        <w:t xml:space="preserve">\tag{14}</w:t>
      </w:r>
    </w:p>
    <w:p>
      <w:r>
        <w:t xml:space="preserve">$$</w:t>
      </w:r>
    </w:p>
    <w:p/>
    <w:p>
      <w:r>
        <w:t xml:space="preserve">$$</w:t>
      </w:r>
    </w:p>
    <w:p>
      <w:r>
        <w:t xml:space="preserve">(\rho c_p)_{hnf} = (1 - \phi_2)\left[(1 - \phi_1)(\rho c_p)_f + \phi_1 (\rho c_p)_{s1}\right] + \phi_2 (\rho c_p)_{s2}</w:t>
      </w:r>
    </w:p>
    <w:p>
      <w:r>
        <w:t xml:space="preserve">\tag{15}</w:t>
      </w:r>
    </w:p>
    <w:p>
      <w:r>
        <w:t xml:space="preserve">$$</w:t>
      </w:r>
    </w:p>
    <w:p/>
    <w:p>
      <w:r>
        <w:t xml:space="preserve">$$</w:t>
      </w:r>
    </w:p>
    <w:p>
      <w:r>
        <w:t xml:space="preserve">\frac{\kappa_{nf}}{\kappa_f} = \frac{\kappa_{s1} + 2\kappa_f - 2\phi_1(\kappa_f - \kappa_{s1})}{\kappa_{s1} + 2\kappa_f + \phi_1(\kappa_f - \kappa_{s1})}, \qquad</w:t>
      </w:r>
    </w:p>
    <w:p>
      <w:r>
        <w:t xml:space="preserve">\frac{\kappa_{hnf}}{\kappa_{nf}} = \frac{\kappa_{s2} + 2\kappa_{nf} - 2\phi_2(\kappa_{nf} - \kappa_{s2})}{\kappa_{s2} + 2\kappa_{nf} + \phi_2(\kappa_{nf} - \kappa_{s2})}</w:t>
      </w:r>
    </w:p>
    <w:p>
      <w:r>
        <w:t xml:space="preserve">\tag{16}</w:t>
      </w:r>
    </w:p>
    <w:p>
      <w:r>
        <w:t xml:space="preserve">$$</w:t>
      </w:r>
    </w:p>
    <w:p/>
    <w:p>
      <w:r>
        <w:t xml:space="preserve">$$</w:t>
      </w:r>
    </w:p>
    <w:p>
      <w:r>
        <w:t xml:space="preserve">\frac{\sigma_{nf}}{\sigma_f} = 1 + \frac{3\phi_1(\sigma_{s1}/\sigma_f - 1)}{(\sigma_{s1}/\sigma_f + 2) - \phi_1(\sigma_{s1}/\sigma_f - 1)}, \qquad</w:t>
      </w:r>
    </w:p>
    <w:p>
      <w:r>
        <w:t xml:space="preserve">\frac{\sigma_{hnf}}{\sigma_{nf}} = 1 + \frac{3\phi_2(\sigma_{s2}/\sigma_{nf} - 1)}{(\sigma_{s2}/\sigma_{nf} + 2) - \phi_2(\sigma_{s2}/\sigma_{nf} - 1)}</w:t>
      </w:r>
    </w:p>
    <w:p>
      <w:r>
        <w:t xml:space="preserve">\tag{17}</w:t>
      </w:r>
    </w:p>
    <w:p>
      <w:r>
        <w:t xml:space="preserve">$$</w:t>
      </w:r>
    </w:p>
    <w:p/>
    <w:p>
      <w:r>
        <w:t xml:space="preserve">with ν_hnf = μ_hnf/ρ_hnf. Subscripts s1 and s2 denote AA7072 and AA7075, respectively.</w:t>
      </w:r>
    </w:p>
    <w:p/>
    <w:p>
      <w:pPr>
        <w:pStyle w:val="Heading2"/>
      </w:pPr>
      <w:r>
        <w:t xml:space="preserve">2.5 Local-similarity transformation</w:t>
      </w:r>
    </w:p>
    <w:p/>
    <w:p>
      <w:r>
        <w:t xml:space="preserve">The transformation is locally similar: the streamwise coordinate x and time t survive in the local dimensionless groups listed below. Introducing</w:t>
      </w:r>
    </w:p>
    <w:p/>
    <w:p>
      <w:r>
        <w:t xml:space="preserve">$$</w:t>
      </w:r>
    </w:p>
    <w:p>
      <w:r>
        <w:t xml:space="preserve">\eta = \frac{y}{h(t)}, \qquad \psi = \left[\frac{a\nu_f}{1 - \gamma t}\right]^{1/2} x\, f(\eta), \qquad</w:t>
      </w:r>
    </w:p>
    <w:p>
      <w:r>
        <w:t xml:space="preserve">\theta(\eta) = \frac{T - T_0}{T_w - T_0}, \qquad \phi(\eta) = \frac{C - C_0}{C_w - C_0}</w:t>
      </w:r>
    </w:p>
    <w:p>
      <w:r>
        <w:t xml:space="preserve">\tag{18}</w:t>
      </w:r>
    </w:p>
    <w:p>
      <w:r>
        <w:t xml:space="preserve">$$</w:t>
      </w:r>
    </w:p>
    <w:p/>
    <w:p>
      <w:r>
        <w:t xml:space="preserve">with u = ∂ψ/∂y and v = −∂ψ/∂x, the velocity components become u = U_e f′(η) and v = −[a ν_f/(1 − γt)]^{1/2} f(η). The local dimensionless parameters, each shown with its explicit x- and/or t-dependence, are defined as</w:t>
      </w:r>
    </w:p>
    <w:p/>
    <w:p>
      <w:r>
        <w:t xml:space="preserve">$$</w:t>
      </w:r>
    </w:p>
    <w:p>
      <w:r>
        <w:t xml:space="preserve">Sq = \frac{\gamma}{a}, \quad</w:t>
      </w:r>
    </w:p>
    <w:p>
      <w:r>
        <w:t xml:space="preserve">We^2 = \frac{\Gamma^2 a^3 x^2}{\nu_f (1 - \gamma t)^3}, \quad</w:t>
      </w:r>
    </w:p>
    <w:p>
      <w:r>
        <w:t xml:space="preserve">M = \frac{\sigma_f B_0^2}{\rho_f a}, \quad</w:t>
      </w:r>
    </w:p>
    <w:p>
      <w:r>
        <w:t xml:space="preserve">Ee = \frac{E_0}{B_0 a x}, \quad</w:t>
      </w:r>
    </w:p>
    <w:p>
      <w:r>
        <w:t xml:space="preserve">Da = \frac{k_p a}{\nu_f (1 - \gamma t)}, \quad</w:t>
      </w:r>
    </w:p>
    <w:p>
      <w:r>
        <w:t xml:space="preserve">Fr = \frac{F_c x}{( 1 - \gamma t)}</w:t>
      </w:r>
    </w:p>
    <w:p>
      <w:r>
        <w:t xml:space="preserve">\tag{19}</w:t>
      </w:r>
    </w:p>
    <w:p>
      <w:r>
        <w:t xml:space="preserve">$$</w:t>
      </w:r>
    </w:p>
    <w:p/>
    <w:p>
      <w:r>
        <w:t xml:space="preserve">$$</w:t>
      </w:r>
    </w:p>
    <w:p>
      <w:r>
        <w:t xml:space="preserve">Pr = \frac{\mu_f (c_p)_f}{\kappa_f}, \quad</w:t>
      </w:r>
    </w:p>
    <w:p>
      <w:r>
        <w:t xml:space="preserve">Ec = \frac{U_e^2}{(c_p)_f (T_w - T_0)} = \frac{a^2 x^2}{(c_p)_f (T_w - T_0)(1 - \gamma t)^2}, \quad</w:t>
      </w:r>
    </w:p>
    <w:p>
      <w:r>
        <w:t xml:space="preserve">Rd = \frac{16\sigma^* T_0^3}{3 k^* \kappa_f}</w:t>
      </w:r>
    </w:p>
    <w:p>
      <w:r>
        <w:t xml:space="preserve">\tag{20}</w:t>
      </w:r>
    </w:p>
    <w:p>
      <w:r>
        <w:t xml:space="preserve">$$</w:t>
      </w:r>
    </w:p>
    <w:p/>
    <w:p>
      <w:r>
        <w:t xml:space="preserve">$$</w:t>
      </w:r>
    </w:p>
    <w:p>
      <w:r>
        <w:t xml:space="preserve">Sc = \frac{\nu_f}{D_B}, \quad</w:t>
      </w:r>
    </w:p>
    <w:p>
      <w:r>
        <w:t xml:space="preserve">Sr = \frac{D_B K_T (T_w - T_0)}{T_m \nu_f (C_w - C_0)}, \quad</w:t>
      </w:r>
    </w:p>
    <w:p>
      <w:r>
        <w:t xml:space="preserve">Df = \frac{D_B K_T (C_w - C_0)}{c_s (c_p)_f \nu_f (T_w - T_0)}, \quad</w:t>
      </w:r>
    </w:p>
    <w:p>
      <w:r>
        <w:t xml:space="preserve">K = \frac{k_r (1 - \gamma t)}{a}, \quad</w:t>
      </w:r>
    </w:p>
    <w:p>
      <w:r>
        <w:t xml:space="preserve">Bi = \frac{h_f h(t)}{\kappa_f}</w:t>
      </w:r>
    </w:p>
    <w:p>
      <w:r>
        <w:t xml:space="preserve">\tag{21}</w:t>
      </w:r>
    </w:p>
    <w:p>
      <w:r>
        <w:t xml:space="preserve">$$</w:t>
      </w:r>
    </w:p>
    <w:p/>
    <w:p>
      <w:r>
        <w:t xml:space="preserve">Here Sq is the squeezing parameter, We the Weissenberg number, M the magnetic parameter, Ee the dimensionless electric-field parameter, Da the Darcy number, Fr the Forchheimer (local inertia) parameter,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an ODE parameterised by these local groups evaluated at the station of interest.</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w:r>
        <w:t xml:space="preserve">$$</w:t>
      </w:r>
    </w:p>
    <w:p>
      <w:r>
        <w:t xml:space="preserve">\frac{\alpha_\mu}{\alpha_\rho}\left[1 + We^2 f''^2\right]^{\frac{n-3}{2}}\left[1 + n\,We^2 f''^2\right]f''' + f f'' - f'^2 - Sq\left(f' + \frac{\eta}{2}f''\right) - \frac{\alpha_\mu}{\alpha_\rho\, Da}f' - \frac{\alpha_\sigma}{\alpha_\rho}M(f' - Ee) - Fr\, f'^2 = G</w:t>
      </w:r>
    </w:p>
    <w:p>
      <w:r>
        <w:t xml:space="preserve">\tag{22}</w:t>
      </w:r>
    </w:p>
    <w:p>
      <w:r>
        <w:t xml:space="preserve">$$</w:t>
      </w:r>
    </w:p>
    <w:p/>
    <w:p>
      <w:r>
        <w:t xml:space="preserve">Differentiating Eq. (22) once with respect to η annihilates the constant G and yields the fourth-order equation that is solved numerically:</w:t>
      </w:r>
    </w:p>
    <w:p/>
    <w:p>
      <w:r>
        <w:t xml:space="preserve">$$</w:t>
      </w:r>
    </w:p>
    <w:p>
      <w:r>
        <w:t xml:space="preserve">\frac{\alpha_\mu}{\alpha_\rho}\frac{d}{d\eta}\left\{\left[1 + We^2 f''^2\right]^{\frac{n-3}{2}}\left[1 + n\,We^2 f''^2\right]f'''\right\} + f f''' - f' f'' - Sq\left(\frac{3}{2}f'' + \frac{\eta}{2}f'''\right) - \frac{\alpha_\mu}{\alpha_\rho\, Da}f'' - \frac{\alpha_\sigma}{\alpha_\rho}M f'' - 2 Fr\, f' f'' = 0</w:t>
      </w:r>
    </w:p>
    <w:p>
      <w:r>
        <w:t xml:space="preserve">\tag{23}</w:t>
      </w:r>
    </w:p>
    <w:p>
      <w:r>
        <w:t xml:space="preserve">$$</w:t>
      </w:r>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G. The information carried by G (the x-wise pressure gradient) is recovered implicitly through the fourth boundary condition: whereas the third-order equation (22) requires three conditions plus a known value of G, the fourth-order equation (23) requires four boundary conditions and determines G a posteriori by back-substituting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Applying the transformation (18) to Eqs. (10) and (11) and using the Rosseland linearisation gives</w:t>
      </w:r>
    </w:p>
    <w:p/>
    <w:p>
      <w:r>
        <w:t xml:space="preserve">$$</w:t>
      </w:r>
    </w:p>
    <w:p>
      <w:r>
        <w:t xml:space="preserve">\left[\alpha_\kappa + \frac{4}{3}Rd\, F^3\right]\theta'' + 4 Rd\,(\theta_r - 1)F^2\theta'^2 + \alpha_c \Pr\left(f\theta' - f'\theta - Sq\,\theta - \frac{Sq}{2}\eta\theta'\right) + \Pr\,\Xi = 0</w:t>
      </w:r>
    </w:p>
    <w:p>
      <w:r>
        <w:t xml:space="preserve">\tag{24}</w:t>
      </w:r>
    </w:p>
    <w:p>
      <w:r>
        <w:t xml:space="preserve">$$</w:t>
      </w:r>
    </w:p>
    <w:p/>
    <w:p>
      <w:r>
        <w:t xml:space="preserve">$$</w:t>
      </w:r>
    </w:p>
    <w:p>
      <w:r>
        <w:t xml:space="preserve">\phi'' + Sc\left(f\phi' - f'\phi - Sq\,\phi - \frac{Sq}{2}\eta\phi'\right) + Sc\,Sr\,\theta'' - K\,Sc\,\phi = 0</w:t>
      </w:r>
    </w:p>
    <w:p>
      <w:r>
        <w:t xml:space="preserve">\tag{25}</w:t>
      </w:r>
    </w:p>
    <w:p>
      <w:r>
        <w:t xml:space="preserve">$$</w:t>
      </w:r>
    </w:p>
    <w:p/>
    <w:p>
      <w:r>
        <w:t xml:space="preserve">Here θ_r = T_w/T₀ is the wall-to-ambient temperature ratio, and the dimensionless temperature function appearing in the radiative group is defined as</w:t>
      </w:r>
    </w:p>
    <w:p/>
    <w:p>
      <w:r>
        <w:t xml:space="preserve">$$</w:t>
      </w:r>
    </w:p>
    <w:p>
      <w:r>
        <w:t xml:space="preserve">F(\eta) = 1 + (\theta_r - 1)\theta(\eta)</w:t>
      </w:r>
    </w:p>
    <w:p>
      <w:r>
        <w:t xml:space="preserve">\tag{26}</w:t>
      </w:r>
    </w:p>
    <w:p>
      <w:r>
        <w:t xml:space="preserve">$$</w:t>
      </w:r>
    </w:p>
    <w:p/>
    <w:p>
      <w:r>
        <w:t xml:space="preserve">so that F = T/T₀ is dimensionless and ranges continuously from F(1) = 1 at the (ambient) upper plate to F(0) = θ_r at the heated lower plate. The combined viscous-dissipation and Joule-heating source is</w:t>
      </w:r>
    </w:p>
    <w:p/>
    <w:p>
      <w:r>
        <w:t xml:space="preserve">$$</w:t>
      </w:r>
    </w:p>
    <w:p>
      <w:r>
        <w:t xml:space="preserve">\Xi = \alpha_\mu Ec\, f''^2 + \alpha_\sigma M\, Ec\,(f' - Ee)^2 + \alpha_\rho Df\, \phi''</w:t>
      </w:r>
    </w:p>
    <w:p>
      <w:r>
        <w:t xml:space="preserve">\tag{27}</w:t>
      </w:r>
    </w:p>
    <w:p>
      <w:r>
        <w:t xml:space="preserve">$$</w:t>
      </w:r>
    </w:p>
    <w:p/>
    <w:p>
      <w:r>
        <w:rPr>
          <w:b/>
        </w:rPr>
        <w:t xml:space="preserve">Dufour term reduction.</w:t>
      </w:r>
      <w:r>
        <w:t xml:space="preserve"> The dimensional Dufour contribution in Eq. (10) is (D_B K_T/[c_s (ρc_p)_hnf]) ∂²C/∂y². With c_s identified as the mean temperature T_m and the energy equation normalised by (ρc_p)_f, the factor α_c introduced by the convective terms cancels the α_c carried by the Dufour denominator, leaving the group Pr α_ρ Df exactly, with Df as defined in Eq. (21). All dimensionless groups entering Eqs. (24)–(25) — namely Pr, Rd, Ec, Sc, Sr, Df, K and the ratios α_κ, α_c, α_μ, α_σ, α_ρ — are defined in Section 2.5.</w:t>
      </w:r>
    </w:p>
    <w:p/>
    <w:p>
      <w:pPr>
        <w:pStyle w:val="Heading2"/>
      </w:pPr>
      <w:r>
        <w:t xml:space="preserve">2.8 Boundary conditions</w:t>
      </w:r>
    </w:p>
    <w:p/>
    <w:p>
      <w:r>
        <w:t xml:space="preserve">The momentum, thermal (Biot-type) and solutal slip conditions are</w:t>
      </w:r>
    </w:p>
    <w:p/>
    <w:p>
      <w:r>
        <w:t xml:space="preserve">$$</w:t>
      </w:r>
    </w:p>
    <w:p>
      <w:r>
        <w:t xml:space="preserve">f(0) = 0, \quad f'(0) = 1 + S_1 f''(0), \quad f(1) = \frac{Sq}{2}, \quad f'(1) = 0</w:t>
      </w:r>
    </w:p>
    <w:p>
      <w:r>
        <w:t xml:space="preserve">\tag{28}</w:t>
      </w:r>
    </w:p>
    <w:p>
      <w:r>
        <w:t xml:space="preserve">$$</w:t>
      </w:r>
    </w:p>
    <w:p/>
    <w:p>
      <w:r>
        <w:t xml:space="preserve">$$</w:t>
      </w:r>
    </w:p>
    <w:p>
      <w:r>
        <w:t xml:space="preserve">\theta'(0) = -Bi\left[1 - \theta(0)\right], \quad \theta(1) = 0, \quad \phi(0) = 1 + S_3 \phi'(0), \quad \phi(1) = 0</w:t>
      </w:r>
    </w:p>
    <w:p>
      <w:r>
        <w:t xml:space="preserve">\tag{29}</w:t>
      </w:r>
    </w:p>
    <w:p>
      <w:r>
        <w:t xml:space="preserve">$$</w:t>
      </w:r>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reduced skin-friction coefficient derived from the Carreau wall shear stress τ_w = μ_hnf (∂u/∂y)[1 + (Γ ∂u/∂y)²]^{(n−1)/2} evaluated at the upper plate, non-dimensionalised, is</w:t>
      </w:r>
    </w:p>
    <w:p/>
    <w:p>
      <w:r>
        <w:t xml:space="preserve">$$</w:t>
      </w:r>
    </w:p>
    <w:p>
      <w:r>
        <w:t xml:space="preserve">Re_x^{1/2} C_f = \alpha_\mu f''(1)\left[1 + We^2 f''(1)^2\right]^{\frac{n-1}{2}}</w:t>
      </w:r>
    </w:p>
    <w:p>
      <w:r>
        <w:t xml:space="preserve">\tag{30}</w:t>
      </w:r>
    </w:p>
    <w:p>
      <w:r>
        <w:t xml:space="preserve">$$</w:t>
      </w:r>
    </w:p>
    <w:p/>
    <w:p>
      <w:r>
        <w:t xml:space="preserve">so that the property ratio α_μ and the Carreau exponent (n − 1)/2 appear exactly as in the constitutive law (6). The reduced Nusselt and Sherwood numbers are</w:t>
      </w:r>
    </w:p>
    <w:p/>
    <w:p>
      <w:r>
        <w:t xml:space="preserve">$$</w:t>
      </w:r>
    </w:p>
    <w:p>
      <w:r>
        <w:t xml:space="preserve">Re_x^{-1/2} Nu = -\left[\alpha_\kappa + \frac{4}{3}Rd\, F(1)^3\right]\theta'(1)</w:t>
      </w:r>
    </w:p>
    <w:p>
      <w:r>
        <w:t xml:space="preserve">\tag{31}</w:t>
      </w:r>
    </w:p>
    <w:p>
      <w:r>
        <w:t xml:space="preserve">$$</w:t>
      </w:r>
    </w:p>
    <w:p/>
    <w:p>
      <w:r>
        <w:t xml:space="preserve">$$</w:t>
      </w:r>
    </w:p>
    <w:p>
      <w:r>
        <w:t xml:space="preserve">Re_x^{-1/2} Sh = -\phi'(1)</w:t>
      </w:r>
    </w:p>
    <w:p>
      <w:r>
        <w:t xml:space="preserve">\tag{32}</w:t>
      </w:r>
    </w:p>
    <w:p>
      <w:r>
        <w:t xml:space="preserve">$$</w:t>
      </w:r>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w:r>
        <w:t xml:space="preserve">$$</w:t>
      </w:r>
    </w:p>
    <w:p>
      <w:r>
        <w:t xml:space="preserve">S'''_0 = \frac{k_f (T_w - T_0)^2}{T_0^2 h^2}</w:t>
      </w:r>
    </w:p>
    <w:p>
      <w:r>
        <w:t xml:space="preserve">\tag{33}</w:t>
      </w:r>
    </w:p>
    <w:p>
      <w:r>
        <w:t xml:space="preserve">$$</w:t>
      </w:r>
    </w:p>
    <w:p/>
    <w:p>
      <w:r>
        <w:t xml:space="preserve">The dimensionless entropy-generation number N_s is the sum of four physically distinct contributions — heat transfer, fluid friction, Joule dissipation and diffusive (species) irreversibility — plus the Soret–Dufour cross term:</w:t>
      </w:r>
    </w:p>
    <w:p/>
    <w:p>
      <w:r>
        <w:t xml:space="preserve">$$</w:t>
      </w:r>
    </w:p>
    <w:p>
      <w:r>
        <w:t xml:space="preserve">N_s = \underbrace{\left[\alpha_\kappa + \frac{4}{3}Rd\, F^3\right]\theta'^2}_{N_{HT}} + \underbrace{\frac{\alpha_\mu Br}{\Omega}f''^2}_{N_{FF}} + \underbrace{\frac{\alpha_\sigma Br\, M}{\Omega}(f' - Ee)^2}_{N_J} + \underbrace{\Lambda\left(\frac{\zeta}{\Omega}\right)^2\phi'^2 + \Lambda\frac{\zeta}{\Omega}\theta'\phi'}_{N_{DD}}</w:t>
      </w:r>
    </w:p>
    <w:p>
      <w:r>
        <w:t xml:space="preserve">\tag{34}</w:t>
      </w:r>
    </w:p>
    <w:p>
      <w:r>
        <w:t xml:space="preserve">$$</w:t>
      </w:r>
    </w:p>
    <w:p/>
    <w:p>
      <w:r>
        <w:t xml:space="preserve">The dimensionless groups are defined as</w:t>
      </w:r>
    </w:p>
    <w:p/>
    <w:p>
      <w:r>
        <w:t xml:space="preserve">$$</w:t>
      </w:r>
    </w:p>
    <w:p>
      <w:r>
        <w:t xml:space="preserve">Br = \frac{\mu_f U_e^2}{\kappa_f (T_w - T_0)}, \quad</w:t>
      </w:r>
    </w:p>
    <w:p>
      <w:r>
        <w:t xml:space="preserve">\Omega = \frac{T_w - T_0}{T_0}, \quad</w:t>
      </w:r>
    </w:p>
    <w:p>
      <w:r>
        <w:t xml:space="preserve">\Lambda = \frac{R\, D_B\, (C_w - C_0)}{\kappa_f}, \quad</w:t>
      </w:r>
    </w:p>
    <w:p>
      <w:r>
        <w:t xml:space="preserve">\zeta = \frac{C_w - C_0}{C_0}</w:t>
      </w:r>
    </w:p>
    <w:p>
      <w:r>
        <w:t xml:space="preserve">\tag{35}</w:t>
      </w:r>
    </w:p>
    <w:p>
      <w:r>
        <w:t xml:space="preserve">$$</w:t>
      </w:r>
    </w:p>
    <w:p/>
    <w:p>
      <w:r>
        <w:t xml:space="preserve">where Br is the Brinkman number, Ω the dimensionless temperature difference, Λ the diffusive-irreversibility parameter, ζ the dimensionless concentration difference, and R the universal gas constant (with C expressed in mol m⁻³). The four labelled groups satisfy, by construction,</w:t>
      </w:r>
    </w:p>
    <w:p/>
    <w:p>
      <w:r>
        <w:t xml:space="preserve">$$</w:t>
      </w:r>
    </w:p>
    <w:p>
      <w:r>
        <w:t xml:space="preserve">N_s = N_{HT} + N_{FF} + N_J + N_{DD}</w:t>
      </w:r>
    </w:p>
    <w:p>
      <w:r>
        <w:t xml:space="preserve">\tag{36}</w:t>
      </w:r>
    </w:p>
    <w:p>
      <w:r>
        <w:t xml:space="preserve">$$</w:t>
      </w:r>
    </w:p>
    <w:p/>
    <w:p>
      <w:pPr>
        <w:pStyle w:val="Heading2"/>
      </w:pPr>
      <w:r>
        <w:t xml:space="preserve">3.1.1 Thermodynamic basis of the diffusive term</w:t>
      </w:r>
    </w:p>
    <w:p/>
    <w:p>
      <w:r>
        <w:t xml:space="preserve">The mass-diffusion entropy production follows from linear irreversible thermodynamics. For a dilute binary mixture the local entropy production is σ_s = </w:t>
      </w:r>
      <w:r>
        <w:rPr>
          <w:b/>
        </w:rPr>
        <w:t xml:space="preserve">J</w:t>
      </w:r>
      <w:r>
        <w:t xml:space="preserve">_q · ∇(1/T) − (1/T) </w:t>
      </w:r>
      <w:r>
        <w:rPr>
          <w:b/>
        </w:rPr>
        <w:t xml:space="preserve">J</w:t>
      </w:r>
      <w:r>
        <w:t xml:space="preserve">_s · ∇(μ_c/T), where </w:t>
      </w:r>
      <w:r>
        <w:rPr>
          <w:b/>
        </w:rPr>
        <w:t xml:space="preserve">J</w:t>
      </w:r>
      <w:r>
        <w:t xml:space="preserve">_q and </w:t>
      </w:r>
      <w:r>
        <w:rPr>
          <w:b/>
        </w:rPr>
        <w:t xml:space="preserve">J</w:t>
      </w:r>
      <w:r>
        <w:t xml:space="preserve">_s are the heat- and species-diffusion fluxes and μ_c is the chemical potential. Expanding to first order about the reference state (T₀, C₀) with Fourier–Fick–Soret/Dufour closure yields a quadratic form in (∂T/∂y, ∂C/∂y). The diagonal terms give the conduction irreversibility and the pure diffusive term (R D_B/C₀)(∂C/∂y)²; the symmetric Onsager cross-coupling gives the cross term (R D_B/T₀)(∂T/∂y)(∂C/∂y). After non-dimensionalisation these map onto the two members of N_DD in Eq. (34).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w:r>
        <w:t xml:space="preserve">$$</w:t>
      </w:r>
    </w:p>
    <w:p>
      <w:r>
        <w:t xml:space="preserve">Be = \frac{N_{HT} + N_{DD}}{N_s} = \frac{N_{HT} + N_{DD}}{N_{HT} + N_{FF} + N_J + N_{DD}}</w:t>
      </w:r>
    </w:p>
    <w:p>
      <w:r>
        <w:t xml:space="preserve">\tag{37}</w:t>
      </w:r>
    </w:p>
    <w:p>
      <w:r>
        <w:t xml:space="preserve">$$</w:t>
      </w:r>
    </w:p>
    <w:p/>
    <w:p>
      <w:r>
        <w:t xml:space="preserve">The Soret–Dufour cross term is contained entirely within N_DD (second member of the brace in Eq. 34) and is therefore assigned to the numerator together with the diagonal diffusive and conduction irreversibilities. With this convention the identity (36) guarantees Be ∈ [0, 1] whenever each contribution is non-negative. The friction and Joule contributions N_FF and N_J are manifestly non-negative. Positive semidefiniteness of the (θ′, φ′) quadratic form forming N_DD requires</w:t>
      </w:r>
    </w:p>
    <w:p/>
    <w:p>
      <w:r>
        <w:t xml:space="preserve">$$</w:t>
      </w:r>
    </w:p>
    <w:p>
      <w:r>
        <w:t xml:space="preserve">\Lambda \le 4\left[\alpha_\kappa + \frac{4}{3}Rd\, F^3\right]</w:t>
      </w:r>
    </w:p>
    <w:p>
      <w:r>
        <w:t xml:space="preserve">\tag{38}</w:t>
      </w:r>
    </w:p>
    <w:p>
      <w:r>
        <w:t xml:space="preserve">$$</w:t>
      </w:r>
    </w:p>
    <w:p/>
    <w:p>
      <w:r>
        <w:t xml:space="preserve">which was verified to hold over the full parameter range reported here; consequently N_HT + N_DD ≥ 0 and Be is bounded in [0, 1] at every η, confirmed by the numerical sweep underlying Table 5 (minimum Be = 0.1124, maximum Be = 0.2918).</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displayed values of f″(1) are identical to seven decimal places across N = 100, 200, 400 collocation intervals (Table 1). We therefore state that the solution is mesh-independent to the reported numerical precision. This is consistent with — but not a direct demonstration of — the formal fourth-order accuracy of the scheme; a genuine order-of-accuracy study would require additional significant digits.</w:t>
      </w:r>
    </w:p>
    <w:p/>
    <w:p>
      <w:r>
        <w:rPr>
          <w:b/>
        </w:rPr>
        <w:t xml:space="preserve">Table 1. Grid convergence of f″(1).</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E_grid (%)</w:t>
            </w:r>
          </w:p>
        </w:tc>
      </w:tr>
      <w:tr>
        <w:tc>
          <w:tcPr>
            <w:tcBorders>
              <w:top w:val="single" w:sz="4" w:color="000000"/>
              <w:bottom w:val="single" w:sz="4" w:color="000000"/>
              <w:left w:val="single" w:sz="4" w:color="000000"/>
              <w:right w:val="single" w:sz="4" w:color="000000"/>
            </w:tcBorders>
          </w:tcPr>
          <w:p>
            <w:pPr>
              <w:spacing w:after="0"/>
            </w:pPr>
            <w:r>
              <w:t xml:space="preserve">100</w:t>
            </w:r>
          </w:p>
        </w:tc>
        <w:tc>
          <w:tcPr>
            <w:tcBorders>
              <w:top w:val="single" w:sz="4" w:color="000000"/>
              <w:bottom w:val="single" w:sz="4" w:color="000000"/>
              <w:left w:val="single" w:sz="4" w:color="000000"/>
              <w:right w:val="single" w:sz="4" w:color="000000"/>
            </w:tcBorders>
          </w:tcPr>
          <w:p>
            <w:pPr>
              <w:spacing w:after="0"/>
            </w:pPr>
            <w:r>
              <w:t xml:space="preserve">0.0758781</w:t>
            </w:r>
          </w:p>
        </w:tc>
        <w:tc>
          <w:tcPr>
            <w:tcBorders>
              <w:top w:val="single" w:sz="4" w:color="000000"/>
              <w:bottom w:val="single" w:sz="4" w:color="000000"/>
              <w:left w:val="single" w:sz="4" w:color="000000"/>
              <w:right w:val="single" w:sz="4" w:color="000000"/>
            </w:tcBorders>
          </w:tcPr>
          <w:p>
            <w:pPr>
              <w:spacing w:after="0"/>
            </w:pPr>
            <w:r>
              <w:t xml:space="preserve">—</w:t>
            </w:r>
          </w:p>
        </w:tc>
      </w:tr>
      <w:tr>
        <w:tc>
          <w:tcPr>
            <w:tcBorders>
              <w:top w:val="single" w:sz="4" w:color="000000"/>
              <w:bottom w:val="single" w:sz="4" w:color="000000"/>
              <w:left w:val="single" w:sz="4" w:color="000000"/>
              <w:right w:val="single" w:sz="4" w:color="000000"/>
            </w:tcBorders>
          </w:tcPr>
          <w:p>
            <w:pPr>
              <w:spacing w:after="0"/>
            </w:pPr>
            <w:r>
              <w:t xml:space="preserve">200</w:t>
            </w:r>
          </w:p>
        </w:tc>
        <w:tc>
          <w:tcPr>
            <w:tcBorders>
              <w:top w:val="single" w:sz="4" w:color="000000"/>
              <w:bottom w:val="single" w:sz="4" w:color="000000"/>
              <w:left w:val="single" w:sz="4" w:color="000000"/>
              <w:right w:val="single" w:sz="4" w:color="000000"/>
            </w:tcBorders>
          </w:tcPr>
          <w:p>
            <w:pPr>
              <w:spacing w:after="0"/>
            </w:pPr>
            <w:r>
              <w:t xml:space="preserve">0.0758781</w:t>
            </w:r>
          </w:p>
        </w:tc>
        <w:tc>
          <w:tcPr>
            <w:tcBorders>
              <w:top w:val="single" w:sz="4" w:color="000000"/>
              <w:bottom w:val="single" w:sz="4" w:color="000000"/>
              <w:left w:val="single" w:sz="4" w:color="000000"/>
              <w:right w:val="single" w:sz="4" w:color="000000"/>
            </w:tcBorders>
          </w:tcPr>
          <w:p>
            <w:pPr>
              <w:spacing w:after="0"/>
            </w:pPr>
            <w:r>
              <w:t xml:space="preserve">&lt; 1e-5</w:t>
            </w:r>
          </w:p>
        </w:tc>
      </w:tr>
      <w:tr>
        <w:tc>
          <w:tcPr>
            <w:tcBorders>
              <w:top w:val="single" w:sz="4" w:color="000000"/>
              <w:bottom w:val="single" w:sz="4" w:color="000000"/>
              <w:left w:val="single" w:sz="4" w:color="000000"/>
              <w:right w:val="single" w:sz="4" w:color="000000"/>
            </w:tcBorders>
          </w:tcPr>
          <w:p>
            <w:pPr>
              <w:spacing w:after="0"/>
            </w:pPr>
            <w:r>
              <w:t xml:space="preserve">400</w:t>
            </w:r>
          </w:p>
        </w:tc>
        <w:tc>
          <w:tcPr>
            <w:tcBorders>
              <w:top w:val="single" w:sz="4" w:color="000000"/>
              <w:bottom w:val="single" w:sz="4" w:color="000000"/>
              <w:left w:val="single" w:sz="4" w:color="000000"/>
              <w:right w:val="single" w:sz="4" w:color="000000"/>
            </w:tcBorders>
          </w:tcPr>
          <w:p>
            <w:pPr>
              <w:spacing w:after="0"/>
            </w:pPr>
            <w:r>
              <w:t xml:space="preserve">0.0758781</w:t>
            </w:r>
          </w:p>
        </w:tc>
        <w:tc>
          <w:tcPr>
            <w:tcBorders>
              <w:top w:val="single" w:sz="4" w:color="000000"/>
              <w:bottom w:val="single" w:sz="4" w:color="000000"/>
              <w:left w:val="single" w:sz="4" w:color="000000"/>
              <w:right w:val="single" w:sz="4" w:color="000000"/>
            </w:tcBorders>
          </w:tcPr>
          <w:p>
            <w:pPr>
              <w:spacing w:after="0"/>
            </w:pPr>
            <w:r>
              <w:t xml:space="preserve">&lt; 1e-5</w:t>
            </w:r>
          </w:p>
        </w:tc>
      </w:tr>
    </w:tbl>
    <w:p/>
    <w:p>
      <w:r>
        <w:rPr>
          <w:b/>
        </w:rPr>
        <w:t xml:space="preserve">Table 2. Newtonian clear-fluid limit.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−θ′(1)</w:t>
            </w:r>
          </w:p>
        </w:tc>
      </w:tr>
      <w:tr>
        <w:tc>
          <w:tcPr>
            <w:tcBorders>
              <w:top w:val="single" w:sz="4" w:color="000000"/>
              <w:bottom w:val="single" w:sz="4" w:color="000000"/>
              <w:left w:val="single" w:sz="4" w:color="000000"/>
              <w:right w:val="single" w:sz="4" w:color="000000"/>
            </w:tcBorders>
          </w:tcPr>
          <w:p>
            <w:pPr>
              <w:spacing w:after="0"/>
            </w:pPr>
            <w:r>
              <w:t xml:space="preserve">0.1</w:t>
            </w:r>
          </w:p>
        </w:tc>
        <w:tc>
          <w:tcPr>
            <w:tcBorders>
              <w:top w:val="single" w:sz="4" w:color="000000"/>
              <w:bottom w:val="single" w:sz="4" w:color="000000"/>
              <w:left w:val="single" w:sz="4" w:color="000000"/>
              <w:right w:val="single" w:sz="4" w:color="000000"/>
            </w:tcBorders>
          </w:tcPr>
          <w:p>
            <w:pPr>
              <w:spacing w:after="0"/>
            </w:pPr>
            <w:r>
              <w:t xml:space="preserve">1.650489</w:t>
            </w:r>
          </w:p>
        </w:tc>
        <w:tc>
          <w:tcPr>
            <w:tcBorders>
              <w:top w:val="single" w:sz="4" w:color="000000"/>
              <w:bottom w:val="single" w:sz="4" w:color="000000"/>
              <w:left w:val="single" w:sz="4" w:color="000000"/>
              <w:right w:val="single" w:sz="4" w:color="000000"/>
            </w:tcBorders>
          </w:tcPr>
          <w:p>
            <w:pPr>
              <w:spacing w:after="0"/>
            </w:pPr>
            <w:r>
              <w:t xml:space="preserve">0.716418</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w:t>
            </w:r>
          </w:p>
        </w:tc>
        <w:tc>
          <w:tcPr>
            <w:tcBorders>
              <w:top w:val="single" w:sz="4" w:color="000000"/>
              <w:bottom w:val="single" w:sz="4" w:color="000000"/>
              <w:left w:val="single" w:sz="4" w:color="000000"/>
              <w:right w:val="single" w:sz="4" w:color="000000"/>
            </w:tcBorders>
          </w:tcPr>
          <w:p>
            <w:pPr>
              <w:spacing w:after="0"/>
            </w:pPr>
            <w:r>
              <w:t xml:space="preserve">0.352009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w:t>
            </w:r>
          </w:p>
        </w:tc>
        <w:tc>
          <w:tcPr>
            <w:tcBorders>
              <w:top w:val="single" w:sz="4" w:color="000000"/>
              <w:bottom w:val="single" w:sz="4" w:color="000000"/>
              <w:left w:val="single" w:sz="4" w:color="000000"/>
              <w:right w:val="single" w:sz="4" w:color="000000"/>
            </w:tcBorders>
          </w:tcPr>
          <w:p>
            <w:pPr>
              <w:spacing w:after="0"/>
            </w:pPr>
            <w:r>
              <w:t xml:space="preserve">0.176000</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−2.768838</w:t>
            </w:r>
          </w:p>
        </w:tc>
        <w:tc>
          <w:tcPr>
            <w:tcBorders>
              <w:top w:val="single" w:sz="4" w:color="000000"/>
              <w:bottom w:val="single" w:sz="4" w:color="000000"/>
              <w:left w:val="single" w:sz="4" w:color="000000"/>
              <w:right w:val="single" w:sz="4" w:color="000000"/>
            </w:tcBorders>
          </w:tcPr>
          <w:p>
            <w:pPr>
              <w:spacing w:after="0"/>
            </w:pPr>
            <w:r>
              <w:t xml:space="preserve">0.098720</w:t>
            </w:r>
          </w:p>
        </w:tc>
      </w:tr>
    </w:tbl>
    <w:p/>
    <w:p/>
    <w:p>
      <w:pPr>
        <w:pStyle w:val="Heading1"/>
      </w:pPr>
      <w:r>
        <w:t xml:space="preserve">5. Validation</w:t>
      </w:r>
    </w:p>
    <w:p/>
    <w:p>
      <w:r>
        <w:t xml:space="preserve">Grid convergence (Table 1) confirms mesh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Wang squeezing-film equation f‴′ + f f‴ − f′ f″ − Sq(3f″/2 + η f‴/2) = 0 with f(0) = 0, f′(0) = 1, f(1) = Sq/2, f′(1) = 0. The present values of f″(1) at Sq = 0.5 and Sq = 1.0 (Table 2) agree with the corresponding Wang-type benchmark values to within 0.1% over the tested range, confirming correct implementation. The Carreau Newtonian limit does not reproduce the Casson model of [23]; accordingly, comparison with [23] is restricted to a common Newtonian limiting case and should not be interpreted as validation of the full Carreau model against a Casson formulation.</w:t>
      </w:r>
    </w:p>
    <w:p/>
    <w:p/>
    <w:p>
      <w:pPr>
        <w:pStyle w:val="Heading1"/>
      </w:pPr>
      <w:r>
        <w:t xml:space="preserve">6. Results and Discussion</w:t>
      </w:r>
    </w:p>
    <w:p/>
    <w:p>
      <w:r>
        <w:t xml:space="preserve">Throughout this section, the "core" denotes the central region of the channel away from both walls (approximately 0.3 ≤ η ≤ 0.7), as distinct from the near-wall layers where gradients are steepest.</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porous plates under aligned electric and transverse magnetic fields.</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upper plate moves with the squeezing velocity v_h of Eq. (2). The gap is filled with a Carreau hybrid nanofluid in a Darcy–Forchheimer porous medium.</w:t>
      </w:r>
    </w:p>
    <w:p/>
    <w:p>
      <w:r>
        <w:t xml:space="preserve">[Figure placeholder: figures_emhd/Figure_2_Velocity_Sq.png]</w:t>
      </w:r>
    </w:p>
    <w:p/>
    <w:p>
      <w:r>
        <w:rPr>
          <w:b/>
        </w:rPr>
        <w:t xml:space="preserve">Figure 2.</w:t>
      </w:r>
      <w:r>
        <w:t xml:space="preserve"> Effect of the squeezing parameter Sq on the velocity profile f′(η). Data computed by the present solver.</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reflecting that stronger squeezing accelerates the lateral (streamwise) displacement of fluid toward the channel edge (the open streamwise boundary of the squeezing gap, i.e. increasing |x|). This trend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 Data computed by the present solver.</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near-wall shear is simultaneously increased (reflected in the larger C_f at We = 2.0 in Table 3).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 Data computed by the present solver.</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3, Re^(−1/2) Nu increases from 1.3509 at Rd = 0.2 to 2.3466 at Rd = 1.0 (about a 74% radiative enhancement).</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and Dufour numbers act reciprocally on the temperature and concentration fields [23, 26–28].</w:t>
      </w:r>
    </w:p>
    <w:p/>
    <w:p>
      <w:pPr>
        <w:pStyle w:val="Heading2"/>
      </w:pPr>
      <w:r>
        <w:t xml:space="preserve">6.4 Entropy generation</w:t>
      </w:r>
    </w:p>
    <w:p/>
    <w:p>
      <w:r>
        <w:t xml:space="preserve">[Figure placeholder: figures_emhd/Figure_5_Entropy_Br_M.png]</w:t>
      </w:r>
    </w:p>
    <w:p/>
    <w:p>
      <w:r>
        <w:rPr>
          <w:b/>
        </w:rPr>
        <w:t xml:space="preserve">Figure 5.</w:t>
      </w:r>
      <w:r>
        <w:t xml:space="preserve"> Entropy generation number N_s(η) versus Br and M. Data computed by the present solver.</w:t>
      </w:r>
    </w:p>
    <w:p/>
    <w:p>
      <w:r>
        <w:t xml:space="preserve">Figure 5 shows the entropy-generation profiles. N_s(η) peaks at the walls, where the velocity and temperature gradients are largest, and falls toward the core — the near-wall-dominated distribution characteristic of wall-bounded irreversibility [34, 35]. Increasing Br amplifies N_s strongly: N_s(0) rises from 4.4484 (Br = 0.5) to 10.7492 (Br = 1.5), an increase of about 142%. Stronger M adds Joule irreversibility (N_s(0) = 8.2714 at M = 2.0 versus 7.5988 at M = 1.0). A larger dimensionless temperature difference reduces N_s(0) to 3.5495 at Ω = 2.0, consistent with Table 5.</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 Data computed by the present solver.</w:t>
      </w:r>
    </w:p>
    <w:p/>
    <w:p>
      <w:r>
        <w:t xml:space="preserve">Figure 6 shows the Bejan number, which is bounded in [0, 1] at every η over the full parameter range (Section 3.2): thermal and diffusive irreversibilities dominate near the walls (high Be), while friction and Joule irreversibilities dominate in the core (low Be). Larger Rd raises Be (greater thermal share); larger Br lowers it (greater friction share). Be(0) falls from 0.2918 to 0.1207 as Br increases from 0.5 to 1.5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Reduced skin friction, Nusselt number and Sherwood number versus total nanoparticle volume fraction φ = φ₁ + φ₂. Data computed by the present solver.</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6). The Nusselt number rises monotonically (from 1.43 at φ = 0 to 2.01 at φ = 0.10, about 41%), reproducing the AA7072–AA7075/methanol enhancement reported by Tlili et al. [8]. The reduced skin friction varies modestly, and the Sherwood number varies only slightly — a decrease of about 2.3% across the full loading range (from 0.6371 to 0.6225 in Table 6). The identical C_f = 0.0885 across the Rd, Df, Sr and K rows of Table 3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3. Reduced skin friction, Nusselt and Sherwood numbers.</w:t>
      </w:r>
      <w:r>
        <w:t xml:space="preserve"> Negative Re^(1/2) C_f values indicate that the local wall shear stress at the upper plate acts in the direction opposite to the chosen positive reference (flow reversal relative to the reference direction); this occurs at strong squeezing (Sq = 0.8) and at We = 0.5 for the stated parameter set and is a genuine feature of the squeezing kinematics, not a numerical artefact.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800"/>
        <w:gridCol w:w="1800"/>
        <w:gridCol w:w="1800"/>
        <w:gridCol w:w="1800"/>
        <w:gridCol w:w="18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Parameter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Value</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C_f</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1.3306</w:t>
            </w:r>
          </w:p>
        </w:tc>
        <w:tc>
          <w:tcPr>
            <w:tcBorders>
              <w:top w:val="single" w:sz="4" w:color="000000"/>
              <w:bottom w:val="single" w:sz="4" w:color="000000"/>
              <w:left w:val="single" w:sz="4" w:color="000000"/>
              <w:right w:val="single" w:sz="4" w:color="000000"/>
            </w:tcBorders>
          </w:tcPr>
          <w:p>
            <w:pPr>
              <w:spacing w:after="0"/>
            </w:pPr>
            <w:r>
              <w:t xml:space="preserve">3.7960</w:t>
            </w:r>
          </w:p>
        </w:tc>
        <w:tc>
          <w:tcPr>
            <w:tcBorders>
              <w:top w:val="single" w:sz="4" w:color="000000"/>
              <w:bottom w:val="single" w:sz="4" w:color="000000"/>
              <w:left w:val="single" w:sz="4" w:color="000000"/>
              <w:right w:val="single" w:sz="4" w:color="000000"/>
            </w:tcBorders>
          </w:tcPr>
          <w:p>
            <w:pPr>
              <w:spacing w:after="0"/>
            </w:pPr>
            <w:r>
              <w:t xml:space="preserve">0.5364</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0.8</w:t>
            </w:r>
          </w:p>
        </w:tc>
        <w:tc>
          <w:tcPr>
            <w:tcBorders>
              <w:top w:val="single" w:sz="4" w:color="000000"/>
              <w:bottom w:val="single" w:sz="4" w:color="000000"/>
              <w:left w:val="single" w:sz="4" w:color="000000"/>
              <w:right w:val="single" w:sz="4" w:color="000000"/>
            </w:tcBorders>
          </w:tcPr>
          <w:p>
            <w:pPr>
              <w:spacing w:after="0"/>
            </w:pPr>
            <w:r>
              <w:t xml:space="preserve">−1.1816</w:t>
            </w:r>
          </w:p>
        </w:tc>
        <w:tc>
          <w:tcPr>
            <w:tcBorders>
              <w:top w:val="single" w:sz="4" w:color="000000"/>
              <w:bottom w:val="single" w:sz="4" w:color="000000"/>
              <w:left w:val="single" w:sz="4" w:color="000000"/>
              <w:right w:val="single" w:sz="4" w:color="000000"/>
            </w:tcBorders>
          </w:tcPr>
          <w:p>
            <w:pPr>
              <w:spacing w:after="0"/>
            </w:pPr>
            <w:r>
              <w:t xml:space="preserve">1.6004</w:t>
            </w:r>
          </w:p>
        </w:tc>
        <w:tc>
          <w:tcPr>
            <w:tcBorders>
              <w:top w:val="single" w:sz="4" w:color="000000"/>
              <w:bottom w:val="single" w:sz="4" w:color="000000"/>
              <w:left w:val="single" w:sz="4" w:color="000000"/>
              <w:right w:val="single" w:sz="4" w:color="000000"/>
            </w:tcBorders>
          </w:tcPr>
          <w:p>
            <w:pPr>
              <w:spacing w:after="0"/>
            </w:pPr>
            <w:r>
              <w:t xml:space="preserve">0.5354</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0.1175</w:t>
            </w:r>
          </w:p>
        </w:tc>
        <w:tc>
          <w:tcPr>
            <w:tcBorders>
              <w:top w:val="single" w:sz="4" w:color="000000"/>
              <w:bottom w:val="single" w:sz="4" w:color="000000"/>
              <w:left w:val="single" w:sz="4" w:color="000000"/>
              <w:right w:val="single" w:sz="4" w:color="000000"/>
            </w:tcBorders>
          </w:tcPr>
          <w:p>
            <w:pPr>
              <w:spacing w:after="0"/>
            </w:pPr>
            <w:r>
              <w:t xml:space="preserve">1.7336</w:t>
            </w:r>
          </w:p>
        </w:tc>
        <w:tc>
          <w:tcPr>
            <w:tcBorders>
              <w:top w:val="single" w:sz="4" w:color="000000"/>
              <w:bottom w:val="single" w:sz="4" w:color="000000"/>
              <w:left w:val="single" w:sz="4" w:color="000000"/>
              <w:right w:val="single" w:sz="4" w:color="000000"/>
            </w:tcBorders>
          </w:tcPr>
          <w:p>
            <w:pPr>
              <w:spacing w:after="0"/>
            </w:pPr>
            <w:r>
              <w:t xml:space="preserve">0.6293</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0.0318</w:t>
            </w:r>
          </w:p>
        </w:tc>
        <w:tc>
          <w:tcPr>
            <w:tcBorders>
              <w:top w:val="single" w:sz="4" w:color="000000"/>
              <w:bottom w:val="single" w:sz="4" w:color="000000"/>
              <w:left w:val="single" w:sz="4" w:color="000000"/>
              <w:right w:val="single" w:sz="4" w:color="000000"/>
            </w:tcBorders>
          </w:tcPr>
          <w:p>
            <w:pPr>
              <w:spacing w:after="0"/>
            </w:pPr>
            <w:r>
              <w:t xml:space="preserve">1.8015</w:t>
            </w:r>
          </w:p>
        </w:tc>
        <w:tc>
          <w:tcPr>
            <w:tcBorders>
              <w:top w:val="single" w:sz="4" w:color="000000"/>
              <w:bottom w:val="single" w:sz="4" w:color="000000"/>
              <w:left w:val="single" w:sz="4" w:color="000000"/>
              <w:right w:val="single" w:sz="4" w:color="000000"/>
            </w:tcBorders>
          </w:tcPr>
          <w:p>
            <w:pPr>
              <w:spacing w:after="0"/>
            </w:pPr>
            <w:r>
              <w:t xml:space="preserve">0.6268</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−0.0380</w:t>
            </w:r>
          </w:p>
        </w:tc>
        <w:tc>
          <w:tcPr>
            <w:tcBorders>
              <w:top w:val="single" w:sz="4" w:color="000000"/>
              <w:bottom w:val="single" w:sz="4" w:color="000000"/>
              <w:left w:val="single" w:sz="4" w:color="000000"/>
              <w:right w:val="single" w:sz="4" w:color="000000"/>
            </w:tcBorders>
          </w:tcPr>
          <w:p>
            <w:pPr>
              <w:spacing w:after="0"/>
            </w:pPr>
            <w:r>
              <w:t xml:space="preserve">1.5919</w:t>
            </w:r>
          </w:p>
        </w:tc>
        <w:tc>
          <w:tcPr>
            <w:tcBorders>
              <w:top w:val="single" w:sz="4" w:color="000000"/>
              <w:bottom w:val="single" w:sz="4" w:color="000000"/>
              <w:left w:val="single" w:sz="4" w:color="000000"/>
              <w:right w:val="single" w:sz="4" w:color="000000"/>
            </w:tcBorders>
          </w:tcPr>
          <w:p>
            <w:pPr>
              <w:spacing w:after="0"/>
            </w:pPr>
            <w:r>
              <w:t xml:space="preserve">0.6370</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0.2693</w:t>
            </w:r>
          </w:p>
        </w:tc>
        <w:tc>
          <w:tcPr>
            <w:tcBorders>
              <w:top w:val="single" w:sz="4" w:color="000000"/>
              <w:bottom w:val="single" w:sz="4" w:color="000000"/>
              <w:left w:val="single" w:sz="4" w:color="000000"/>
              <w:right w:val="single" w:sz="4" w:color="000000"/>
            </w:tcBorders>
          </w:tcPr>
          <w:p>
            <w:pPr>
              <w:spacing w:after="0"/>
            </w:pPr>
            <w:r>
              <w:t xml:space="preserve">2.0894</w:t>
            </w:r>
          </w:p>
        </w:tc>
        <w:tc>
          <w:tcPr>
            <w:tcBorders>
              <w:top w:val="single" w:sz="4" w:color="000000"/>
              <w:bottom w:val="single" w:sz="4" w:color="000000"/>
              <w:left w:val="single" w:sz="4" w:color="000000"/>
              <w:right w:val="single" w:sz="4" w:color="000000"/>
            </w:tcBorders>
          </w:tcPr>
          <w:p>
            <w:pPr>
              <w:spacing w:after="0"/>
            </w:pPr>
            <w:r>
              <w:t xml:space="preserve">0.6101</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1.3509</w:t>
            </w:r>
          </w:p>
        </w:tc>
        <w:tc>
          <w:tcPr>
            <w:tcBorders>
              <w:top w:val="single" w:sz="4" w:color="000000"/>
              <w:bottom w:val="single" w:sz="4" w:color="000000"/>
              <w:left w:val="single" w:sz="4" w:color="000000"/>
              <w:right w:val="single" w:sz="4" w:color="000000"/>
            </w:tcBorders>
          </w:tcPr>
          <w:p>
            <w:pPr>
              <w:spacing w:after="0"/>
            </w:pPr>
            <w:r>
              <w:t xml:space="preserve">0.6448</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2.3466</w:t>
            </w:r>
          </w:p>
        </w:tc>
        <w:tc>
          <w:tcPr>
            <w:tcBorders>
              <w:top w:val="single" w:sz="4" w:color="000000"/>
              <w:bottom w:val="single" w:sz="4" w:color="000000"/>
              <w:left w:val="single" w:sz="4" w:color="000000"/>
              <w:right w:val="single" w:sz="4" w:color="000000"/>
            </w:tcBorders>
          </w:tcPr>
          <w:p>
            <w:pPr>
              <w:spacing w:after="0"/>
            </w:pPr>
            <w:r>
              <w:t xml:space="preserve">0.6193</w:t>
            </w:r>
          </w:p>
        </w:tc>
      </w:tr>
      <w:tr>
        <w:tc>
          <w:tcPr>
            <w:tcBorders>
              <w:top w:val="single" w:sz="4" w:color="000000"/>
              <w:bottom w:val="single" w:sz="4" w:color="000000"/>
              <w:left w:val="single" w:sz="4" w:color="000000"/>
              <w:right w:val="single" w:sz="4" w:color="000000"/>
            </w:tcBorders>
          </w:tcPr>
          <w:p>
            <w:pPr>
              <w:spacing w:after="0"/>
            </w:pPr>
            <w:r>
              <w:t xml:space="preserve">Df</w:t>
            </w:r>
          </w:p>
        </w:tc>
        <w:tc>
          <w:tcPr>
            <w:tcBorders>
              <w:top w:val="single" w:sz="4" w:color="000000"/>
              <w:bottom w:val="single" w:sz="4" w:color="000000"/>
              <w:left w:val="single" w:sz="4" w:color="000000"/>
              <w:right w:val="single" w:sz="4" w:color="000000"/>
            </w:tcBorders>
          </w:tcPr>
          <w:p>
            <w:pPr>
              <w:spacing w:after="0"/>
            </w:pPr>
            <w:r>
              <w:t xml:space="preserve">0.6</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3.2111</w:t>
            </w:r>
          </w:p>
        </w:tc>
        <w:tc>
          <w:tcPr>
            <w:tcBorders>
              <w:top w:val="single" w:sz="4" w:color="000000"/>
              <w:bottom w:val="single" w:sz="4" w:color="000000"/>
              <w:left w:val="single" w:sz="4" w:color="000000"/>
              <w:right w:val="single" w:sz="4" w:color="000000"/>
            </w:tcBorders>
          </w:tcPr>
          <w:p>
            <w:pPr>
              <w:spacing w:after="0"/>
            </w:pPr>
            <w:r>
              <w:t xml:space="preserve">0.5296</w:t>
            </w:r>
          </w:p>
        </w:tc>
      </w:tr>
      <w:tr>
        <w:tc>
          <w:tcPr>
            <w:tcBorders>
              <w:top w:val="single" w:sz="4" w:color="000000"/>
              <w:bottom w:val="single" w:sz="4" w:color="000000"/>
              <w:left w:val="single" w:sz="4" w:color="000000"/>
              <w:right w:val="single" w:sz="4" w:color="000000"/>
            </w:tcBorders>
          </w:tcPr>
          <w:p>
            <w:pPr>
              <w:spacing w:after="0"/>
            </w:pPr>
            <w:r>
              <w:t xml:space="preserve">Sr</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1.8712</w:t>
            </w:r>
          </w:p>
        </w:tc>
        <w:tc>
          <w:tcPr>
            <w:tcBorders>
              <w:top w:val="single" w:sz="4" w:color="000000"/>
              <w:bottom w:val="single" w:sz="4" w:color="000000"/>
              <w:left w:val="single" w:sz="4" w:color="000000"/>
              <w:right w:val="single" w:sz="4" w:color="000000"/>
            </w:tcBorders>
          </w:tcPr>
          <w:p>
            <w:pPr>
              <w:spacing w:after="0"/>
            </w:pPr>
            <w:r>
              <w:t xml:space="preserve">0.5805</w:t>
            </w:r>
          </w:p>
        </w:tc>
      </w:tr>
      <w:tr>
        <w:tc>
          <w:tcPr>
            <w:tcBorders>
              <w:top w:val="single" w:sz="4" w:color="000000"/>
              <w:bottom w:val="single" w:sz="4" w:color="000000"/>
              <w:left w:val="single" w:sz="4" w:color="000000"/>
              <w:right w:val="single" w:sz="4" w:color="000000"/>
            </w:tcBorders>
          </w:tcPr>
          <w:p>
            <w:pPr>
              <w:spacing w:after="0"/>
            </w:pPr>
            <w:r>
              <w:t xml:space="preserve">K</w:t>
            </w:r>
          </w:p>
        </w:tc>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1.9653</w:t>
            </w:r>
          </w:p>
        </w:tc>
        <w:tc>
          <w:tcPr>
            <w:tcBorders>
              <w:top w:val="single" w:sz="4" w:color="000000"/>
              <w:bottom w:val="single" w:sz="4" w:color="000000"/>
              <w:left w:val="single" w:sz="4" w:color="000000"/>
              <w:right w:val="single" w:sz="4" w:color="000000"/>
            </w:tcBorders>
          </w:tcPr>
          <w:p>
            <w:pPr>
              <w:spacing w:after="0"/>
            </w:pPr>
            <w:r>
              <w:t xml:space="preserve">0.5001</w:t>
            </w:r>
          </w:p>
        </w:tc>
      </w:tr>
    </w:tbl>
    <w:p/>
    <w:p>
      <w:r>
        <w:rPr>
          <w:b/>
        </w:rPr>
        <w:t xml:space="preserve">Table 4. N_s and Be at η = 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M</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Rd</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Ω</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N_s(0)</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Be(0)</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4.4484</w:t>
            </w:r>
          </w:p>
        </w:tc>
        <w:tc>
          <w:tcPr>
            <w:tcBorders>
              <w:top w:val="single" w:sz="4" w:color="000000"/>
              <w:bottom w:val="single" w:sz="4" w:color="000000"/>
              <w:left w:val="single" w:sz="4" w:color="000000"/>
              <w:right w:val="single" w:sz="4" w:color="000000"/>
            </w:tcBorders>
          </w:tcPr>
          <w:p>
            <w:pPr>
              <w:spacing w:after="0"/>
            </w:pPr>
            <w:r>
              <w:t xml:space="preserve">0.2918</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7.5988</w:t>
            </w:r>
          </w:p>
        </w:tc>
        <w:tc>
          <w:tcPr>
            <w:tcBorders>
              <w:top w:val="single" w:sz="4" w:color="000000"/>
              <w:bottom w:val="single" w:sz="4" w:color="000000"/>
              <w:left w:val="single" w:sz="4" w:color="000000"/>
              <w:right w:val="single" w:sz="4" w:color="000000"/>
            </w:tcBorders>
          </w:tcPr>
          <w:p>
            <w:pPr>
              <w:spacing w:after="0"/>
            </w:pPr>
            <w:r>
              <w:t xml:space="preserve">0.1708</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10.7492</w:t>
            </w:r>
          </w:p>
        </w:tc>
        <w:tc>
          <w:tcPr>
            <w:tcBorders>
              <w:top w:val="single" w:sz="4" w:color="000000"/>
              <w:bottom w:val="single" w:sz="4" w:color="000000"/>
              <w:left w:val="single" w:sz="4" w:color="000000"/>
              <w:right w:val="single" w:sz="4" w:color="000000"/>
            </w:tcBorders>
          </w:tcPr>
          <w:p>
            <w:pPr>
              <w:spacing w:after="0"/>
            </w:pPr>
            <w:r>
              <w:t xml:space="preserve">0.1207</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7.2590</w:t>
            </w:r>
          </w:p>
        </w:tc>
        <w:tc>
          <w:tcPr>
            <w:tcBorders>
              <w:top w:val="single" w:sz="4" w:color="000000"/>
              <w:bottom w:val="single" w:sz="4" w:color="000000"/>
              <w:left w:val="single" w:sz="4" w:color="000000"/>
              <w:right w:val="single" w:sz="4" w:color="000000"/>
            </w:tcBorders>
          </w:tcPr>
          <w:p>
            <w:pPr>
              <w:spacing w:after="0"/>
            </w:pPr>
            <w:r>
              <w:t xml:space="preserve">0.1801</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8.2714</w:t>
            </w:r>
          </w:p>
        </w:tc>
        <w:tc>
          <w:tcPr>
            <w:tcBorders>
              <w:top w:val="single" w:sz="4" w:color="000000"/>
              <w:bottom w:val="single" w:sz="4" w:color="000000"/>
              <w:left w:val="single" w:sz="4" w:color="000000"/>
              <w:right w:val="single" w:sz="4" w:color="000000"/>
            </w:tcBorders>
          </w:tcPr>
          <w:p>
            <w:pPr>
              <w:spacing w:after="0"/>
            </w:pPr>
            <w:r>
              <w:t xml:space="preserve">0.1549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7.7121</w:t>
            </w:r>
          </w:p>
        </w:tc>
        <w:tc>
          <w:tcPr>
            <w:tcBorders>
              <w:top w:val="single" w:sz="4" w:color="000000"/>
              <w:bottom w:val="single" w:sz="4" w:color="000000"/>
              <w:left w:val="single" w:sz="4" w:color="000000"/>
              <w:right w:val="single" w:sz="4" w:color="000000"/>
            </w:tcBorders>
          </w:tcPr>
          <w:p>
            <w:pPr>
              <w:spacing w:after="0"/>
            </w:pPr>
            <w:r>
              <w:t xml:space="preserve">0.1830</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3.5495</w:t>
            </w:r>
          </w:p>
        </w:tc>
        <w:tc>
          <w:tcPr>
            <w:tcBorders>
              <w:top w:val="single" w:sz="4" w:color="000000"/>
              <w:bottom w:val="single" w:sz="4" w:color="000000"/>
              <w:left w:val="single" w:sz="4" w:color="000000"/>
              <w:right w:val="single" w:sz="4" w:color="000000"/>
            </w:tcBorders>
          </w:tcPr>
          <w:p>
            <w:pPr>
              <w:spacing w:after="0"/>
            </w:pPr>
            <w:r>
              <w:t xml:space="preserve">0.1124</w:t>
            </w:r>
          </w:p>
        </w:tc>
      </w:tr>
    </w:tbl>
    <w:p/>
    <w:p>
      <w:r>
        <w:rPr>
          <w:b/>
        </w:rPr>
        <w:t xml:space="preserve">Table 5. Effect of volume fraction.</w:t>
      </w:r>
      <w:r>
        <w:t xml:space="preserve"> The equal-split convention φ₁ = φ₂ is used; the total nanoparticle loading is φ = φ₁ + φ₂, so the final row corresponds to a total loading of φ = 0.10.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φ₁</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 = φ₁ + 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N_s,avg</w:t>
            </w:r>
          </w:p>
        </w:tc>
      </w:tr>
      <w:tr>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1.4267</w:t>
            </w:r>
          </w:p>
        </w:tc>
        <w:tc>
          <w:tcPr>
            <w:tcBorders>
              <w:top w:val="single" w:sz="4" w:color="000000"/>
              <w:bottom w:val="single" w:sz="4" w:color="000000"/>
              <w:left w:val="single" w:sz="4" w:color="000000"/>
              <w:right w:val="single" w:sz="4" w:color="000000"/>
            </w:tcBorders>
          </w:tcPr>
          <w:p>
            <w:pPr>
              <w:spacing w:after="0"/>
            </w:pPr>
            <w:r>
              <w:t xml:space="preserve">0.6371</w:t>
            </w:r>
          </w:p>
        </w:tc>
        <w:tc>
          <w:tcPr>
            <w:tcBorders>
              <w:top w:val="single" w:sz="4" w:color="000000"/>
              <w:bottom w:val="single" w:sz="4" w:color="000000"/>
              <w:left w:val="single" w:sz="4" w:color="000000"/>
              <w:right w:val="single" w:sz="4" w:color="000000"/>
            </w:tcBorders>
          </w:tcPr>
          <w:p>
            <w:pPr>
              <w:spacing w:after="0"/>
            </w:pPr>
            <w:r>
              <w:t xml:space="preserve">3.1844</w:t>
            </w:r>
          </w:p>
        </w:tc>
      </w:tr>
      <w:tr>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1.6394</w:t>
            </w:r>
          </w:p>
        </w:tc>
        <w:tc>
          <w:tcPr>
            <w:tcBorders>
              <w:top w:val="single" w:sz="4" w:color="000000"/>
              <w:bottom w:val="single" w:sz="4" w:color="000000"/>
              <w:left w:val="single" w:sz="4" w:color="000000"/>
              <w:right w:val="single" w:sz="4" w:color="000000"/>
            </w:tcBorders>
          </w:tcPr>
          <w:p>
            <w:pPr>
              <w:spacing w:after="0"/>
            </w:pPr>
            <w:r>
              <w:t xml:space="preserve">0.6314</w:t>
            </w:r>
          </w:p>
        </w:tc>
        <w:tc>
          <w:tcPr>
            <w:tcBorders>
              <w:top w:val="single" w:sz="4" w:color="000000"/>
              <w:bottom w:val="single" w:sz="4" w:color="000000"/>
              <w:left w:val="single" w:sz="4" w:color="000000"/>
              <w:right w:val="single" w:sz="4" w:color="000000"/>
            </w:tcBorders>
          </w:tcPr>
          <w:p>
            <w:pPr>
              <w:spacing w:after="0"/>
            </w:pPr>
            <w:r>
              <w:t xml:space="preserve">3.5458</w:t>
            </w:r>
          </w:p>
        </w:tc>
      </w:tr>
      <w:tr>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0.06</w:t>
            </w:r>
          </w:p>
        </w:tc>
        <w:tc>
          <w:tcPr>
            <w:tcBorders>
              <w:top w:val="single" w:sz="4" w:color="000000"/>
              <w:bottom w:val="single" w:sz="4" w:color="000000"/>
              <w:left w:val="single" w:sz="4" w:color="000000"/>
              <w:right w:val="single" w:sz="4" w:color="000000"/>
            </w:tcBorders>
          </w:tcPr>
          <w:p>
            <w:pPr>
              <w:spacing w:after="0"/>
            </w:pPr>
            <w:r>
              <w:t xml:space="preserve">1.7565</w:t>
            </w:r>
          </w:p>
        </w:tc>
        <w:tc>
          <w:tcPr>
            <w:tcBorders>
              <w:top w:val="single" w:sz="4" w:color="000000"/>
              <w:bottom w:val="single" w:sz="4" w:color="000000"/>
              <w:left w:val="single" w:sz="4" w:color="000000"/>
              <w:right w:val="single" w:sz="4" w:color="000000"/>
            </w:tcBorders>
          </w:tcPr>
          <w:p>
            <w:pPr>
              <w:spacing w:after="0"/>
            </w:pPr>
            <w:r>
              <w:t xml:space="preserve">0.6284</w:t>
            </w:r>
          </w:p>
        </w:tc>
        <w:tc>
          <w:tcPr>
            <w:tcBorders>
              <w:top w:val="single" w:sz="4" w:color="000000"/>
              <w:bottom w:val="single" w:sz="4" w:color="000000"/>
              <w:left w:val="single" w:sz="4" w:color="000000"/>
              <w:right w:val="single" w:sz="4" w:color="000000"/>
            </w:tcBorders>
          </w:tcPr>
          <w:p>
            <w:pPr>
              <w:spacing w:after="0"/>
            </w:pPr>
            <w:r>
              <w:t xml:space="preserve">3.7466</w:t>
            </w:r>
          </w:p>
        </w:tc>
      </w:tr>
      <w:tr>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0.08</w:t>
            </w:r>
          </w:p>
        </w:tc>
        <w:tc>
          <w:tcPr>
            <w:tcBorders>
              <w:top w:val="single" w:sz="4" w:color="000000"/>
              <w:bottom w:val="single" w:sz="4" w:color="000000"/>
              <w:left w:val="single" w:sz="4" w:color="000000"/>
              <w:right w:val="single" w:sz="4" w:color="000000"/>
            </w:tcBorders>
          </w:tcPr>
          <w:p>
            <w:pPr>
              <w:spacing w:after="0"/>
            </w:pPr>
            <w:r>
              <w:t xml:space="preserve">1.8815</w:t>
            </w:r>
          </w:p>
        </w:tc>
        <w:tc>
          <w:tcPr>
            <w:tcBorders>
              <w:top w:val="single" w:sz="4" w:color="000000"/>
              <w:bottom w:val="single" w:sz="4" w:color="000000"/>
              <w:left w:val="single" w:sz="4" w:color="000000"/>
              <w:right w:val="single" w:sz="4" w:color="000000"/>
            </w:tcBorders>
          </w:tcPr>
          <w:p>
            <w:pPr>
              <w:spacing w:after="0"/>
            </w:pPr>
            <w:r>
              <w:t xml:space="preserve">0.6255</w:t>
            </w:r>
          </w:p>
        </w:tc>
        <w:tc>
          <w:tcPr>
            <w:tcBorders>
              <w:top w:val="single" w:sz="4" w:color="000000"/>
              <w:bottom w:val="single" w:sz="4" w:color="000000"/>
              <w:left w:val="single" w:sz="4" w:color="000000"/>
              <w:right w:val="single" w:sz="4" w:color="000000"/>
            </w:tcBorders>
          </w:tcPr>
          <w:p>
            <w:pPr>
              <w:spacing w:after="0"/>
            </w:pPr>
            <w:r>
              <w:t xml:space="preserve">3.9623</w:t>
            </w:r>
          </w:p>
        </w:tc>
      </w:tr>
      <w:tr>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0.10</w:t>
            </w:r>
          </w:p>
        </w:tc>
        <w:tc>
          <w:tcPr>
            <w:tcBorders>
              <w:top w:val="single" w:sz="4" w:color="000000"/>
              <w:bottom w:val="single" w:sz="4" w:color="000000"/>
              <w:left w:val="single" w:sz="4" w:color="000000"/>
              <w:right w:val="single" w:sz="4" w:color="000000"/>
            </w:tcBorders>
          </w:tcPr>
          <w:p>
            <w:pPr>
              <w:spacing w:after="0"/>
            </w:pPr>
            <w:r>
              <w:t xml:space="preserve">2.0149</w:t>
            </w:r>
          </w:p>
        </w:tc>
        <w:tc>
          <w:tcPr>
            <w:tcBorders>
              <w:top w:val="single" w:sz="4" w:color="000000"/>
              <w:bottom w:val="single" w:sz="4" w:color="000000"/>
              <w:left w:val="single" w:sz="4" w:color="000000"/>
              <w:right w:val="single" w:sz="4" w:color="000000"/>
            </w:tcBorders>
          </w:tcPr>
          <w:p>
            <w:pPr>
              <w:spacing w:after="0"/>
            </w:pPr>
            <w:r>
              <w:t xml:space="preserve">0.6225</w:t>
            </w:r>
          </w:p>
        </w:tc>
        <w:tc>
          <w:tcPr>
            <w:tcBorders>
              <w:top w:val="single" w:sz="4" w:color="000000"/>
              <w:bottom w:val="single" w:sz="4" w:color="000000"/>
              <w:left w:val="single" w:sz="4" w:color="000000"/>
              <w:right w:val="single" w:sz="4" w:color="000000"/>
            </w:tcBorders>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the Dufour coefficient reduces to the group Pr α_ρ Df, verified by dimensional derivation, and all dimensionless groups are defined explicitly in Section 2.5.</w:t>
      </w:r>
    </w:p>
    <w:p>
      <w:r>
        <w:t xml:space="preserve">3. The entropy model uses time-dependent electromagnetic fields and k_f-based normalisation; the diffusive and cross terms rest on a linear-irreversible-thermodynamics basis, and the Soret–Dufour cross term is assigned explicitly to N_DD, so that N_s = N_HT + N_FF + N_J + N_DD and Be ∈ [0, 1] over the reported range.</w:t>
      </w:r>
    </w:p>
    <w:p>
      <w:r>
        <w:t xml:space="preserve">4. The solution is mesh-independent to the reported precision; the Newtonian clear-fluid limit recovers the Wang squeezing-film equation to within 0.1%, while comparison with the Casson model of [23] is restricted to a common Newtonian limit.</w:t>
      </w:r>
    </w:p>
    <w:p>
      <w:r>
        <w:t xml:space="preserve">5. Entropy generation peaks near the walls; the Brinkman number and magnetic parameter raise friction and Joule irreversibility; hybrid loading (total φ up to 0.10) improves heat transfer by about 41% at modest additional entropy cost.</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squeezing-film form stated in Section 5. This limit does not recover the Casson model; comparison with [23] is therefore restricted to a common Newtonian limiting case.</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M. T. Mustafa, K. A. Kumar, N. Sandeep, Effect of asymmetrical heat rise/fall on the AA7072–AA7075/methanol hybrid nanofluid flow, Scientific Reports 10 (2020) 4402.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K. Ramesh, J. K. Madhukesh, Hybrid nanofluid flow over a stretching sheet (G. Ashwinkumar, S. Sulochana, C. Sulochana),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analysis of Carreau fluid flow,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