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jc w:val="both"/>
      </w:pPr>
      <w:r>
        <w:rPr>
          <w:b/>
          <w:sz w:val="32"/>
          <w:szCs w:val="32"/>
          <w:rFonts w:ascii="Times New Roman" w:hAnsi="Times New Roman"/>
        </w:rPr>
        <w:t xml:space="preserve">Chapter 4: Experimentation</w:t>
      </w:r>
    </w:p>
    <w:p>
      <w:pPr>
        <w:jc w:val="both"/>
      </w:pPr>
      <w:r>
        <w:rPr>
          <w:sz w:val="24"/>
          <w:szCs w:val="24"/>
          <w:rFonts w:ascii="Times New Roman" w:hAnsi="Times New Roman"/>
        </w:rPr>
        <w:t xml:space="preserve"/>
      </w:r>
    </w:p>
    <w:p>
      <w:pPr>
        <w:pStyle w:val="Heading2"/>
        <w:jc w:val="both"/>
      </w:pPr>
      <w:r>
        <w:rPr>
          <w:b/>
          <w:sz w:val="28"/>
          <w:szCs w:val="28"/>
          <w:rFonts w:ascii="Times New Roman" w:hAnsi="Times New Roman"/>
        </w:rPr>
        <w:t xml:space="preserve">4.1. Selection of Suitable Minerals Used as Fluxes for Submerged Arc Welding</w:t>
      </w:r>
    </w:p>
    <w:p>
      <w:pPr>
        <w:jc w:val="both"/>
      </w:pPr>
      <w:r>
        <w:rPr>
          <w:sz w:val="24"/>
          <w:szCs w:val="24"/>
          <w:rFonts w:ascii="Times New Roman" w:hAnsi="Times New Roman"/>
        </w:rPr>
        <w:t xml:space="preserve">Submerged arc welding (SAW) is widely used in shipbuilding, offshore structures, pressure vessels, and pipeline manufacturing due to its high deposition rate, deep penetration, and stable arc characteristics [1, 2]. The performance of SAW fluxes directly influences weld metal mechanical properties, corrosion resistance, and slag detachability, which are critical for components subjected to cyclic loading in corrosive marine environments [3, 4]. The design of welding fluxes plays an important role in the fulfilment of these properties, in particular regarding the behaviour of the arc, slag formation and heat transfer during the submerged arc welding operation [5]. Traditionally, the flux design has relied on trial-and-error techniques leading to improper arc stability and slag detachability [6, 7]. Introducing more systematic and scientific models, however, on the basis of the Design of Experiments (DoE) methodology allows optimized flux formulations to be used for challenging industrial applications [8-10].</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In the present work, controlled mineral blends optimized to harsh and saltwater conditions were developed into fluxes to be used in marine and offshore welding applications. The main mineral ingredients, silica (SiO₂), titanium dioxide (TiO₂), calcium fluoride (CaF₂), barium oxide (BaO), manganese oxide (MnO), and calcium oxide (CaO) were mixed in controlled ratios, with CaO kept constant to stabilize slag chemistry [11]. The purity of mineral powders used was 99%, and the composition of each batch was checked through X-ray fluorescence (XRF) analysis to guarantee reproducibility and quality control of the composition [12].</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selection of each mineral constituent was based on its specific functional role in the submerged arc welding process. Silica (A) was adjusted to 5.0 to 10.0 g, which offers fluxing activity and slag fluidity [13]. The titanium dioxide (B) level varied between 10.0 and 20.0 g in order to enhance the arc stability and slag detachability [14]. Calcium fluoride was added to reduce the melting point; adding fluoride of calcium (C) in the range of 20.0 to 35.0 g was taken to create favourable offshore welding conditions [15]. Silva and Torres [16] reported that CaF₂ addition significantly affects submerged arc flux viscosity and melting behavior. Barium oxide (D) was loaded in 5.0-10.0 g to stabilize arc effectiveness and help in the formation of slag [17]. Manganese (E) was loaded in 10.0-25.0 g, as a deoxidizer and for refining the weld-metal microstructure [18]. In each formulation, 8.0 g calcium oxide (F) was incorporated as a baseline basic condition and to ensure control of slag viscosity. A proper balance between the basic constituents (CaO and BaO) and the acid constituents (SiO₂ and TiO₂) is desired for these fluxes, and fluxing agents such as CaF₂ have important roles in determining the melting properties, viscosity and basicity of the slags [19, 20].</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mineral constituent composition ranges for flux formulation are summarized in Table 4.1. As an innovative additive, red ochre, which is an iron-rich by-product of iron-ore extraction in Rajasthan, India, was used. Red ochre was dried in the oven at 110°C for 24 h and milled to less than 45 µm before mixing. Inclusion levels were between 5.0 and 15.0 g per 100 g batch to substitute an equal fraction of silica to maintain total batch mass. With high iron levels, red ochre increases electrical conductivity, arc stability and adjusts weld-metal chemistry and microstructure to improve corrosion resistance [21].</w:t>
      </w:r>
    </w:p>
    <w:p>
      <w:pPr>
        <w:jc w:val="both"/>
      </w:pPr>
      <w:r>
        <w:rPr>
          <w:sz w:val="24"/>
          <w:szCs w:val="24"/>
          <w:rFonts w:ascii="Times New Roman" w:hAnsi="Times New Roman"/>
        </w:rPr>
        <w:t xml:space="preserve"/>
      </w:r>
    </w:p>
    <w:p>
      <w:pPr>
        <w:jc w:val="center"/>
      </w:pPr>
      <w:r>
        <w:rPr>
          <w:b/>
          <w:sz w:val="22"/>
          <w:szCs w:val="22"/>
          <w:rFonts w:ascii="Times New Roman" w:hAnsi="Times New Roman"/>
        </w:rPr>
        <w:t xml:space="preserve">Table 4.1: Mineral constituent composition ranges for flux formulation</w:t>
      </w:r>
    </w:p>
    <w:tbl>
      <w:tblPr>
        <w:tblStyle w:val="TableGrid"/>
        <w:tblW w:w="5000" w:type="pct"/>
        <w:tblBorders>
          <w:top w:val="single" w:sz="4"/>
          <w:bottom w:val="single" w:sz="4"/>
          <w:left w:val="single" w:sz="4"/>
          <w:right w:val="single" w:sz="4"/>
          <w:insideH w:val="single" w:sz="4"/>
          <w:insideV w:val="single" w:sz="4"/>
        </w:tblBorders>
      </w:tblPr>
      <w:tr>
        <w:tc>
          <w:p>
            <w:pPr>
              <w:jc w:val="center"/>
            </w:pPr>
            <w:r>
              <w:rPr>
                <w:b/>
                <w:sz w:val="20"/>
                <w:szCs w:val="20"/>
              </w:rPr>
              <w:t xml:space="preserve">S. No</w:t>
            </w:r>
          </w:p>
        </w:tc>
        <w:tc>
          <w:p>
            <w:pPr>
              <w:jc w:val="center"/>
            </w:pPr>
            <w:r>
              <w:rPr>
                <w:b/>
                <w:sz w:val="20"/>
                <w:szCs w:val="20"/>
              </w:rPr>
              <w:t xml:space="preserve">Mineral Constituent</w:t>
            </w:r>
          </w:p>
        </w:tc>
        <w:tc>
          <w:p>
            <w:pPr>
              <w:jc w:val="center"/>
            </w:pPr>
            <w:r>
              <w:rPr>
                <w:b/>
                <w:sz w:val="20"/>
                <w:szCs w:val="20"/>
              </w:rPr>
              <w:t xml:space="preserve">Denoting Symbol</w:t>
            </w:r>
          </w:p>
        </w:tc>
        <w:tc>
          <w:p>
            <w:pPr>
              <w:jc w:val="center"/>
            </w:pPr>
            <w:r>
              <w:rPr>
                <w:b/>
                <w:sz w:val="20"/>
                <w:szCs w:val="20"/>
              </w:rPr>
              <w:t xml:space="preserve">Range (g/100g batch)</w:t>
            </w:r>
          </w:p>
        </w:tc>
      </w:tr>
      <w:tr>
        <w:tc>
          <w:p>
            <w:pPr>
              <w:jc w:val="center"/>
            </w:pPr>
            <w:r>
              <w:rPr>
                <w:sz w:val="20"/>
                <w:szCs w:val="20"/>
              </w:rPr>
              <w:t xml:space="preserve">1</w:t>
            </w:r>
          </w:p>
        </w:tc>
        <w:tc>
          <w:p>
            <w:pPr>
              <w:jc w:val="center"/>
            </w:pPr>
            <w:r>
              <w:rPr>
                <w:sz w:val="20"/>
                <w:szCs w:val="20"/>
              </w:rPr>
              <w:t xml:space="preserve">SiO₂</w:t>
            </w:r>
          </w:p>
        </w:tc>
        <w:tc>
          <w:p>
            <w:pPr>
              <w:jc w:val="center"/>
            </w:pPr>
            <w:r>
              <w:rPr>
                <w:sz w:val="20"/>
                <w:szCs w:val="20"/>
              </w:rPr>
              <w:t xml:space="preserve">A</w:t>
            </w:r>
          </w:p>
        </w:tc>
        <w:tc>
          <w:p>
            <w:pPr>
              <w:jc w:val="center"/>
            </w:pPr>
            <w:r>
              <w:rPr>
                <w:sz w:val="20"/>
                <w:szCs w:val="20"/>
              </w:rPr>
              <w:t xml:space="preserve">5.0 – 10.0</w:t>
            </w:r>
          </w:p>
        </w:tc>
      </w:tr>
      <w:tr>
        <w:tc>
          <w:p>
            <w:pPr>
              <w:jc w:val="center"/>
            </w:pPr>
            <w:r>
              <w:rPr>
                <w:sz w:val="20"/>
                <w:szCs w:val="20"/>
              </w:rPr>
              <w:t xml:space="preserve">2</w:t>
            </w:r>
          </w:p>
        </w:tc>
        <w:tc>
          <w:p>
            <w:pPr>
              <w:jc w:val="center"/>
            </w:pPr>
            <w:r>
              <w:rPr>
                <w:sz w:val="20"/>
                <w:szCs w:val="20"/>
              </w:rPr>
              <w:t xml:space="preserve">TiO₂</w:t>
            </w:r>
          </w:p>
        </w:tc>
        <w:tc>
          <w:p>
            <w:pPr>
              <w:jc w:val="center"/>
            </w:pPr>
            <w:r>
              <w:rPr>
                <w:sz w:val="20"/>
                <w:szCs w:val="20"/>
              </w:rPr>
              <w:t xml:space="preserve">B</w:t>
            </w:r>
          </w:p>
        </w:tc>
        <w:tc>
          <w:p>
            <w:pPr>
              <w:jc w:val="center"/>
            </w:pPr>
            <w:r>
              <w:rPr>
                <w:sz w:val="20"/>
                <w:szCs w:val="20"/>
              </w:rPr>
              <w:t xml:space="preserve">10.0 – 20.0</w:t>
            </w:r>
          </w:p>
        </w:tc>
      </w:tr>
      <w:tr>
        <w:tc>
          <w:p>
            <w:pPr>
              <w:jc w:val="center"/>
            </w:pPr>
            <w:r>
              <w:rPr>
                <w:sz w:val="20"/>
                <w:szCs w:val="20"/>
              </w:rPr>
              <w:t xml:space="preserve">3</w:t>
            </w:r>
          </w:p>
        </w:tc>
        <w:tc>
          <w:p>
            <w:pPr>
              <w:jc w:val="center"/>
            </w:pPr>
            <w:r>
              <w:rPr>
                <w:sz w:val="20"/>
                <w:szCs w:val="20"/>
              </w:rPr>
              <w:t xml:space="preserve">CaF₂</w:t>
            </w:r>
          </w:p>
        </w:tc>
        <w:tc>
          <w:p>
            <w:pPr>
              <w:jc w:val="center"/>
            </w:pPr>
            <w:r>
              <w:rPr>
                <w:sz w:val="20"/>
                <w:szCs w:val="20"/>
              </w:rPr>
              <w:t xml:space="preserve">C</w:t>
            </w:r>
          </w:p>
        </w:tc>
        <w:tc>
          <w:p>
            <w:pPr>
              <w:jc w:val="center"/>
            </w:pPr>
            <w:r>
              <w:rPr>
                <w:sz w:val="20"/>
                <w:szCs w:val="20"/>
              </w:rPr>
              <w:t xml:space="preserve">20.0 – 35.0</w:t>
            </w:r>
          </w:p>
        </w:tc>
      </w:tr>
      <w:tr>
        <w:tc>
          <w:p>
            <w:pPr>
              <w:jc w:val="center"/>
            </w:pPr>
            <w:r>
              <w:rPr>
                <w:sz w:val="20"/>
                <w:szCs w:val="20"/>
              </w:rPr>
              <w:t xml:space="preserve">4</w:t>
            </w:r>
          </w:p>
        </w:tc>
        <w:tc>
          <w:p>
            <w:pPr>
              <w:jc w:val="center"/>
            </w:pPr>
            <w:r>
              <w:rPr>
                <w:sz w:val="20"/>
                <w:szCs w:val="20"/>
              </w:rPr>
              <w:t xml:space="preserve">BaO</w:t>
            </w:r>
          </w:p>
        </w:tc>
        <w:tc>
          <w:p>
            <w:pPr>
              <w:jc w:val="center"/>
            </w:pPr>
            <w:r>
              <w:rPr>
                <w:sz w:val="20"/>
                <w:szCs w:val="20"/>
              </w:rPr>
              <w:t xml:space="preserve">D</w:t>
            </w:r>
          </w:p>
        </w:tc>
        <w:tc>
          <w:p>
            <w:pPr>
              <w:jc w:val="center"/>
            </w:pPr>
            <w:r>
              <w:rPr>
                <w:sz w:val="20"/>
                <w:szCs w:val="20"/>
              </w:rPr>
              <w:t xml:space="preserve">5.0 – 10.0</w:t>
            </w:r>
          </w:p>
        </w:tc>
      </w:tr>
      <w:tr>
        <w:tc>
          <w:p>
            <w:pPr>
              <w:jc w:val="center"/>
            </w:pPr>
            <w:r>
              <w:rPr>
                <w:sz w:val="20"/>
                <w:szCs w:val="20"/>
              </w:rPr>
              <w:t xml:space="preserve">5</w:t>
            </w:r>
          </w:p>
        </w:tc>
        <w:tc>
          <w:p>
            <w:pPr>
              <w:jc w:val="center"/>
            </w:pPr>
            <w:r>
              <w:rPr>
                <w:sz w:val="20"/>
                <w:szCs w:val="20"/>
              </w:rPr>
              <w:t xml:space="preserve">MnO</w:t>
            </w:r>
          </w:p>
        </w:tc>
        <w:tc>
          <w:p>
            <w:pPr>
              <w:jc w:val="center"/>
            </w:pPr>
            <w:r>
              <w:rPr>
                <w:sz w:val="20"/>
                <w:szCs w:val="20"/>
              </w:rPr>
              <w:t xml:space="preserve">E</w:t>
            </w:r>
          </w:p>
        </w:tc>
        <w:tc>
          <w:p>
            <w:pPr>
              <w:jc w:val="center"/>
            </w:pPr>
            <w:r>
              <w:rPr>
                <w:sz w:val="20"/>
                <w:szCs w:val="20"/>
              </w:rPr>
              <w:t xml:space="preserve">10.0 – 25.0</w:t>
            </w:r>
          </w:p>
        </w:tc>
      </w:tr>
      <w:tr>
        <w:tc>
          <w:p>
            <w:pPr>
              <w:jc w:val="center"/>
            </w:pPr>
            <w:r>
              <w:rPr>
                <w:sz w:val="20"/>
                <w:szCs w:val="20"/>
              </w:rPr>
              <w:t xml:space="preserve">6</w:t>
            </w:r>
          </w:p>
        </w:tc>
        <w:tc>
          <w:p>
            <w:pPr>
              <w:jc w:val="center"/>
            </w:pPr>
            <w:r>
              <w:rPr>
                <w:sz w:val="20"/>
                <w:szCs w:val="20"/>
              </w:rPr>
              <w:t xml:space="preserve">CaO</w:t>
            </w:r>
          </w:p>
        </w:tc>
        <w:tc>
          <w:p>
            <w:pPr>
              <w:jc w:val="center"/>
            </w:pPr>
            <w:r>
              <w:rPr>
                <w:sz w:val="20"/>
                <w:szCs w:val="20"/>
              </w:rPr>
              <w:t xml:space="preserve">F</w:t>
            </w:r>
          </w:p>
        </w:tc>
        <w:tc>
          <w:p>
            <w:pPr>
              <w:jc w:val="center"/>
            </w:pPr>
            <w:r>
              <w:rPr>
                <w:sz w:val="20"/>
                <w:szCs w:val="20"/>
              </w:rPr>
              <w:t xml:space="preserve">8.0 (constant)</w:t>
            </w:r>
          </w:p>
        </w:tc>
      </w:tr>
    </w:tbl>
    <w:p>
      <w:pPr>
        <w:jc w:val="both"/>
      </w:pPr>
      <w:r>
        <w:rPr>
          <w:sz w:val="24"/>
          <w:szCs w:val="24"/>
          <w:rFonts w:ascii="Times New Roman" w:hAnsi="Times New Roman"/>
        </w:rPr>
        <w:t xml:space="preserve"/>
      </w:r>
    </w:p>
    <w:p>
      <w:pPr>
        <w:jc w:val="both"/>
      </w:pPr>
      <w:r>
        <w:rPr>
          <w:sz w:val="24"/>
          <w:szCs w:val="24"/>
          <w:rFonts w:ascii="Times New Roman" w:hAnsi="Times New Roman"/>
        </w:rPr>
        <w:t xml:space="preserve">Potassium silicate solution (5 wt%) of the batch was added as a binder, so that the mineral powders might adhere to the steel core [22]. Chen and Arora [23] demonstrated that silicate binders provide adequate bonding strength in agglomerated SAW fluxes. The powders were mixed in a turbula mixer for 30 min after which they were dried in the oven at 80°C for 2 h.</w:t>
      </w:r>
    </w:p>
    <w:p>
      <w:pPr>
        <w:jc w:val="both"/>
      </w:pPr>
      <w:r>
        <w:rPr>
          <w:sz w:val="24"/>
          <w:szCs w:val="24"/>
          <w:rFonts w:ascii="Times New Roman" w:hAnsi="Times New Roman"/>
        </w:rPr>
        <w:t xml:space="preserve"/>
      </w:r>
    </w:p>
    <w:p>
      <w:pPr>
        <w:pStyle w:val="Heading3"/>
        <w:jc w:val="both"/>
      </w:pPr>
      <w:r>
        <w:rPr>
          <w:b/>
          <w:sz w:val="26"/>
          <w:szCs w:val="26"/>
          <w:rFonts w:ascii="Times New Roman" w:hAnsi="Times New Roman"/>
        </w:rPr>
        <w:t xml:space="preserve">4.1.1. Design of Experimentation for Flux Formulation</w:t>
      </w:r>
    </w:p>
    <w:p>
      <w:pPr>
        <w:jc w:val="both"/>
      </w:pPr>
      <w:r>
        <w:rPr>
          <w:sz w:val="24"/>
          <w:szCs w:val="24"/>
          <w:rFonts w:ascii="Times New Roman" w:hAnsi="Times New Roman"/>
        </w:rPr>
        <w:t xml:space="preserve">The traditional trial-and-error method was replaced by a systematic Design of Experiments (DoE) approach to develop the 25 submerged arc welding fluxes [8, 24]. Zhang and Kumar [25] demonstrated the effectiveness of DoE approach for submerged arc welding flux optimization. Mineral constituents (SiO₂, TiO₂, CaF₂, BaO, MnO and fixed CaO) are interdependent and an increase in one component necessarily requires a decrease in one or more other components; thus the mixture technique of Design of Experiments was used [26]. Design-Expert software (version 13, Stat-Ease Inc. Minneapolis, MN, USA) was used to design an experimental flux design matrix for SiO₂, TiO₂, CaF₂, BaO, MnO and fixed CaO ingredients (Table 4.2). The lower and upper bound constraints for the variables (Table 4.1) that are not possible in standard simplex-lattice or simplex-centroid designs make the D-optimal design suitable [25, 27]. To minimize systematic bias, the replicates were randomly positioned in the design space.</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mixture formulation was designed according to the following mathematical constraints:</w:t>
      </w:r>
    </w:p>
    <w:p>
      <w:pPr>
        <w:jc w:val="center"/>
      </w:pPr>
      <w:r>
        <w:rPr>
          <w:sz w:val="24"/>
          <w:szCs w:val="24"/>
          <w:rFonts w:ascii="Times New Roman" w:hAnsi="Times New Roman"/>
        </w:rPr>
        <w:t xml:space="preserve">0 ≤ α_i ≤ x_i ≤ β_i ≤ 100 ... (Equation 4.1)</w:t>
      </w:r>
    </w:p>
    <w:p>
      <w:pPr>
        <w:jc w:val="center"/>
      </w:pPr>
      <w:r>
        <w:rPr>
          <w:sz w:val="24"/>
          <w:szCs w:val="24"/>
          <w:rFonts w:ascii="Times New Roman" w:hAnsi="Times New Roman"/>
        </w:rPr>
        <w:t xml:space="preserve">Σx_i = 100 ... (Equation 4.2)</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Here x is the mass in grams of every mineral constituent in every batch of 100 g, while α_i and β_i serve as the lower and upper specifications of each element (Table 4.1). Equation (4.1) ensures each single element is within a given range. Cornell [26] provides a comprehensive treatment of such mixture design constraints. The scale is able to adapt the mass variations brought by adding red ochre and binder materials.</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compositional range was analyzed based on a number of basic ternary systems as shown in Figure 4.1. The CaF₂ addition to the SiO₂-CaO-CaF₂ diagram (Figure 4.1a) reduces the liquidus temperature and creates two-liquid zones, which are important in regulating the fluidity of slag [28]. Mukerji [29] originally established the phase equilibrium diagram for the CaO—CaF₂—2CaO·SiO₂ system. The SiO₂-MnO-TiO₂ system (Figure 4.1b) plotted under controlled oxygen potential shows the effect of Mn and Ti in the formation and stability of silicate and titanate phases, and hence, the stability of the arc as well as the slag release [30]. Kang et al. [31] provided critical thermodynamic evaluation and optimization of the MnO-TiO₂-Ti₂O₃ system. The BaO-SiO₂-CaF₂ system (Figure 4.1c) indicates a low-melting dual liquid phase near the SiO₂-CaF₂ interface, which means that the flux is easier to melt [32]. Sarkar et al. [33] conducted thermodynamic evaluation and optimization of the BaO-SiO₂ and BaO-CaO-SiO₂ systems. These ternary combinations are then further extended to a quaternary model SiO₂-CaF₂-MnO-BaO (Figure 4.1d), whose polyhedral zone represents the scope of composition that is viable [34].</w:t>
      </w:r>
    </w:p>
    <w:p>
      <w:pPr>
        <w:jc w:val="both"/>
      </w:pPr>
      <w:r>
        <w:rPr>
          <w:sz w:val="24"/>
          <w:szCs w:val="24"/>
          <w:rFonts w:ascii="Times New Roman" w:hAnsi="Times New Roman"/>
        </w:rPr>
        <w:t xml:space="preserve"/>
      </w:r>
    </w:p>
    <w:p>
      <w:pPr>
        <w:jc w:val="center"/>
      </w:pPr>
      <w:r>
        <w:drawing>
          <wp:inline xmlns:wp="http://schemas.openxmlformats.org/drawingml/2006/wordprocessingDrawing" distT="0" distB="0" distL="0" distR="0">
            <wp:extent cx="5400000" cy="4050000"/>
            <wp:docPr id="1" name="Picture"/>
            <a:graphic xmlns:a="http://schemas.openxmlformats.org/drawingml/2006/main">
              <a:graphicData uri="http://schemas.openxmlformats.org/drawingml/2006/picture">
                <pic:pic xmlns:pic="http://schemas.openxmlformats.org/drawingml/2006/picture">
                  <pic:nvPicPr>
                    <pic:cNvPr id="0" name="img"/>
                    <pic:cNvPicPr/>
                  </pic:nvPicPr>
                  <pic:blipFill>
                    <a:blip xmlns:r="http://schemas.openxmlformats.org/officeDocument/2006/relationships" r:embed="rId7"/>
                    <a:stretch>
                      <a:fillRect/>
                    </a:stretch>
                  </pic:blipFill>
                  <pic:spPr>
                    <a:xfrm>
                      <a:off x="0" y="0"/>
                      <a:ext cx="5400000" cy="4050000"/>
                    </a:xfrm>
                    <a:prstGeom prst="rect">
                      <a:avLst/>
                    </a:prstGeom>
                  </pic:spPr>
                </pic:pic>
              </a:graphicData>
            </a:graphic>
          </wp:inline>
        </w:drawing>
      </w:r>
    </w:p>
    <w:p>
      <w:pPr>
        <w:jc w:val="center"/>
      </w:pPr>
      <w:r>
        <w:rPr>
          <w:b/>
          <w:sz w:val="20"/>
          <w:szCs w:val="20"/>
          <w:rFonts w:ascii="Times New Roman" w:hAnsi="Times New Roman"/>
        </w:rPr>
        <w:t xml:space="preserve">Figure 4.1: Representation of ternary and quaternary phase relationships used in flux formulation [29, 31, 33]. (a) SiO₂–CaO–CaF₂, (b) SiO₂–MnO–TiO₂, (c) BaO–SiO₂–CaF₂, (d) Quaternary framework</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basicity index (BI) of all 25 fluxes was calculated using the modified Tulliani equation [35]:</w:t>
      </w:r>
    </w:p>
    <w:p>
      <w:pPr>
        <w:jc w:val="center"/>
      </w:pPr>
      <w:r>
        <w:rPr>
          <w:sz w:val="24"/>
          <w:szCs w:val="24"/>
          <w:rFonts w:ascii="Times New Roman" w:hAnsi="Times New Roman"/>
        </w:rPr>
        <w:t xml:space="preserve">BI = (CaO + CaF₂ + MgO + BaO + SrO + Na₂O) + 0.5(MnO + Fe) / SiO₂ + 0.5(TiO₂ + Al₂O₃ + ZrO₂) ... (Eq. 4.3)</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This index was developed with an improved description of the fluxing and deoxidizing effect of CaF₂ and MnO, in addition to the conventional basic oxides [35, 36]. Khan and Wilson [19] established that basicity index has significant impact on slag fluidity. The resulting values of the basicity index ranged between 2.100 and 4.622 and virtually grouped the fluxes between acidic and strongly basic as indicated in Table 4.2. CaF₂ and MnO rich blends (e.g. Run 2) had the highest basicity and those with high levels of SiO₂ and TiO₂ had the lowest basicity [37]. Robinson and Gupta [38] confirmed that arc stability and slag detachability are enhanced in high-basicity fluxes. A high level of SiO₂ and TiO₂ reduced the basicity index, which is generally responsible for producing liquid slags. In contrast, BaO and the constant 8% CaO increased the index, which correlates with improved desulfurization potential and better slag detachability from the weld metal [39, 40].</w:t>
      </w:r>
    </w:p>
    <w:p>
      <w:pPr>
        <w:jc w:val="both"/>
      </w:pPr>
      <w:r>
        <w:rPr>
          <w:sz w:val="24"/>
          <w:szCs w:val="24"/>
          <w:rFonts w:ascii="Times New Roman" w:hAnsi="Times New Roman"/>
        </w:rPr>
        <w:t xml:space="preserve"/>
      </w:r>
    </w:p>
    <w:p>
      <w:pPr>
        <w:jc w:val="center"/>
      </w:pPr>
      <w:r>
        <w:rPr>
          <w:b/>
          <w:sz w:val="22"/>
          <w:szCs w:val="22"/>
          <w:rFonts w:ascii="Times New Roman" w:hAnsi="Times New Roman"/>
        </w:rPr>
        <w:t xml:space="preserve">Table 4.2: Design matrix of flux composition</w:t>
      </w:r>
    </w:p>
    <w:tbl>
      <w:tblPr>
        <w:tblStyle w:val="TableGrid"/>
        <w:tblW w:w="5000" w:type="pct"/>
        <w:tblBorders>
          <w:top w:val="single" w:sz="4"/>
          <w:bottom w:val="single" w:sz="4"/>
          <w:left w:val="single" w:sz="4"/>
          <w:right w:val="single" w:sz="4"/>
          <w:insideH w:val="single" w:sz="4"/>
          <w:insideV w:val="single" w:sz="4"/>
        </w:tblBorders>
      </w:tblPr>
      <w:tr>
        <w:tc>
          <w:p>
            <w:pPr>
              <w:jc w:val="center"/>
            </w:pPr>
            <w:r>
              <w:rPr>
                <w:b/>
                <w:sz w:val="20"/>
                <w:szCs w:val="20"/>
              </w:rPr>
              <w:t xml:space="preserve">Run</w:t>
            </w:r>
          </w:p>
        </w:tc>
        <w:tc>
          <w:p>
            <w:pPr>
              <w:jc w:val="center"/>
            </w:pPr>
            <w:r>
              <w:rPr>
                <w:b/>
                <w:sz w:val="20"/>
                <w:szCs w:val="20"/>
              </w:rPr>
              <w:t xml:space="preserve">SiO₂</w:t>
            </w:r>
          </w:p>
        </w:tc>
        <w:tc>
          <w:p>
            <w:pPr>
              <w:jc w:val="center"/>
            </w:pPr>
            <w:r>
              <w:rPr>
                <w:b/>
                <w:sz w:val="20"/>
                <w:szCs w:val="20"/>
              </w:rPr>
              <w:t xml:space="preserve">TiO₂</w:t>
            </w:r>
          </w:p>
        </w:tc>
        <w:tc>
          <w:p>
            <w:pPr>
              <w:jc w:val="center"/>
            </w:pPr>
            <w:r>
              <w:rPr>
                <w:b/>
                <w:sz w:val="20"/>
                <w:szCs w:val="20"/>
              </w:rPr>
              <w:t xml:space="preserve">CaF₂</w:t>
            </w:r>
          </w:p>
        </w:tc>
        <w:tc>
          <w:p>
            <w:pPr>
              <w:jc w:val="center"/>
            </w:pPr>
            <w:r>
              <w:rPr>
                <w:b/>
                <w:sz w:val="20"/>
                <w:szCs w:val="20"/>
              </w:rPr>
              <w:t xml:space="preserve">BaO</w:t>
            </w:r>
          </w:p>
        </w:tc>
        <w:tc>
          <w:p>
            <w:pPr>
              <w:jc w:val="center"/>
            </w:pPr>
            <w:r>
              <w:rPr>
                <w:b/>
                <w:sz w:val="20"/>
                <w:szCs w:val="20"/>
              </w:rPr>
              <w:t xml:space="preserve">MnO</w:t>
            </w:r>
          </w:p>
        </w:tc>
        <w:tc>
          <w:p>
            <w:pPr>
              <w:jc w:val="center"/>
            </w:pPr>
            <w:r>
              <w:rPr>
                <w:b/>
                <w:sz w:val="20"/>
                <w:szCs w:val="20"/>
              </w:rPr>
              <w:t xml:space="preserve">CaO</w:t>
            </w:r>
          </w:p>
        </w:tc>
        <w:tc>
          <w:p>
            <w:pPr>
              <w:jc w:val="center"/>
            </w:pPr>
            <w:r>
              <w:rPr>
                <w:b/>
                <w:sz w:val="20"/>
                <w:szCs w:val="20"/>
              </w:rPr>
              <w:t xml:space="preserve">BI</w:t>
            </w:r>
          </w:p>
        </w:tc>
      </w:tr>
      <w:tr>
        <w:tc>
          <w:p>
            <w:pPr>
              <w:jc w:val="center"/>
            </w:pPr>
            <w:r>
              <w:rPr>
                <w:sz w:val="20"/>
                <w:szCs w:val="20"/>
              </w:rPr>
              <w:t xml:space="preserve">1</w:t>
            </w:r>
          </w:p>
        </w:tc>
        <w:tc>
          <w:p>
            <w:pPr>
              <w:jc w:val="center"/>
            </w:pPr>
            <w:r>
              <w:rPr>
                <w:sz w:val="20"/>
                <w:szCs w:val="20"/>
              </w:rPr>
              <w:t xml:space="preserve">10.00</w:t>
            </w:r>
          </w:p>
        </w:tc>
        <w:tc>
          <w:p>
            <w:pPr>
              <w:jc w:val="center"/>
            </w:pPr>
            <w:r>
              <w:rPr>
                <w:sz w:val="20"/>
                <w:szCs w:val="20"/>
              </w:rPr>
              <w:t xml:space="preserve">18.59</w:t>
            </w:r>
          </w:p>
        </w:tc>
        <w:tc>
          <w:p>
            <w:pPr>
              <w:jc w:val="center"/>
            </w:pPr>
            <w:r>
              <w:rPr>
                <w:sz w:val="20"/>
                <w:szCs w:val="20"/>
              </w:rPr>
              <w:t xml:space="preserve">21.42</w:t>
            </w:r>
          </w:p>
        </w:tc>
        <w:tc>
          <w:p>
            <w:pPr>
              <w:jc w:val="center"/>
            </w:pPr>
            <w:r>
              <w:rPr>
                <w:sz w:val="20"/>
                <w:szCs w:val="20"/>
              </w:rPr>
              <w:t xml:space="preserve">9.99</w:t>
            </w:r>
          </w:p>
        </w:tc>
        <w:tc>
          <w:p>
            <w:pPr>
              <w:jc w:val="center"/>
            </w:pPr>
            <w:r>
              <w:rPr>
                <w:sz w:val="20"/>
                <w:szCs w:val="20"/>
              </w:rPr>
              <w:t xml:space="preserve">25.00</w:t>
            </w:r>
          </w:p>
        </w:tc>
        <w:tc>
          <w:p>
            <w:pPr>
              <w:jc w:val="center"/>
            </w:pPr>
            <w:r>
              <w:rPr>
                <w:sz w:val="20"/>
                <w:szCs w:val="20"/>
              </w:rPr>
              <w:t xml:space="preserve">8.00</w:t>
            </w:r>
          </w:p>
        </w:tc>
        <w:tc>
          <w:p>
            <w:pPr>
              <w:jc w:val="center"/>
            </w:pPr>
            <w:r>
              <w:rPr>
                <w:sz w:val="20"/>
                <w:szCs w:val="20"/>
              </w:rPr>
              <w:t xml:space="preserve">2.253</w:t>
            </w:r>
          </w:p>
        </w:tc>
      </w:tr>
      <w:tr>
        <w:tc>
          <w:p>
            <w:pPr>
              <w:jc w:val="center"/>
            </w:pPr>
            <w:r>
              <w:rPr>
                <w:sz w:val="20"/>
                <w:szCs w:val="20"/>
              </w:rPr>
              <w:t xml:space="preserve">2</w:t>
            </w:r>
          </w:p>
        </w:tc>
        <w:tc>
          <w:p>
            <w:pPr>
              <w:jc w:val="center"/>
            </w:pPr>
            <w:r>
              <w:rPr>
                <w:sz w:val="20"/>
                <w:szCs w:val="20"/>
              </w:rPr>
              <w:t xml:space="preserve">6.37</w:t>
            </w:r>
          </w:p>
        </w:tc>
        <w:tc>
          <w:p>
            <w:pPr>
              <w:jc w:val="center"/>
            </w:pPr>
            <w:r>
              <w:rPr>
                <w:sz w:val="20"/>
                <w:szCs w:val="20"/>
              </w:rPr>
              <w:t xml:space="preserve">10.17</w:t>
            </w:r>
          </w:p>
        </w:tc>
        <w:tc>
          <w:p>
            <w:pPr>
              <w:jc w:val="center"/>
            </w:pPr>
            <w:r>
              <w:rPr>
                <w:sz w:val="20"/>
                <w:szCs w:val="20"/>
              </w:rPr>
              <w:t xml:space="preserve">35.00</w:t>
            </w:r>
          </w:p>
        </w:tc>
        <w:tc>
          <w:p>
            <w:pPr>
              <w:jc w:val="center"/>
            </w:pPr>
            <w:r>
              <w:rPr>
                <w:sz w:val="20"/>
                <w:szCs w:val="20"/>
              </w:rPr>
              <w:t xml:space="preserve">8.46</w:t>
            </w:r>
          </w:p>
        </w:tc>
        <w:tc>
          <w:p>
            <w:pPr>
              <w:jc w:val="center"/>
            </w:pPr>
            <w:r>
              <w:rPr>
                <w:sz w:val="20"/>
                <w:szCs w:val="20"/>
              </w:rPr>
              <w:t xml:space="preserve">25.00</w:t>
            </w:r>
          </w:p>
        </w:tc>
        <w:tc>
          <w:p>
            <w:pPr>
              <w:jc w:val="center"/>
            </w:pPr>
            <w:r>
              <w:rPr>
                <w:sz w:val="20"/>
                <w:szCs w:val="20"/>
              </w:rPr>
              <w:t xml:space="preserve">8.00</w:t>
            </w:r>
          </w:p>
        </w:tc>
        <w:tc>
          <w:p>
            <w:pPr>
              <w:jc w:val="center"/>
            </w:pPr>
            <w:r>
              <w:rPr>
                <w:sz w:val="20"/>
                <w:szCs w:val="20"/>
              </w:rPr>
              <w:t xml:space="preserve">4.622</w:t>
            </w:r>
          </w:p>
        </w:tc>
      </w:tr>
      <w:tr>
        <w:tc>
          <w:p>
            <w:pPr>
              <w:jc w:val="center"/>
            </w:pPr>
            <w:r>
              <w:rPr>
                <w:sz w:val="20"/>
                <w:szCs w:val="20"/>
              </w:rPr>
              <w:t xml:space="preserve">3</w:t>
            </w:r>
          </w:p>
        </w:tc>
        <w:tc>
          <w:p>
            <w:pPr>
              <w:jc w:val="center"/>
            </w:pPr>
            <w:r>
              <w:rPr>
                <w:sz w:val="20"/>
                <w:szCs w:val="20"/>
              </w:rPr>
              <w:t xml:space="preserve">8.15</w:t>
            </w:r>
          </w:p>
        </w:tc>
        <w:tc>
          <w:p>
            <w:pPr>
              <w:jc w:val="center"/>
            </w:pPr>
            <w:r>
              <w:rPr>
                <w:sz w:val="20"/>
                <w:szCs w:val="20"/>
              </w:rPr>
              <w:t xml:space="preserve">13.98</w:t>
            </w:r>
          </w:p>
        </w:tc>
        <w:tc>
          <w:p>
            <w:pPr>
              <w:jc w:val="center"/>
            </w:pPr>
            <w:r>
              <w:rPr>
                <w:sz w:val="20"/>
                <w:szCs w:val="20"/>
              </w:rPr>
              <w:t xml:space="preserve">35.00</w:t>
            </w:r>
          </w:p>
        </w:tc>
        <w:tc>
          <w:p>
            <w:pPr>
              <w:jc w:val="center"/>
            </w:pPr>
            <w:r>
              <w:rPr>
                <w:sz w:val="20"/>
                <w:szCs w:val="20"/>
              </w:rPr>
              <w:t xml:space="preserve">10.00</w:t>
            </w:r>
          </w:p>
        </w:tc>
        <w:tc>
          <w:p>
            <w:pPr>
              <w:jc w:val="center"/>
            </w:pPr>
            <w:r>
              <w:rPr>
                <w:sz w:val="20"/>
                <w:szCs w:val="20"/>
              </w:rPr>
              <w:t xml:space="preserve">17.86</w:t>
            </w:r>
          </w:p>
        </w:tc>
        <w:tc>
          <w:p>
            <w:pPr>
              <w:jc w:val="center"/>
            </w:pPr>
            <w:r>
              <w:rPr>
                <w:sz w:val="20"/>
                <w:szCs w:val="20"/>
              </w:rPr>
              <w:t xml:space="preserve">8.00</w:t>
            </w:r>
          </w:p>
        </w:tc>
        <w:tc>
          <w:p>
            <w:pPr>
              <w:jc w:val="center"/>
            </w:pPr>
            <w:r>
              <w:rPr>
                <w:sz w:val="20"/>
                <w:szCs w:val="20"/>
              </w:rPr>
              <w:t xml:space="preserve">3.201</w:t>
            </w:r>
          </w:p>
        </w:tc>
      </w:tr>
      <w:tr>
        <w:tc>
          <w:p>
            <w:pPr>
              <w:jc w:val="center"/>
            </w:pPr>
            <w:r>
              <w:rPr>
                <w:sz w:val="20"/>
                <w:szCs w:val="20"/>
              </w:rPr>
              <w:t xml:space="preserve">4</w:t>
            </w:r>
          </w:p>
        </w:tc>
        <w:tc>
          <w:p>
            <w:pPr>
              <w:jc w:val="center"/>
            </w:pPr>
            <w:r>
              <w:rPr>
                <w:sz w:val="20"/>
                <w:szCs w:val="20"/>
              </w:rPr>
              <w:t xml:space="preserve">7.94</w:t>
            </w:r>
          </w:p>
        </w:tc>
        <w:tc>
          <w:p>
            <w:pPr>
              <w:jc w:val="center"/>
            </w:pPr>
            <w:r>
              <w:rPr>
                <w:sz w:val="20"/>
                <w:szCs w:val="20"/>
              </w:rPr>
              <w:t xml:space="preserve">15.42</w:t>
            </w:r>
          </w:p>
        </w:tc>
        <w:tc>
          <w:p>
            <w:pPr>
              <w:jc w:val="center"/>
            </w:pPr>
            <w:r>
              <w:rPr>
                <w:sz w:val="20"/>
                <w:szCs w:val="20"/>
              </w:rPr>
              <w:t xml:space="preserve">30.09</w:t>
            </w:r>
          </w:p>
        </w:tc>
        <w:tc>
          <w:p>
            <w:pPr>
              <w:jc w:val="center"/>
            </w:pPr>
            <w:r>
              <w:rPr>
                <w:sz w:val="20"/>
                <w:szCs w:val="20"/>
              </w:rPr>
              <w:t xml:space="preserve">6.55</w:t>
            </w:r>
          </w:p>
        </w:tc>
        <w:tc>
          <w:p>
            <w:pPr>
              <w:jc w:val="center"/>
            </w:pPr>
            <w:r>
              <w:rPr>
                <w:sz w:val="20"/>
                <w:szCs w:val="20"/>
              </w:rPr>
              <w:t xml:space="preserve">25.00</w:t>
            </w:r>
          </w:p>
        </w:tc>
        <w:tc>
          <w:p>
            <w:pPr>
              <w:jc w:val="center"/>
            </w:pPr>
            <w:r>
              <w:rPr>
                <w:sz w:val="20"/>
                <w:szCs w:val="20"/>
              </w:rPr>
              <w:t xml:space="preserve">8.00</w:t>
            </w:r>
          </w:p>
        </w:tc>
        <w:tc>
          <w:p>
            <w:pPr>
              <w:jc w:val="center"/>
            </w:pPr>
            <w:r>
              <w:rPr>
                <w:sz w:val="20"/>
                <w:szCs w:val="20"/>
              </w:rPr>
              <w:t xml:space="preserve">2.981</w:t>
            </w:r>
          </w:p>
        </w:tc>
      </w:tr>
      <w:tr>
        <w:tc>
          <w:p>
            <w:pPr>
              <w:jc w:val="center"/>
            </w:pPr>
            <w:r>
              <w:rPr>
                <w:sz w:val="20"/>
                <w:szCs w:val="20"/>
              </w:rPr>
              <w:t xml:space="preserve">5</w:t>
            </w:r>
          </w:p>
        </w:tc>
        <w:tc>
          <w:p>
            <w:pPr>
              <w:jc w:val="center"/>
            </w:pPr>
            <w:r>
              <w:rPr>
                <w:sz w:val="20"/>
                <w:szCs w:val="20"/>
              </w:rPr>
              <w:t xml:space="preserve">8.15</w:t>
            </w:r>
          </w:p>
        </w:tc>
        <w:tc>
          <w:p>
            <w:pPr>
              <w:jc w:val="center"/>
            </w:pPr>
            <w:r>
              <w:rPr>
                <w:sz w:val="20"/>
                <w:szCs w:val="20"/>
              </w:rPr>
              <w:t xml:space="preserve">13.98</w:t>
            </w:r>
          </w:p>
        </w:tc>
        <w:tc>
          <w:p>
            <w:pPr>
              <w:jc w:val="center"/>
            </w:pPr>
            <w:r>
              <w:rPr>
                <w:sz w:val="20"/>
                <w:szCs w:val="20"/>
              </w:rPr>
              <w:t xml:space="preserve">35.00</w:t>
            </w:r>
          </w:p>
        </w:tc>
        <w:tc>
          <w:p>
            <w:pPr>
              <w:jc w:val="center"/>
            </w:pPr>
            <w:r>
              <w:rPr>
                <w:sz w:val="20"/>
                <w:szCs w:val="20"/>
              </w:rPr>
              <w:t xml:space="preserve">10.00</w:t>
            </w:r>
          </w:p>
        </w:tc>
        <w:tc>
          <w:p>
            <w:pPr>
              <w:jc w:val="center"/>
            </w:pPr>
            <w:r>
              <w:rPr>
                <w:sz w:val="20"/>
                <w:szCs w:val="20"/>
              </w:rPr>
              <w:t xml:space="preserve">17.86</w:t>
            </w:r>
          </w:p>
        </w:tc>
        <w:tc>
          <w:p>
            <w:pPr>
              <w:jc w:val="center"/>
            </w:pPr>
            <w:r>
              <w:rPr>
                <w:sz w:val="20"/>
                <w:szCs w:val="20"/>
              </w:rPr>
              <w:t xml:space="preserve">8.00</w:t>
            </w:r>
          </w:p>
        </w:tc>
        <w:tc>
          <w:p>
            <w:pPr>
              <w:jc w:val="center"/>
            </w:pPr>
            <w:r>
              <w:rPr>
                <w:sz w:val="20"/>
                <w:szCs w:val="20"/>
              </w:rPr>
              <w:t xml:space="preserve">3.201</w:t>
            </w:r>
          </w:p>
        </w:tc>
      </w:tr>
      <w:tr>
        <w:tc>
          <w:p>
            <w:pPr>
              <w:jc w:val="center"/>
            </w:pPr>
            <w:r>
              <w:rPr>
                <w:sz w:val="20"/>
                <w:szCs w:val="20"/>
              </w:rPr>
              <w:t xml:space="preserve">6</w:t>
            </w:r>
          </w:p>
        </w:tc>
        <w:tc>
          <w:p>
            <w:pPr>
              <w:jc w:val="center"/>
            </w:pPr>
            <w:r>
              <w:rPr>
                <w:sz w:val="20"/>
                <w:szCs w:val="20"/>
              </w:rPr>
              <w:t xml:space="preserve">5.29</w:t>
            </w:r>
          </w:p>
        </w:tc>
        <w:tc>
          <w:p>
            <w:pPr>
              <w:jc w:val="center"/>
            </w:pPr>
            <w:r>
              <w:rPr>
                <w:sz w:val="20"/>
                <w:szCs w:val="20"/>
              </w:rPr>
              <w:t xml:space="preserve">20.00</w:t>
            </w:r>
          </w:p>
        </w:tc>
        <w:tc>
          <w:p>
            <w:pPr>
              <w:jc w:val="center"/>
            </w:pPr>
            <w:r>
              <w:rPr>
                <w:sz w:val="20"/>
                <w:szCs w:val="20"/>
              </w:rPr>
              <w:t xml:space="preserve">27.44</w:t>
            </w:r>
          </w:p>
        </w:tc>
        <w:tc>
          <w:p>
            <w:pPr>
              <w:jc w:val="center"/>
            </w:pPr>
            <w:r>
              <w:rPr>
                <w:sz w:val="20"/>
                <w:szCs w:val="20"/>
              </w:rPr>
              <w:t xml:space="preserve">7.28</w:t>
            </w:r>
          </w:p>
        </w:tc>
        <w:tc>
          <w:p>
            <w:pPr>
              <w:jc w:val="center"/>
            </w:pPr>
            <w:r>
              <w:rPr>
                <w:sz w:val="20"/>
                <w:szCs w:val="20"/>
              </w:rPr>
              <w:t xml:space="preserve">25.00</w:t>
            </w:r>
          </w:p>
        </w:tc>
        <w:tc>
          <w:p>
            <w:pPr>
              <w:jc w:val="center"/>
            </w:pPr>
            <w:r>
              <w:rPr>
                <w:sz w:val="20"/>
                <w:szCs w:val="20"/>
              </w:rPr>
              <w:t xml:space="preserve">8.00</w:t>
            </w:r>
          </w:p>
        </w:tc>
        <w:tc>
          <w:p>
            <w:pPr>
              <w:jc w:val="center"/>
            </w:pPr>
            <w:r>
              <w:rPr>
                <w:sz w:val="20"/>
                <w:szCs w:val="20"/>
              </w:rPr>
              <w:t xml:space="preserve">2.677</w:t>
            </w:r>
          </w:p>
        </w:tc>
      </w:tr>
      <w:tr>
        <w:tc>
          <w:p>
            <w:pPr>
              <w:jc w:val="center"/>
            </w:pPr>
            <w:r>
              <w:rPr>
                <w:sz w:val="20"/>
                <w:szCs w:val="20"/>
              </w:rPr>
              <w:t xml:space="preserve">7</w:t>
            </w:r>
          </w:p>
        </w:tc>
        <w:tc>
          <w:p>
            <w:pPr>
              <w:jc w:val="center"/>
            </w:pPr>
            <w:r>
              <w:rPr>
                <w:sz w:val="20"/>
                <w:szCs w:val="20"/>
              </w:rPr>
              <w:t xml:space="preserve">10.00</w:t>
            </w:r>
          </w:p>
        </w:tc>
        <w:tc>
          <w:p>
            <w:pPr>
              <w:jc w:val="center"/>
            </w:pPr>
            <w:r>
              <w:rPr>
                <w:sz w:val="20"/>
                <w:szCs w:val="20"/>
              </w:rPr>
              <w:t xml:space="preserve">14.37</w:t>
            </w:r>
          </w:p>
        </w:tc>
        <w:tc>
          <w:p>
            <w:pPr>
              <w:jc w:val="center"/>
            </w:pPr>
            <w:r>
              <w:rPr>
                <w:sz w:val="20"/>
                <w:szCs w:val="20"/>
              </w:rPr>
              <w:t xml:space="preserve">25.63</w:t>
            </w:r>
          </w:p>
        </w:tc>
        <w:tc>
          <w:p>
            <w:pPr>
              <w:jc w:val="center"/>
            </w:pPr>
            <w:r>
              <w:rPr>
                <w:sz w:val="20"/>
                <w:szCs w:val="20"/>
              </w:rPr>
              <w:t xml:space="preserve">10.00</w:t>
            </w:r>
          </w:p>
        </w:tc>
        <w:tc>
          <w:p>
            <w:pPr>
              <w:jc w:val="center"/>
            </w:pPr>
            <w:r>
              <w:rPr>
                <w:sz w:val="20"/>
                <w:szCs w:val="20"/>
              </w:rPr>
              <w:t xml:space="preserve">25.00</w:t>
            </w:r>
          </w:p>
        </w:tc>
        <w:tc>
          <w:p>
            <w:pPr>
              <w:jc w:val="center"/>
            </w:pPr>
            <w:r>
              <w:rPr>
                <w:sz w:val="20"/>
                <w:szCs w:val="20"/>
              </w:rPr>
              <w:t xml:space="preserve">8.00</w:t>
            </w:r>
          </w:p>
        </w:tc>
        <w:tc>
          <w:p>
            <w:pPr>
              <w:jc w:val="center"/>
            </w:pPr>
            <w:r>
              <w:rPr>
                <w:sz w:val="20"/>
                <w:szCs w:val="20"/>
              </w:rPr>
              <w:t xml:space="preserve">2.816</w:t>
            </w:r>
          </w:p>
        </w:tc>
      </w:tr>
      <w:tr>
        <w:tc>
          <w:p>
            <w:pPr>
              <w:jc w:val="center"/>
            </w:pPr>
            <w:r>
              <w:rPr>
                <w:sz w:val="20"/>
                <w:szCs w:val="20"/>
              </w:rPr>
              <w:t xml:space="preserve">8</w:t>
            </w:r>
          </w:p>
        </w:tc>
        <w:tc>
          <w:p>
            <w:pPr>
              <w:jc w:val="center"/>
            </w:pPr>
            <w:r>
              <w:rPr>
                <w:sz w:val="20"/>
                <w:szCs w:val="20"/>
              </w:rPr>
              <w:t xml:space="preserve">7.94</w:t>
            </w:r>
          </w:p>
        </w:tc>
        <w:tc>
          <w:p>
            <w:pPr>
              <w:jc w:val="center"/>
            </w:pPr>
            <w:r>
              <w:rPr>
                <w:sz w:val="20"/>
                <w:szCs w:val="20"/>
              </w:rPr>
              <w:t xml:space="preserve">15.42</w:t>
            </w:r>
          </w:p>
        </w:tc>
        <w:tc>
          <w:p>
            <w:pPr>
              <w:jc w:val="center"/>
            </w:pPr>
            <w:r>
              <w:rPr>
                <w:sz w:val="20"/>
                <w:szCs w:val="20"/>
              </w:rPr>
              <w:t xml:space="preserve">30.09</w:t>
            </w:r>
          </w:p>
        </w:tc>
        <w:tc>
          <w:p>
            <w:pPr>
              <w:jc w:val="center"/>
            </w:pPr>
            <w:r>
              <w:rPr>
                <w:sz w:val="20"/>
                <w:szCs w:val="20"/>
              </w:rPr>
              <w:t xml:space="preserve">6.55</w:t>
            </w:r>
          </w:p>
        </w:tc>
        <w:tc>
          <w:p>
            <w:pPr>
              <w:jc w:val="center"/>
            </w:pPr>
            <w:r>
              <w:rPr>
                <w:sz w:val="20"/>
                <w:szCs w:val="20"/>
              </w:rPr>
              <w:t xml:space="preserve">25.00</w:t>
            </w:r>
          </w:p>
        </w:tc>
        <w:tc>
          <w:p>
            <w:pPr>
              <w:jc w:val="center"/>
            </w:pPr>
            <w:r>
              <w:rPr>
                <w:sz w:val="20"/>
                <w:szCs w:val="20"/>
              </w:rPr>
              <w:t xml:space="preserve">8.00</w:t>
            </w:r>
          </w:p>
        </w:tc>
        <w:tc>
          <w:p>
            <w:pPr>
              <w:jc w:val="center"/>
            </w:pPr>
            <w:r>
              <w:rPr>
                <w:sz w:val="20"/>
                <w:szCs w:val="20"/>
              </w:rPr>
              <w:t xml:space="preserve">2.981</w:t>
            </w:r>
          </w:p>
        </w:tc>
      </w:tr>
      <w:tr>
        <w:tc>
          <w:p>
            <w:pPr>
              <w:jc w:val="center"/>
            </w:pPr>
            <w:r>
              <w:rPr>
                <w:sz w:val="20"/>
                <w:szCs w:val="20"/>
              </w:rPr>
              <w:t xml:space="preserve">9</w:t>
            </w:r>
          </w:p>
        </w:tc>
        <w:tc>
          <w:p>
            <w:pPr>
              <w:jc w:val="center"/>
            </w:pPr>
            <w:r>
              <w:rPr>
                <w:sz w:val="20"/>
                <w:szCs w:val="20"/>
              </w:rPr>
              <w:t xml:space="preserve">7.94</w:t>
            </w:r>
          </w:p>
        </w:tc>
        <w:tc>
          <w:p>
            <w:pPr>
              <w:jc w:val="center"/>
            </w:pPr>
            <w:r>
              <w:rPr>
                <w:sz w:val="20"/>
                <w:szCs w:val="20"/>
              </w:rPr>
              <w:t xml:space="preserve">15.42</w:t>
            </w:r>
          </w:p>
        </w:tc>
        <w:tc>
          <w:p>
            <w:pPr>
              <w:jc w:val="center"/>
            </w:pPr>
            <w:r>
              <w:rPr>
                <w:sz w:val="20"/>
                <w:szCs w:val="20"/>
              </w:rPr>
              <w:t xml:space="preserve">30.09</w:t>
            </w:r>
          </w:p>
        </w:tc>
        <w:tc>
          <w:p>
            <w:pPr>
              <w:jc w:val="center"/>
            </w:pPr>
            <w:r>
              <w:rPr>
                <w:sz w:val="20"/>
                <w:szCs w:val="20"/>
              </w:rPr>
              <w:t xml:space="preserve">6.55</w:t>
            </w:r>
          </w:p>
        </w:tc>
        <w:tc>
          <w:p>
            <w:pPr>
              <w:jc w:val="center"/>
            </w:pPr>
            <w:r>
              <w:rPr>
                <w:sz w:val="20"/>
                <w:szCs w:val="20"/>
              </w:rPr>
              <w:t xml:space="preserve">25.00</w:t>
            </w:r>
          </w:p>
        </w:tc>
        <w:tc>
          <w:p>
            <w:pPr>
              <w:jc w:val="center"/>
            </w:pPr>
            <w:r>
              <w:rPr>
                <w:sz w:val="20"/>
                <w:szCs w:val="20"/>
              </w:rPr>
              <w:t xml:space="preserve">8.00</w:t>
            </w:r>
          </w:p>
        </w:tc>
        <w:tc>
          <w:p>
            <w:pPr>
              <w:jc w:val="center"/>
            </w:pPr>
            <w:r>
              <w:rPr>
                <w:sz w:val="20"/>
                <w:szCs w:val="20"/>
              </w:rPr>
              <w:t xml:space="preserve">2.981</w:t>
            </w:r>
          </w:p>
        </w:tc>
      </w:tr>
      <w:tr>
        <w:tc>
          <w:p>
            <w:pPr>
              <w:jc w:val="center"/>
            </w:pPr>
            <w:r>
              <w:rPr>
                <w:sz w:val="20"/>
                <w:szCs w:val="20"/>
              </w:rPr>
              <w:t xml:space="preserve">10</w:t>
            </w:r>
          </w:p>
        </w:tc>
        <w:tc>
          <w:p>
            <w:pPr>
              <w:jc w:val="center"/>
            </w:pPr>
            <w:r>
              <w:rPr>
                <w:sz w:val="20"/>
                <w:szCs w:val="20"/>
              </w:rPr>
              <w:t xml:space="preserve">7.99</w:t>
            </w:r>
          </w:p>
        </w:tc>
        <w:tc>
          <w:p>
            <w:pPr>
              <w:jc w:val="center"/>
            </w:pPr>
            <w:r>
              <w:rPr>
                <w:sz w:val="20"/>
                <w:szCs w:val="20"/>
              </w:rPr>
              <w:t xml:space="preserve">20.00</w:t>
            </w:r>
          </w:p>
        </w:tc>
        <w:tc>
          <w:p>
            <w:pPr>
              <w:jc w:val="center"/>
            </w:pPr>
            <w:r>
              <w:rPr>
                <w:sz w:val="20"/>
                <w:szCs w:val="20"/>
              </w:rPr>
              <w:t xml:space="preserve">28.17</w:t>
            </w:r>
          </w:p>
        </w:tc>
        <w:tc>
          <w:p>
            <w:pPr>
              <w:jc w:val="center"/>
            </w:pPr>
            <w:r>
              <w:rPr>
                <w:sz w:val="20"/>
                <w:szCs w:val="20"/>
              </w:rPr>
              <w:t xml:space="preserve">10.00</w:t>
            </w:r>
          </w:p>
        </w:tc>
        <w:tc>
          <w:p>
            <w:pPr>
              <w:jc w:val="center"/>
            </w:pPr>
            <w:r>
              <w:rPr>
                <w:sz w:val="20"/>
                <w:szCs w:val="20"/>
              </w:rPr>
              <w:t xml:space="preserve">18.84</w:t>
            </w:r>
          </w:p>
        </w:tc>
        <w:tc>
          <w:p>
            <w:pPr>
              <w:jc w:val="center"/>
            </w:pPr>
            <w:r>
              <w:rPr>
                <w:sz w:val="20"/>
                <w:szCs w:val="20"/>
              </w:rPr>
              <w:t xml:space="preserve">8.00</w:t>
            </w:r>
          </w:p>
        </w:tc>
        <w:tc>
          <w:p>
            <w:pPr>
              <w:jc w:val="center"/>
            </w:pPr>
            <w:r>
              <w:rPr>
                <w:sz w:val="20"/>
                <w:szCs w:val="20"/>
              </w:rPr>
              <w:t xml:space="preserve">2.322</w:t>
            </w:r>
          </w:p>
        </w:tc>
      </w:tr>
      <w:tr>
        <w:tc>
          <w:p>
            <w:pPr>
              <w:jc w:val="center"/>
            </w:pPr>
            <w:r>
              <w:rPr>
                <w:sz w:val="20"/>
                <w:szCs w:val="20"/>
              </w:rPr>
              <w:t xml:space="preserve">11</w:t>
            </w:r>
          </w:p>
        </w:tc>
        <w:tc>
          <w:p>
            <w:pPr>
              <w:jc w:val="center"/>
            </w:pPr>
            <w:r>
              <w:rPr>
                <w:sz w:val="20"/>
                <w:szCs w:val="20"/>
              </w:rPr>
              <w:t xml:space="preserve">10.00</w:t>
            </w:r>
          </w:p>
        </w:tc>
        <w:tc>
          <w:p>
            <w:pPr>
              <w:jc w:val="center"/>
            </w:pPr>
            <w:r>
              <w:rPr>
                <w:sz w:val="20"/>
                <w:szCs w:val="20"/>
              </w:rPr>
              <w:t xml:space="preserve">20.00</w:t>
            </w:r>
          </w:p>
        </w:tc>
        <w:tc>
          <w:p>
            <w:pPr>
              <w:jc w:val="center"/>
            </w:pPr>
            <w:r>
              <w:rPr>
                <w:sz w:val="20"/>
                <w:szCs w:val="20"/>
              </w:rPr>
              <w:t xml:space="preserve">26.73</w:t>
            </w:r>
          </w:p>
        </w:tc>
        <w:tc>
          <w:p>
            <w:pPr>
              <w:jc w:val="center"/>
            </w:pPr>
            <w:r>
              <w:rPr>
                <w:sz w:val="20"/>
                <w:szCs w:val="20"/>
              </w:rPr>
              <w:t xml:space="preserve">5.00</w:t>
            </w:r>
          </w:p>
        </w:tc>
        <w:tc>
          <w:p>
            <w:pPr>
              <w:jc w:val="center"/>
            </w:pPr>
            <w:r>
              <w:rPr>
                <w:sz w:val="20"/>
                <w:szCs w:val="20"/>
              </w:rPr>
              <w:t xml:space="preserve">23.27</w:t>
            </w:r>
          </w:p>
        </w:tc>
        <w:tc>
          <w:p>
            <w:pPr>
              <w:jc w:val="center"/>
            </w:pPr>
            <w:r>
              <w:rPr>
                <w:sz w:val="20"/>
                <w:szCs w:val="20"/>
              </w:rPr>
              <w:t xml:space="preserve">8.00</w:t>
            </w:r>
          </w:p>
        </w:tc>
        <w:tc>
          <w:p>
            <w:pPr>
              <w:jc w:val="center"/>
            </w:pPr>
            <w:r>
              <w:rPr>
                <w:sz w:val="20"/>
                <w:szCs w:val="20"/>
              </w:rPr>
              <w:t xml:space="preserve">2.100</w:t>
            </w:r>
          </w:p>
        </w:tc>
      </w:tr>
      <w:tr>
        <w:tc>
          <w:p>
            <w:pPr>
              <w:jc w:val="center"/>
            </w:pPr>
            <w:r>
              <w:rPr>
                <w:sz w:val="20"/>
                <w:szCs w:val="20"/>
              </w:rPr>
              <w:t xml:space="preserve">12</w:t>
            </w:r>
          </w:p>
        </w:tc>
        <w:tc>
          <w:p>
            <w:pPr>
              <w:jc w:val="center"/>
            </w:pPr>
            <w:r>
              <w:rPr>
                <w:sz w:val="20"/>
                <w:szCs w:val="20"/>
              </w:rPr>
              <w:t xml:space="preserve">5.02</w:t>
            </w:r>
          </w:p>
        </w:tc>
        <w:tc>
          <w:p>
            <w:pPr>
              <w:jc w:val="center"/>
            </w:pPr>
            <w:r>
              <w:rPr>
                <w:sz w:val="20"/>
                <w:szCs w:val="20"/>
              </w:rPr>
              <w:t xml:space="preserve">20.00</w:t>
            </w:r>
          </w:p>
        </w:tc>
        <w:tc>
          <w:p>
            <w:pPr>
              <w:jc w:val="center"/>
            </w:pPr>
            <w:r>
              <w:rPr>
                <w:sz w:val="20"/>
                <w:szCs w:val="20"/>
              </w:rPr>
              <w:t xml:space="preserve">33.18</w:t>
            </w:r>
          </w:p>
        </w:tc>
        <w:tc>
          <w:p>
            <w:pPr>
              <w:jc w:val="center"/>
            </w:pPr>
            <w:r>
              <w:rPr>
                <w:sz w:val="20"/>
                <w:szCs w:val="20"/>
              </w:rPr>
              <w:t xml:space="preserve">6.31</w:t>
            </w:r>
          </w:p>
        </w:tc>
        <w:tc>
          <w:p>
            <w:pPr>
              <w:jc w:val="center"/>
            </w:pPr>
            <w:r>
              <w:rPr>
                <w:sz w:val="20"/>
                <w:szCs w:val="20"/>
              </w:rPr>
              <w:t xml:space="preserve">20.48</w:t>
            </w:r>
          </w:p>
        </w:tc>
        <w:tc>
          <w:p>
            <w:pPr>
              <w:jc w:val="center"/>
            </w:pPr>
            <w:r>
              <w:rPr>
                <w:sz w:val="20"/>
                <w:szCs w:val="20"/>
              </w:rPr>
              <w:t xml:space="preserve">8.00</w:t>
            </w:r>
          </w:p>
        </w:tc>
        <w:tc>
          <w:p>
            <w:pPr>
              <w:jc w:val="center"/>
            </w:pPr>
            <w:r>
              <w:rPr>
                <w:sz w:val="20"/>
                <w:szCs w:val="20"/>
              </w:rPr>
              <w:t xml:space="preserve">2.717</w:t>
            </w:r>
          </w:p>
        </w:tc>
      </w:tr>
      <w:tr>
        <w:tc>
          <w:p>
            <w:pPr>
              <w:jc w:val="center"/>
            </w:pPr>
            <w:r>
              <w:rPr>
                <w:sz w:val="20"/>
                <w:szCs w:val="20"/>
              </w:rPr>
              <w:t xml:space="preserve">13</w:t>
            </w:r>
          </w:p>
        </w:tc>
        <w:tc>
          <w:p>
            <w:pPr>
              <w:jc w:val="center"/>
            </w:pPr>
            <w:r>
              <w:rPr>
                <w:sz w:val="20"/>
                <w:szCs w:val="20"/>
              </w:rPr>
              <w:t xml:space="preserve">5.00</w:t>
            </w:r>
          </w:p>
        </w:tc>
        <w:tc>
          <w:p>
            <w:pPr>
              <w:jc w:val="center"/>
            </w:pPr>
            <w:r>
              <w:rPr>
                <w:sz w:val="20"/>
                <w:szCs w:val="20"/>
              </w:rPr>
              <w:t xml:space="preserve">14.38</w:t>
            </w:r>
          </w:p>
        </w:tc>
        <w:tc>
          <w:p>
            <w:pPr>
              <w:jc w:val="center"/>
            </w:pPr>
            <w:r>
              <w:rPr>
                <w:sz w:val="20"/>
                <w:szCs w:val="20"/>
              </w:rPr>
              <w:t xml:space="preserve">30.62</w:t>
            </w:r>
          </w:p>
        </w:tc>
        <w:tc>
          <w:p>
            <w:pPr>
              <w:jc w:val="center"/>
            </w:pPr>
            <w:r>
              <w:rPr>
                <w:sz w:val="20"/>
                <w:szCs w:val="20"/>
              </w:rPr>
              <w:t xml:space="preserve">10.00</w:t>
            </w:r>
          </w:p>
        </w:tc>
        <w:tc>
          <w:p>
            <w:pPr>
              <w:jc w:val="center"/>
            </w:pPr>
            <w:r>
              <w:rPr>
                <w:sz w:val="20"/>
                <w:szCs w:val="20"/>
              </w:rPr>
              <w:t xml:space="preserve">25.00</w:t>
            </w:r>
          </w:p>
        </w:tc>
        <w:tc>
          <w:p>
            <w:pPr>
              <w:jc w:val="center"/>
            </w:pPr>
            <w:r>
              <w:rPr>
                <w:sz w:val="20"/>
                <w:szCs w:val="20"/>
              </w:rPr>
              <w:t xml:space="preserve">8.00</w:t>
            </w:r>
          </w:p>
        </w:tc>
        <w:tc>
          <w:p>
            <w:pPr>
              <w:jc w:val="center"/>
            </w:pPr>
            <w:r>
              <w:rPr>
                <w:sz w:val="20"/>
                <w:szCs w:val="20"/>
              </w:rPr>
              <w:t xml:space="preserve">3.799</w:t>
            </w:r>
          </w:p>
        </w:tc>
      </w:tr>
      <w:tr>
        <w:tc>
          <w:p>
            <w:pPr>
              <w:jc w:val="center"/>
            </w:pPr>
            <w:r>
              <w:rPr>
                <w:sz w:val="20"/>
                <w:szCs w:val="20"/>
              </w:rPr>
              <w:t xml:space="preserve">14</w:t>
            </w:r>
          </w:p>
        </w:tc>
        <w:tc>
          <w:p>
            <w:pPr>
              <w:jc w:val="center"/>
            </w:pPr>
            <w:r>
              <w:rPr>
                <w:sz w:val="20"/>
                <w:szCs w:val="20"/>
              </w:rPr>
              <w:t xml:space="preserve">7.99</w:t>
            </w:r>
          </w:p>
        </w:tc>
        <w:tc>
          <w:p>
            <w:pPr>
              <w:jc w:val="center"/>
            </w:pPr>
            <w:r>
              <w:rPr>
                <w:sz w:val="20"/>
                <w:szCs w:val="20"/>
              </w:rPr>
              <w:t xml:space="preserve">20.00</w:t>
            </w:r>
          </w:p>
        </w:tc>
        <w:tc>
          <w:p>
            <w:pPr>
              <w:jc w:val="center"/>
            </w:pPr>
            <w:r>
              <w:rPr>
                <w:sz w:val="20"/>
                <w:szCs w:val="20"/>
              </w:rPr>
              <w:t xml:space="preserve">28.17</w:t>
            </w:r>
          </w:p>
        </w:tc>
        <w:tc>
          <w:p>
            <w:pPr>
              <w:jc w:val="center"/>
            </w:pPr>
            <w:r>
              <w:rPr>
                <w:sz w:val="20"/>
                <w:szCs w:val="20"/>
              </w:rPr>
              <w:t xml:space="preserve">10.00</w:t>
            </w:r>
          </w:p>
        </w:tc>
        <w:tc>
          <w:p>
            <w:pPr>
              <w:jc w:val="center"/>
            </w:pPr>
            <w:r>
              <w:rPr>
                <w:sz w:val="20"/>
                <w:szCs w:val="20"/>
              </w:rPr>
              <w:t xml:space="preserve">18.84</w:t>
            </w:r>
          </w:p>
        </w:tc>
        <w:tc>
          <w:p>
            <w:pPr>
              <w:jc w:val="center"/>
            </w:pPr>
            <w:r>
              <w:rPr>
                <w:sz w:val="20"/>
                <w:szCs w:val="20"/>
              </w:rPr>
              <w:t xml:space="preserve">8.00</w:t>
            </w:r>
          </w:p>
        </w:tc>
        <w:tc>
          <w:p>
            <w:pPr>
              <w:jc w:val="center"/>
            </w:pPr>
            <w:r>
              <w:rPr>
                <w:sz w:val="20"/>
                <w:szCs w:val="20"/>
              </w:rPr>
              <w:t xml:space="preserve">2.322</w:t>
            </w:r>
          </w:p>
        </w:tc>
      </w:tr>
      <w:tr>
        <w:tc>
          <w:p>
            <w:pPr>
              <w:jc w:val="center"/>
            </w:pPr>
            <w:r>
              <w:rPr>
                <w:sz w:val="20"/>
                <w:szCs w:val="20"/>
              </w:rPr>
              <w:t xml:space="preserve">15</w:t>
            </w:r>
          </w:p>
        </w:tc>
        <w:tc>
          <w:p>
            <w:pPr>
              <w:jc w:val="center"/>
            </w:pPr>
            <w:r>
              <w:rPr>
                <w:sz w:val="20"/>
                <w:szCs w:val="20"/>
              </w:rPr>
              <w:t xml:space="preserve">8.79</w:t>
            </w:r>
          </w:p>
        </w:tc>
        <w:tc>
          <w:p>
            <w:pPr>
              <w:jc w:val="center"/>
            </w:pPr>
            <w:r>
              <w:rPr>
                <w:sz w:val="20"/>
                <w:szCs w:val="20"/>
              </w:rPr>
              <w:t xml:space="preserve">15.54</w:t>
            </w:r>
          </w:p>
        </w:tc>
        <w:tc>
          <w:p>
            <w:pPr>
              <w:jc w:val="center"/>
            </w:pPr>
            <w:r>
              <w:rPr>
                <w:sz w:val="20"/>
                <w:szCs w:val="20"/>
              </w:rPr>
              <w:t xml:space="preserve">35.00</w:t>
            </w:r>
          </w:p>
        </w:tc>
        <w:tc>
          <w:p>
            <w:pPr>
              <w:jc w:val="center"/>
            </w:pPr>
            <w:r>
              <w:rPr>
                <w:sz w:val="20"/>
                <w:szCs w:val="20"/>
              </w:rPr>
              <w:t xml:space="preserve">5.35</w:t>
            </w:r>
          </w:p>
        </w:tc>
        <w:tc>
          <w:p>
            <w:pPr>
              <w:jc w:val="center"/>
            </w:pPr>
            <w:r>
              <w:rPr>
                <w:sz w:val="20"/>
                <w:szCs w:val="20"/>
              </w:rPr>
              <w:t xml:space="preserve">20.32</w:t>
            </w:r>
          </w:p>
        </w:tc>
        <w:tc>
          <w:p>
            <w:pPr>
              <w:jc w:val="center"/>
            </w:pPr>
            <w:r>
              <w:rPr>
                <w:sz w:val="20"/>
                <w:szCs w:val="20"/>
              </w:rPr>
              <w:t xml:space="preserve">8.00</w:t>
            </w:r>
          </w:p>
        </w:tc>
        <w:tc>
          <w:p>
            <w:pPr>
              <w:jc w:val="center"/>
            </w:pPr>
            <w:r>
              <w:rPr>
                <w:sz w:val="20"/>
                <w:szCs w:val="20"/>
              </w:rPr>
              <w:t xml:space="preserve">2.823</w:t>
            </w:r>
          </w:p>
        </w:tc>
      </w:tr>
      <w:tr>
        <w:tc>
          <w:p>
            <w:pPr>
              <w:jc w:val="center"/>
            </w:pPr>
            <w:r>
              <w:rPr>
                <w:sz w:val="20"/>
                <w:szCs w:val="20"/>
              </w:rPr>
              <w:t xml:space="preserve">16</w:t>
            </w:r>
          </w:p>
        </w:tc>
        <w:tc>
          <w:p>
            <w:pPr>
              <w:jc w:val="center"/>
            </w:pPr>
            <w:r>
              <w:rPr>
                <w:sz w:val="20"/>
                <w:szCs w:val="20"/>
              </w:rPr>
              <w:t xml:space="preserve">10.00</w:t>
            </w:r>
          </w:p>
        </w:tc>
        <w:tc>
          <w:p>
            <w:pPr>
              <w:jc w:val="center"/>
            </w:pPr>
            <w:r>
              <w:rPr>
                <w:sz w:val="20"/>
                <w:szCs w:val="20"/>
              </w:rPr>
              <w:t xml:space="preserve">11.45</w:t>
            </w:r>
          </w:p>
        </w:tc>
        <w:tc>
          <w:p>
            <w:pPr>
              <w:jc w:val="center"/>
            </w:pPr>
            <w:r>
              <w:rPr>
                <w:sz w:val="20"/>
                <w:szCs w:val="20"/>
              </w:rPr>
              <w:t xml:space="preserve">35.00</w:t>
            </w:r>
          </w:p>
        </w:tc>
        <w:tc>
          <w:p>
            <w:pPr>
              <w:jc w:val="center"/>
            </w:pPr>
            <w:r>
              <w:rPr>
                <w:sz w:val="20"/>
                <w:szCs w:val="20"/>
              </w:rPr>
              <w:t xml:space="preserve">5.00</w:t>
            </w:r>
          </w:p>
        </w:tc>
        <w:tc>
          <w:p>
            <w:pPr>
              <w:jc w:val="center"/>
            </w:pPr>
            <w:r>
              <w:rPr>
                <w:sz w:val="20"/>
                <w:szCs w:val="20"/>
              </w:rPr>
              <w:t xml:space="preserve">23.55</w:t>
            </w:r>
          </w:p>
        </w:tc>
        <w:tc>
          <w:p>
            <w:pPr>
              <w:jc w:val="center"/>
            </w:pPr>
            <w:r>
              <w:rPr>
                <w:sz w:val="20"/>
                <w:szCs w:val="20"/>
              </w:rPr>
              <w:t xml:space="preserve">8.00</w:t>
            </w:r>
          </w:p>
        </w:tc>
        <w:tc>
          <w:p>
            <w:pPr>
              <w:jc w:val="center"/>
            </w:pPr>
            <w:r>
              <w:rPr>
                <w:sz w:val="20"/>
                <w:szCs w:val="20"/>
              </w:rPr>
              <w:t xml:space="preserve">3.337</w:t>
            </w:r>
          </w:p>
        </w:tc>
      </w:tr>
      <w:tr>
        <w:tc>
          <w:p>
            <w:pPr>
              <w:jc w:val="center"/>
            </w:pPr>
            <w:r>
              <w:rPr>
                <w:sz w:val="20"/>
                <w:szCs w:val="20"/>
              </w:rPr>
              <w:t xml:space="preserve">17</w:t>
            </w:r>
          </w:p>
        </w:tc>
        <w:tc>
          <w:p>
            <w:pPr>
              <w:jc w:val="center"/>
            </w:pPr>
            <w:r>
              <w:rPr>
                <w:sz w:val="20"/>
                <w:szCs w:val="20"/>
              </w:rPr>
              <w:t xml:space="preserve">10.00</w:t>
            </w:r>
          </w:p>
        </w:tc>
        <w:tc>
          <w:p>
            <w:pPr>
              <w:jc w:val="center"/>
            </w:pPr>
            <w:r>
              <w:rPr>
                <w:sz w:val="20"/>
                <w:szCs w:val="20"/>
              </w:rPr>
              <w:t xml:space="preserve">19.37</w:t>
            </w:r>
          </w:p>
        </w:tc>
        <w:tc>
          <w:p>
            <w:pPr>
              <w:jc w:val="center"/>
            </w:pPr>
            <w:r>
              <w:rPr>
                <w:sz w:val="20"/>
                <w:szCs w:val="20"/>
              </w:rPr>
              <w:t xml:space="preserve">31.71</w:t>
            </w:r>
          </w:p>
        </w:tc>
        <w:tc>
          <w:p>
            <w:pPr>
              <w:jc w:val="center"/>
            </w:pPr>
            <w:r>
              <w:rPr>
                <w:sz w:val="20"/>
                <w:szCs w:val="20"/>
              </w:rPr>
              <w:t xml:space="preserve">9.51</w:t>
            </w:r>
          </w:p>
        </w:tc>
        <w:tc>
          <w:p>
            <w:pPr>
              <w:jc w:val="center"/>
            </w:pPr>
            <w:r>
              <w:rPr>
                <w:sz w:val="20"/>
                <w:szCs w:val="20"/>
              </w:rPr>
              <w:t xml:space="preserve">14.41</w:t>
            </w:r>
          </w:p>
        </w:tc>
        <w:tc>
          <w:p>
            <w:pPr>
              <w:jc w:val="center"/>
            </w:pPr>
            <w:r>
              <w:rPr>
                <w:sz w:val="20"/>
                <w:szCs w:val="20"/>
              </w:rPr>
              <w:t xml:space="preserve">8.00</w:t>
            </w:r>
          </w:p>
        </w:tc>
        <w:tc>
          <w:p>
            <w:pPr>
              <w:jc w:val="center"/>
            </w:pPr>
            <w:r>
              <w:rPr>
                <w:sz w:val="20"/>
                <w:szCs w:val="20"/>
              </w:rPr>
              <w:t xml:space="preserve">2.166</w:t>
            </w:r>
          </w:p>
        </w:tc>
      </w:tr>
      <w:tr>
        <w:tc>
          <w:p>
            <w:pPr>
              <w:jc w:val="center"/>
            </w:pPr>
            <w:r>
              <w:rPr>
                <w:sz w:val="20"/>
                <w:szCs w:val="20"/>
              </w:rPr>
              <w:t xml:space="preserve">18</w:t>
            </w:r>
          </w:p>
        </w:tc>
        <w:tc>
          <w:p>
            <w:pPr>
              <w:jc w:val="center"/>
            </w:pPr>
            <w:r>
              <w:rPr>
                <w:sz w:val="20"/>
                <w:szCs w:val="20"/>
              </w:rPr>
              <w:t xml:space="preserve">10.00</w:t>
            </w:r>
          </w:p>
        </w:tc>
        <w:tc>
          <w:p>
            <w:pPr>
              <w:jc w:val="center"/>
            </w:pPr>
            <w:r>
              <w:rPr>
                <w:sz w:val="20"/>
                <w:szCs w:val="20"/>
              </w:rPr>
              <w:t xml:space="preserve">20.00</w:t>
            </w:r>
          </w:p>
        </w:tc>
        <w:tc>
          <w:p>
            <w:pPr>
              <w:jc w:val="center"/>
            </w:pPr>
            <w:r>
              <w:rPr>
                <w:sz w:val="20"/>
                <w:szCs w:val="20"/>
              </w:rPr>
              <w:t xml:space="preserve">35.00</w:t>
            </w:r>
          </w:p>
        </w:tc>
        <w:tc>
          <w:p>
            <w:pPr>
              <w:jc w:val="center"/>
            </w:pPr>
            <w:r>
              <w:rPr>
                <w:sz w:val="20"/>
                <w:szCs w:val="20"/>
              </w:rPr>
              <w:t xml:space="preserve">10.00</w:t>
            </w:r>
          </w:p>
        </w:tc>
        <w:tc>
          <w:p>
            <w:pPr>
              <w:jc w:val="center"/>
            </w:pPr>
            <w:r>
              <w:rPr>
                <w:sz w:val="20"/>
                <w:szCs w:val="20"/>
              </w:rPr>
              <w:t xml:space="preserve">10.00</w:t>
            </w:r>
          </w:p>
        </w:tc>
        <w:tc>
          <w:p>
            <w:pPr>
              <w:jc w:val="center"/>
            </w:pPr>
            <w:r>
              <w:rPr>
                <w:sz w:val="20"/>
                <w:szCs w:val="20"/>
              </w:rPr>
              <w:t xml:space="preserve">8.00</w:t>
            </w:r>
          </w:p>
        </w:tc>
        <w:tc>
          <w:p>
            <w:pPr>
              <w:jc w:val="center"/>
            </w:pPr>
            <w:r>
              <w:rPr>
                <w:sz w:val="20"/>
                <w:szCs w:val="20"/>
              </w:rPr>
              <w:t xml:space="preserve">2.100</w:t>
            </w:r>
          </w:p>
        </w:tc>
      </w:tr>
      <w:tr>
        <w:tc>
          <w:p>
            <w:pPr>
              <w:jc w:val="center"/>
            </w:pPr>
            <w:r>
              <w:rPr>
                <w:sz w:val="20"/>
                <w:szCs w:val="20"/>
              </w:rPr>
              <w:t xml:space="preserve">19</w:t>
            </w:r>
          </w:p>
        </w:tc>
        <w:tc>
          <w:p>
            <w:pPr>
              <w:jc w:val="center"/>
            </w:pPr>
            <w:r>
              <w:rPr>
                <w:sz w:val="20"/>
                <w:szCs w:val="20"/>
              </w:rPr>
              <w:t xml:space="preserve">10.00</w:t>
            </w:r>
          </w:p>
        </w:tc>
        <w:tc>
          <w:p>
            <w:pPr>
              <w:jc w:val="center"/>
            </w:pPr>
            <w:r>
              <w:rPr>
                <w:sz w:val="20"/>
                <w:szCs w:val="20"/>
              </w:rPr>
              <w:t xml:space="preserve">16.88</w:t>
            </w:r>
          </w:p>
        </w:tc>
        <w:tc>
          <w:p>
            <w:pPr>
              <w:jc w:val="center"/>
            </w:pPr>
            <w:r>
              <w:rPr>
                <w:sz w:val="20"/>
                <w:szCs w:val="20"/>
              </w:rPr>
              <w:t xml:space="preserve">31.33</w:t>
            </w:r>
          </w:p>
        </w:tc>
        <w:tc>
          <w:p>
            <w:pPr>
              <w:jc w:val="center"/>
            </w:pPr>
            <w:r>
              <w:rPr>
                <w:sz w:val="20"/>
                <w:szCs w:val="20"/>
              </w:rPr>
              <w:t xml:space="preserve">7.89</w:t>
            </w:r>
          </w:p>
        </w:tc>
        <w:tc>
          <w:p>
            <w:pPr>
              <w:jc w:val="center"/>
            </w:pPr>
            <w:r>
              <w:rPr>
                <w:sz w:val="20"/>
                <w:szCs w:val="20"/>
              </w:rPr>
              <w:t xml:space="preserve">18.90</w:t>
            </w:r>
          </w:p>
        </w:tc>
        <w:tc>
          <w:p>
            <w:pPr>
              <w:jc w:val="center"/>
            </w:pPr>
            <w:r>
              <w:rPr>
                <w:sz w:val="20"/>
                <w:szCs w:val="20"/>
              </w:rPr>
              <w:t xml:space="preserve">8.00</w:t>
            </w:r>
          </w:p>
        </w:tc>
        <w:tc>
          <w:p>
            <w:pPr>
              <w:jc w:val="center"/>
            </w:pPr>
            <w:r>
              <w:rPr>
                <w:sz w:val="20"/>
                <w:szCs w:val="20"/>
              </w:rPr>
              <w:t xml:space="preserve">2.461</w:t>
            </w:r>
          </w:p>
        </w:tc>
      </w:tr>
      <w:tr>
        <w:tc>
          <w:p>
            <w:pPr>
              <w:jc w:val="center"/>
            </w:pPr>
            <w:r>
              <w:rPr>
                <w:sz w:val="20"/>
                <w:szCs w:val="20"/>
              </w:rPr>
              <w:t xml:space="preserve">20</w:t>
            </w:r>
          </w:p>
        </w:tc>
        <w:tc>
          <w:p>
            <w:pPr>
              <w:jc w:val="center"/>
            </w:pPr>
            <w:r>
              <w:rPr>
                <w:sz w:val="20"/>
                <w:szCs w:val="20"/>
              </w:rPr>
              <w:t xml:space="preserve">10.00</w:t>
            </w:r>
          </w:p>
        </w:tc>
        <w:tc>
          <w:p>
            <w:pPr>
              <w:jc w:val="center"/>
            </w:pPr>
            <w:r>
              <w:rPr>
                <w:sz w:val="20"/>
                <w:szCs w:val="20"/>
              </w:rPr>
              <w:t xml:space="preserve">16.88</w:t>
            </w:r>
          </w:p>
        </w:tc>
        <w:tc>
          <w:p>
            <w:pPr>
              <w:jc w:val="center"/>
            </w:pPr>
            <w:r>
              <w:rPr>
                <w:sz w:val="20"/>
                <w:szCs w:val="20"/>
              </w:rPr>
              <w:t xml:space="preserve">31.33</w:t>
            </w:r>
          </w:p>
        </w:tc>
        <w:tc>
          <w:p>
            <w:pPr>
              <w:jc w:val="center"/>
            </w:pPr>
            <w:r>
              <w:rPr>
                <w:sz w:val="20"/>
                <w:szCs w:val="20"/>
              </w:rPr>
              <w:t xml:space="preserve">7.89</w:t>
            </w:r>
          </w:p>
        </w:tc>
        <w:tc>
          <w:p>
            <w:pPr>
              <w:jc w:val="center"/>
            </w:pPr>
            <w:r>
              <w:rPr>
                <w:sz w:val="20"/>
                <w:szCs w:val="20"/>
              </w:rPr>
              <w:t xml:space="preserve">18.90</w:t>
            </w:r>
          </w:p>
        </w:tc>
        <w:tc>
          <w:p>
            <w:pPr>
              <w:jc w:val="center"/>
            </w:pPr>
            <w:r>
              <w:rPr>
                <w:sz w:val="20"/>
                <w:szCs w:val="20"/>
              </w:rPr>
              <w:t xml:space="preserve">8.00</w:t>
            </w:r>
          </w:p>
        </w:tc>
        <w:tc>
          <w:p>
            <w:pPr>
              <w:jc w:val="center"/>
            </w:pPr>
            <w:r>
              <w:rPr>
                <w:sz w:val="20"/>
                <w:szCs w:val="20"/>
              </w:rPr>
              <w:t xml:space="preserve">2.461</w:t>
            </w:r>
          </w:p>
        </w:tc>
      </w:tr>
      <w:tr>
        <w:tc>
          <w:p>
            <w:pPr>
              <w:jc w:val="center"/>
            </w:pPr>
            <w:r>
              <w:rPr>
                <w:sz w:val="20"/>
                <w:szCs w:val="20"/>
              </w:rPr>
              <w:t xml:space="preserve">21</w:t>
            </w:r>
          </w:p>
        </w:tc>
        <w:tc>
          <w:p>
            <w:pPr>
              <w:jc w:val="center"/>
            </w:pPr>
            <w:r>
              <w:rPr>
                <w:sz w:val="20"/>
                <w:szCs w:val="20"/>
              </w:rPr>
              <w:t xml:space="preserve">10.00</w:t>
            </w:r>
          </w:p>
        </w:tc>
        <w:tc>
          <w:p>
            <w:pPr>
              <w:jc w:val="center"/>
            </w:pPr>
            <w:r>
              <w:rPr>
                <w:sz w:val="20"/>
                <w:szCs w:val="20"/>
              </w:rPr>
              <w:t xml:space="preserve">10.00</w:t>
            </w:r>
          </w:p>
        </w:tc>
        <w:tc>
          <w:p>
            <w:pPr>
              <w:jc w:val="center"/>
            </w:pPr>
            <w:r>
              <w:rPr>
                <w:sz w:val="20"/>
                <w:szCs w:val="20"/>
              </w:rPr>
              <w:t xml:space="preserve">30.00</w:t>
            </w:r>
          </w:p>
        </w:tc>
        <w:tc>
          <w:p>
            <w:pPr>
              <w:jc w:val="center"/>
            </w:pPr>
            <w:r>
              <w:rPr>
                <w:sz w:val="20"/>
                <w:szCs w:val="20"/>
              </w:rPr>
              <w:t xml:space="preserve">10.00</w:t>
            </w:r>
          </w:p>
        </w:tc>
        <w:tc>
          <w:p>
            <w:pPr>
              <w:jc w:val="center"/>
            </w:pPr>
            <w:r>
              <w:rPr>
                <w:sz w:val="20"/>
                <w:szCs w:val="20"/>
              </w:rPr>
              <w:t xml:space="preserve">25.00</w:t>
            </w:r>
          </w:p>
        </w:tc>
        <w:tc>
          <w:p>
            <w:pPr>
              <w:jc w:val="center"/>
            </w:pPr>
            <w:r>
              <w:rPr>
                <w:sz w:val="20"/>
                <w:szCs w:val="20"/>
              </w:rPr>
              <w:t xml:space="preserve">8.00</w:t>
            </w:r>
          </w:p>
        </w:tc>
        <w:tc>
          <w:p>
            <w:pPr>
              <w:jc w:val="center"/>
            </w:pPr>
            <w:r>
              <w:rPr>
                <w:sz w:val="20"/>
                <w:szCs w:val="20"/>
              </w:rPr>
              <w:t xml:space="preserve">3.650</w:t>
            </w:r>
          </w:p>
        </w:tc>
      </w:tr>
      <w:tr>
        <w:tc>
          <w:p>
            <w:pPr>
              <w:jc w:val="center"/>
            </w:pPr>
            <w:r>
              <w:rPr>
                <w:sz w:val="20"/>
                <w:szCs w:val="20"/>
              </w:rPr>
              <w:t xml:space="preserve">22</w:t>
            </w:r>
          </w:p>
        </w:tc>
        <w:tc>
          <w:p>
            <w:pPr>
              <w:jc w:val="center"/>
            </w:pPr>
            <w:r>
              <w:rPr>
                <w:sz w:val="20"/>
                <w:szCs w:val="20"/>
              </w:rPr>
              <w:t xml:space="preserve">10.00</w:t>
            </w:r>
          </w:p>
        </w:tc>
        <w:tc>
          <w:p>
            <w:pPr>
              <w:jc w:val="center"/>
            </w:pPr>
            <w:r>
              <w:rPr>
                <w:sz w:val="20"/>
                <w:szCs w:val="20"/>
              </w:rPr>
              <w:t xml:space="preserve">10.00</w:t>
            </w:r>
          </w:p>
        </w:tc>
        <w:tc>
          <w:p>
            <w:pPr>
              <w:jc w:val="center"/>
            </w:pPr>
            <w:r>
              <w:rPr>
                <w:sz w:val="20"/>
                <w:szCs w:val="20"/>
              </w:rPr>
              <w:t xml:space="preserve">34.07</w:t>
            </w:r>
          </w:p>
        </w:tc>
        <w:tc>
          <w:p>
            <w:pPr>
              <w:jc w:val="center"/>
            </w:pPr>
            <w:r>
              <w:rPr>
                <w:sz w:val="20"/>
                <w:szCs w:val="20"/>
              </w:rPr>
              <w:t xml:space="preserve">10.00</w:t>
            </w:r>
          </w:p>
        </w:tc>
        <w:tc>
          <w:p>
            <w:pPr>
              <w:jc w:val="center"/>
            </w:pPr>
            <w:r>
              <w:rPr>
                <w:sz w:val="20"/>
                <w:szCs w:val="20"/>
              </w:rPr>
              <w:t xml:space="preserve">20.93</w:t>
            </w:r>
          </w:p>
        </w:tc>
        <w:tc>
          <w:p>
            <w:pPr>
              <w:jc w:val="center"/>
            </w:pPr>
            <w:r>
              <w:rPr>
                <w:sz w:val="20"/>
                <w:szCs w:val="20"/>
              </w:rPr>
              <w:t xml:space="preserve">8.00</w:t>
            </w:r>
          </w:p>
        </w:tc>
        <w:tc>
          <w:p>
            <w:pPr>
              <w:jc w:val="center"/>
            </w:pPr>
            <w:r>
              <w:rPr>
                <w:sz w:val="20"/>
                <w:szCs w:val="20"/>
              </w:rPr>
              <w:t xml:space="preserve">3.650</w:t>
            </w:r>
          </w:p>
        </w:tc>
      </w:tr>
      <w:tr>
        <w:tc>
          <w:p>
            <w:pPr>
              <w:jc w:val="center"/>
            </w:pPr>
            <w:r>
              <w:rPr>
                <w:sz w:val="20"/>
                <w:szCs w:val="20"/>
              </w:rPr>
              <w:t xml:space="preserve">23</w:t>
            </w:r>
          </w:p>
        </w:tc>
        <w:tc>
          <w:p>
            <w:pPr>
              <w:jc w:val="center"/>
            </w:pPr>
            <w:r>
              <w:rPr>
                <w:sz w:val="20"/>
                <w:szCs w:val="20"/>
              </w:rPr>
              <w:t xml:space="preserve">7.97</w:t>
            </w:r>
          </w:p>
        </w:tc>
        <w:tc>
          <w:p>
            <w:pPr>
              <w:jc w:val="center"/>
            </w:pPr>
            <w:r>
              <w:rPr>
                <w:sz w:val="20"/>
                <w:szCs w:val="20"/>
              </w:rPr>
              <w:t xml:space="preserve">20.00</w:t>
            </w:r>
          </w:p>
        </w:tc>
        <w:tc>
          <w:p>
            <w:pPr>
              <w:jc w:val="center"/>
            </w:pPr>
            <w:r>
              <w:rPr>
                <w:sz w:val="20"/>
                <w:szCs w:val="20"/>
              </w:rPr>
              <w:t xml:space="preserve">35.00</w:t>
            </w:r>
          </w:p>
        </w:tc>
        <w:tc>
          <w:p>
            <w:pPr>
              <w:jc w:val="center"/>
            </w:pPr>
            <w:r>
              <w:rPr>
                <w:sz w:val="20"/>
                <w:szCs w:val="20"/>
              </w:rPr>
              <w:t xml:space="preserve">6.01</w:t>
            </w:r>
          </w:p>
        </w:tc>
        <w:tc>
          <w:p>
            <w:pPr>
              <w:jc w:val="center"/>
            </w:pPr>
            <w:r>
              <w:rPr>
                <w:sz w:val="20"/>
                <w:szCs w:val="20"/>
              </w:rPr>
              <w:t xml:space="preserve">16.02</w:t>
            </w:r>
          </w:p>
        </w:tc>
        <w:tc>
          <w:p>
            <w:pPr>
              <w:jc w:val="center"/>
            </w:pPr>
            <w:r>
              <w:rPr>
                <w:sz w:val="20"/>
                <w:szCs w:val="20"/>
              </w:rPr>
              <w:t xml:space="preserve">8.00</w:t>
            </w:r>
          </w:p>
        </w:tc>
        <w:tc>
          <w:p>
            <w:pPr>
              <w:jc w:val="center"/>
            </w:pPr>
            <w:r>
              <w:rPr>
                <w:sz w:val="20"/>
                <w:szCs w:val="20"/>
              </w:rPr>
              <w:t xml:space="preserve">2.326</w:t>
            </w:r>
          </w:p>
        </w:tc>
      </w:tr>
      <w:tr>
        <w:tc>
          <w:p>
            <w:pPr>
              <w:jc w:val="center"/>
            </w:pPr>
            <w:r>
              <w:rPr>
                <w:sz w:val="20"/>
                <w:szCs w:val="20"/>
              </w:rPr>
              <w:t xml:space="preserve">24</w:t>
            </w:r>
          </w:p>
        </w:tc>
        <w:tc>
          <w:p>
            <w:pPr>
              <w:jc w:val="center"/>
            </w:pPr>
            <w:r>
              <w:rPr>
                <w:sz w:val="20"/>
                <w:szCs w:val="20"/>
              </w:rPr>
              <w:t xml:space="preserve">5.00</w:t>
            </w:r>
          </w:p>
        </w:tc>
        <w:tc>
          <w:p>
            <w:pPr>
              <w:jc w:val="center"/>
            </w:pPr>
            <w:r>
              <w:rPr>
                <w:sz w:val="20"/>
                <w:szCs w:val="20"/>
              </w:rPr>
              <w:t xml:space="preserve">16.16</w:t>
            </w:r>
          </w:p>
        </w:tc>
        <w:tc>
          <w:p>
            <w:pPr>
              <w:jc w:val="center"/>
            </w:pPr>
            <w:r>
              <w:rPr>
                <w:sz w:val="20"/>
                <w:szCs w:val="20"/>
              </w:rPr>
              <w:t xml:space="preserve">35.00</w:t>
            </w:r>
          </w:p>
        </w:tc>
        <w:tc>
          <w:p>
            <w:pPr>
              <w:jc w:val="center"/>
            </w:pPr>
            <w:r>
              <w:rPr>
                <w:sz w:val="20"/>
                <w:szCs w:val="20"/>
              </w:rPr>
              <w:t xml:space="preserve">5.00</w:t>
            </w:r>
          </w:p>
        </w:tc>
        <w:tc>
          <w:p>
            <w:pPr>
              <w:jc w:val="center"/>
            </w:pPr>
            <w:r>
              <w:rPr>
                <w:sz w:val="20"/>
                <w:szCs w:val="20"/>
              </w:rPr>
              <w:t xml:space="preserve">23.84</w:t>
            </w:r>
          </w:p>
        </w:tc>
        <w:tc>
          <w:p>
            <w:pPr>
              <w:jc w:val="center"/>
            </w:pPr>
            <w:r>
              <w:rPr>
                <w:sz w:val="20"/>
                <w:szCs w:val="20"/>
              </w:rPr>
              <w:t xml:space="preserve">8.00</w:t>
            </w:r>
          </w:p>
        </w:tc>
        <w:tc>
          <w:p>
            <w:pPr>
              <w:jc w:val="center"/>
            </w:pPr>
            <w:r>
              <w:rPr>
                <w:sz w:val="20"/>
                <w:szCs w:val="20"/>
              </w:rPr>
              <w:t xml:space="preserve">3.395</w:t>
            </w:r>
          </w:p>
        </w:tc>
      </w:tr>
      <w:tr>
        <w:tc>
          <w:p>
            <w:pPr>
              <w:jc w:val="center"/>
            </w:pPr>
            <w:r>
              <w:rPr>
                <w:sz w:val="20"/>
                <w:szCs w:val="20"/>
              </w:rPr>
              <w:t xml:space="preserve">25</w:t>
            </w:r>
          </w:p>
        </w:tc>
        <w:tc>
          <w:p>
            <w:pPr>
              <w:jc w:val="center"/>
            </w:pPr>
            <w:r>
              <w:rPr>
                <w:sz w:val="20"/>
                <w:szCs w:val="20"/>
              </w:rPr>
              <w:t xml:space="preserve">5.00</w:t>
            </w:r>
          </w:p>
        </w:tc>
        <w:tc>
          <w:p>
            <w:pPr>
              <w:jc w:val="center"/>
            </w:pPr>
            <w:r>
              <w:rPr>
                <w:sz w:val="20"/>
                <w:szCs w:val="20"/>
              </w:rPr>
              <w:t xml:space="preserve">20.00</w:t>
            </w:r>
          </w:p>
        </w:tc>
        <w:tc>
          <w:p>
            <w:pPr>
              <w:jc w:val="center"/>
            </w:pPr>
            <w:r>
              <w:rPr>
                <w:sz w:val="20"/>
                <w:szCs w:val="20"/>
              </w:rPr>
              <w:t xml:space="preserve">35.00</w:t>
            </w:r>
          </w:p>
        </w:tc>
        <w:tc>
          <w:p>
            <w:pPr>
              <w:jc w:val="center"/>
            </w:pPr>
            <w:r>
              <w:rPr>
                <w:sz w:val="20"/>
                <w:szCs w:val="20"/>
              </w:rPr>
              <w:t xml:space="preserve">9.30</w:t>
            </w:r>
          </w:p>
        </w:tc>
        <w:tc>
          <w:p>
            <w:pPr>
              <w:jc w:val="center"/>
            </w:pPr>
            <w:r>
              <w:rPr>
                <w:sz w:val="20"/>
                <w:szCs w:val="20"/>
              </w:rPr>
              <w:t xml:space="preserve">15.70</w:t>
            </w:r>
          </w:p>
        </w:tc>
        <w:tc>
          <w:p>
            <w:pPr>
              <w:jc w:val="center"/>
            </w:pPr>
            <w:r>
              <w:rPr>
                <w:sz w:val="20"/>
                <w:szCs w:val="20"/>
              </w:rPr>
              <w:t xml:space="preserve">8.00</w:t>
            </w:r>
          </w:p>
        </w:tc>
        <w:tc>
          <w:p>
            <w:pPr>
              <w:jc w:val="center"/>
            </w:pPr>
            <w:r>
              <w:rPr>
                <w:sz w:val="20"/>
                <w:szCs w:val="20"/>
              </w:rPr>
              <w:t xml:space="preserve">2.720</w:t>
            </w:r>
          </w:p>
        </w:tc>
      </w:tr>
    </w:tbl>
    <w:p>
      <w:pPr>
        <w:jc w:val="both"/>
      </w:pPr>
      <w:r>
        <w:rPr>
          <w:sz w:val="24"/>
          <w:szCs w:val="24"/>
          <w:rFonts w:ascii="Times New Roman" w:hAnsi="Times New Roman"/>
        </w:rPr>
        <w:t xml:space="preserve"/>
      </w:r>
    </w:p>
    <w:p>
      <w:pPr>
        <w:pStyle w:val="Heading3"/>
        <w:jc w:val="both"/>
      </w:pPr>
      <w:r>
        <w:rPr>
          <w:b/>
          <w:sz w:val="26"/>
          <w:szCs w:val="26"/>
          <w:rFonts w:ascii="Times New Roman" w:hAnsi="Times New Roman"/>
        </w:rPr>
        <w:t xml:space="preserve">4.1.2. Selection of SAW Process Parameters</w:t>
      </w:r>
    </w:p>
    <w:p>
      <w:pPr>
        <w:jc w:val="both"/>
      </w:pPr>
      <w:r>
        <w:rPr>
          <w:sz w:val="24"/>
          <w:szCs w:val="24"/>
          <w:rFonts w:ascii="Times New Roman" w:hAnsi="Times New Roman"/>
        </w:rPr>
        <w:t xml:space="preserve">For the multipass bead-on-plate experimentation, the welding parameters were carefully selected based on pre-trial tests. Murugan and Gunaraj [41] established guidelines for prediction and control of weld bead geometry in submerged arc welding of pipes. A single-wire submerged arc welding (SAW) machine was utilized, with a welding current of 230 A, arc voltage of 25 V and welding speed of 8 inches/min (3.39 mm/s). The choice of these parameters was based on the pre-trial tests to determine bead profile consistency, slag detachability and freedom from surface defects like undercut or over reinforcement [42].</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heat input was calculated with the help of the standard formula given by Kou [35]:</w:t>
      </w:r>
    </w:p>
    <w:p>
      <w:pPr>
        <w:jc w:val="center"/>
      </w:pPr>
      <w:r>
        <w:rPr>
          <w:sz w:val="24"/>
          <w:szCs w:val="24"/>
          <w:rFonts w:ascii="Times New Roman" w:hAnsi="Times New Roman"/>
        </w:rPr>
        <w:t xml:space="preserve">Heat Input (HI) = (V × I × 60 / S) × η ... (Equation 4.4)</w:t>
      </w:r>
    </w:p>
    <w:p>
      <w:pPr>
        <w:jc w:val="both"/>
      </w:pPr>
      <w:r>
        <w:rPr>
          <w:sz w:val="24"/>
          <w:szCs w:val="24"/>
          <w:rFonts w:ascii="Times New Roman" w:hAnsi="Times New Roman"/>
        </w:rPr>
        <w:t xml:space="preserve">Where V is the welding voltage, I is the welding current, S is the welding speed, and η is the arc efficiency (η = 0.75). Heat input value of about 1.02 kJ/mm was obtained, which is within the recommended range of 0.8-2.5 kJ/mm for X70 pipeline steel welding to prevent excessive coarsening of the heat-affected zone and to guarantee full flux melting and sufficient reaction time of slag-metal [43, 44].</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EA2TiB filler wire with 2.4 mm diameter was utilized and no extra cold feed wire, because the rate of wire feed was kept constant to ensure the same amount of metal could be deposited in all the 25 flux formulations [45]. Using laboratory prepared basic fluxes, twenty five multi-pass SAW weld beads (flat position configuration) were deposited on API X70 pipeline steel plates having 16 mm thickness. No edge preparation was done for bead-on-plate experimentation. API X70 with specified minimum yield strength of 485 MPa provides an excellent combination of strength, ductility and weldability for high pressure transmission lines [46, 47].</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weld passes were deposited as a multipass bead to each flux composition and in each case, five passes were deposited over the bead. The interpass temperature was rigorously kept at 120°C to 150°C and monitored at 25 mm distance of contact thermocouple sensor position relative to the centerline of the weld bead. This was a comparatively low level of interpass temperature to ensure that no coarse grains or martensite would form in the multipass weld metal, and that significant acicular ferrite microstructure would be obtained [48, 49].</w:t>
      </w:r>
    </w:p>
    <w:p>
      <w:pPr>
        <w:jc w:val="both"/>
      </w:pPr>
      <w:r>
        <w:rPr>
          <w:sz w:val="24"/>
          <w:szCs w:val="24"/>
          <w:rFonts w:ascii="Times New Roman" w:hAnsi="Times New Roman"/>
        </w:rPr>
        <w:t xml:space="preserve"/>
      </w:r>
    </w:p>
    <w:p>
      <w:pPr>
        <w:jc w:val="center"/>
      </w:pPr>
      <w:r>
        <w:rPr>
          <w:b/>
          <w:sz w:val="22"/>
          <w:szCs w:val="22"/>
          <w:rFonts w:ascii="Times New Roman" w:hAnsi="Times New Roman"/>
        </w:rPr>
        <w:t xml:space="preserve">Table 4.3: Chemical composition of base metal and filler wire</w:t>
      </w:r>
    </w:p>
    <w:tbl>
      <w:tblPr>
        <w:tblStyle w:val="TableGrid"/>
        <w:tblW w:w="5000" w:type="pct"/>
        <w:tblBorders>
          <w:top w:val="single" w:sz="4"/>
          <w:bottom w:val="single" w:sz="4"/>
          <w:left w:val="single" w:sz="4"/>
          <w:right w:val="single" w:sz="4"/>
          <w:insideH w:val="single" w:sz="4"/>
          <w:insideV w:val="single" w:sz="4"/>
        </w:tblBorders>
      </w:tblPr>
      <w:tr>
        <w:tc>
          <w:p>
            <w:pPr>
              <w:jc w:val="center"/>
            </w:pPr>
            <w:r>
              <w:rPr>
                <w:b/>
                <w:sz w:val="20"/>
                <w:szCs w:val="20"/>
              </w:rPr>
              <w:t xml:space="preserve">Material</w:t>
            </w:r>
          </w:p>
        </w:tc>
        <w:tc>
          <w:p>
            <w:pPr>
              <w:jc w:val="center"/>
            </w:pPr>
            <w:r>
              <w:rPr>
                <w:b/>
                <w:sz w:val="20"/>
                <w:szCs w:val="20"/>
              </w:rPr>
              <w:t xml:space="preserve">C</w:t>
            </w:r>
          </w:p>
        </w:tc>
        <w:tc>
          <w:p>
            <w:pPr>
              <w:jc w:val="center"/>
            </w:pPr>
            <w:r>
              <w:rPr>
                <w:b/>
                <w:sz w:val="20"/>
                <w:szCs w:val="20"/>
              </w:rPr>
              <w:t xml:space="preserve">Si</w:t>
            </w:r>
          </w:p>
        </w:tc>
        <w:tc>
          <w:p>
            <w:pPr>
              <w:jc w:val="center"/>
            </w:pPr>
            <w:r>
              <w:rPr>
                <w:b/>
                <w:sz w:val="20"/>
                <w:szCs w:val="20"/>
              </w:rPr>
              <w:t xml:space="preserve">Mn</w:t>
            </w:r>
          </w:p>
        </w:tc>
        <w:tc>
          <w:p>
            <w:pPr>
              <w:jc w:val="center"/>
            </w:pPr>
            <w:r>
              <w:rPr>
                <w:b/>
                <w:sz w:val="20"/>
                <w:szCs w:val="20"/>
              </w:rPr>
              <w:t xml:space="preserve">P</w:t>
            </w:r>
          </w:p>
        </w:tc>
        <w:tc>
          <w:p>
            <w:pPr>
              <w:jc w:val="center"/>
            </w:pPr>
            <w:r>
              <w:rPr>
                <w:b/>
                <w:sz w:val="20"/>
                <w:szCs w:val="20"/>
              </w:rPr>
              <w:t xml:space="preserve">S</w:t>
            </w:r>
          </w:p>
        </w:tc>
        <w:tc>
          <w:p>
            <w:pPr>
              <w:jc w:val="center"/>
            </w:pPr>
            <w:r>
              <w:rPr>
                <w:b/>
                <w:sz w:val="20"/>
                <w:szCs w:val="20"/>
              </w:rPr>
              <w:t xml:space="preserve">Mo</w:t>
            </w:r>
          </w:p>
        </w:tc>
        <w:tc>
          <w:p>
            <w:pPr>
              <w:jc w:val="center"/>
            </w:pPr>
            <w:r>
              <w:rPr>
                <w:b/>
                <w:sz w:val="20"/>
                <w:szCs w:val="20"/>
              </w:rPr>
              <w:t xml:space="preserve">Ni</w:t>
            </w:r>
          </w:p>
        </w:tc>
        <w:tc>
          <w:p>
            <w:pPr>
              <w:jc w:val="center"/>
            </w:pPr>
            <w:r>
              <w:rPr>
                <w:b/>
                <w:sz w:val="20"/>
                <w:szCs w:val="20"/>
              </w:rPr>
              <w:t xml:space="preserve">Cr</w:t>
            </w:r>
          </w:p>
        </w:tc>
        <w:tc>
          <w:p>
            <w:pPr>
              <w:jc w:val="center"/>
            </w:pPr>
            <w:r>
              <w:rPr>
                <w:b/>
                <w:sz w:val="20"/>
                <w:szCs w:val="20"/>
              </w:rPr>
              <w:t xml:space="preserve">Fe</w:t>
            </w:r>
          </w:p>
        </w:tc>
      </w:tr>
      <w:tr>
        <w:tc>
          <w:p>
            <w:pPr>
              <w:jc w:val="center"/>
            </w:pPr>
            <w:r>
              <w:rPr>
                <w:sz w:val="20"/>
                <w:szCs w:val="20"/>
              </w:rPr>
              <w:t xml:space="preserve">BM (X70)</w:t>
            </w:r>
          </w:p>
        </w:tc>
        <w:tc>
          <w:p>
            <w:pPr>
              <w:jc w:val="center"/>
            </w:pPr>
            <w:r>
              <w:rPr>
                <w:sz w:val="20"/>
                <w:szCs w:val="20"/>
              </w:rPr>
              <w:t xml:space="preserve">0.058</w:t>
            </w:r>
          </w:p>
        </w:tc>
        <w:tc>
          <w:p>
            <w:pPr>
              <w:jc w:val="center"/>
            </w:pPr>
            <w:r>
              <w:rPr>
                <w:sz w:val="20"/>
                <w:szCs w:val="20"/>
              </w:rPr>
              <w:t xml:space="preserve">0.331</w:t>
            </w:r>
          </w:p>
        </w:tc>
        <w:tc>
          <w:p>
            <w:pPr>
              <w:jc w:val="center"/>
            </w:pPr>
            <w:r>
              <w:rPr>
                <w:sz w:val="20"/>
                <w:szCs w:val="20"/>
              </w:rPr>
              <w:t xml:space="preserve">1.590</w:t>
            </w:r>
          </w:p>
        </w:tc>
        <w:tc>
          <w:p>
            <w:pPr>
              <w:jc w:val="center"/>
            </w:pPr>
            <w:r>
              <w:rPr>
                <w:sz w:val="20"/>
                <w:szCs w:val="20"/>
              </w:rPr>
              <w:t xml:space="preserve">0.006</w:t>
            </w:r>
          </w:p>
        </w:tc>
        <w:tc>
          <w:p>
            <w:pPr>
              <w:jc w:val="center"/>
            </w:pPr>
            <w:r>
              <w:rPr>
                <w:sz w:val="20"/>
                <w:szCs w:val="20"/>
              </w:rPr>
              <w:t xml:space="preserve">0.002</w:t>
            </w:r>
          </w:p>
        </w:tc>
        <w:tc>
          <w:p>
            <w:pPr>
              <w:jc w:val="center"/>
            </w:pPr>
            <w:r>
              <w:rPr>
                <w:sz w:val="20"/>
                <w:szCs w:val="20"/>
              </w:rPr>
              <w:t xml:space="preserve">0.003</w:t>
            </w:r>
          </w:p>
        </w:tc>
        <w:tc>
          <w:p>
            <w:pPr>
              <w:jc w:val="center"/>
            </w:pPr>
            <w:r>
              <w:rPr>
                <w:sz w:val="20"/>
                <w:szCs w:val="20"/>
              </w:rPr>
              <w:t xml:space="preserve">0.219</w:t>
            </w:r>
          </w:p>
        </w:tc>
        <w:tc>
          <w:p>
            <w:pPr>
              <w:jc w:val="center"/>
            </w:pPr>
            <w:r>
              <w:rPr>
                <w:sz w:val="20"/>
                <w:szCs w:val="20"/>
              </w:rPr>
              <w:t xml:space="preserve">0.007</w:t>
            </w:r>
          </w:p>
        </w:tc>
        <w:tc>
          <w:p>
            <w:pPr>
              <w:jc w:val="center"/>
            </w:pPr>
            <w:r>
              <w:rPr>
                <w:sz w:val="20"/>
                <w:szCs w:val="20"/>
              </w:rPr>
              <w:t xml:space="preserve">98.1</w:t>
            </w:r>
          </w:p>
        </w:tc>
      </w:tr>
      <w:tr>
        <w:tc>
          <w:p>
            <w:pPr>
              <w:jc w:val="center"/>
            </w:pPr>
            <w:r>
              <w:rPr>
                <w:sz w:val="20"/>
                <w:szCs w:val="20"/>
              </w:rPr>
              <w:t xml:space="preserve">FW (EA2TiB)</w:t>
            </w:r>
          </w:p>
        </w:tc>
        <w:tc>
          <w:p>
            <w:pPr>
              <w:jc w:val="center"/>
            </w:pPr>
            <w:r>
              <w:rPr>
                <w:sz w:val="20"/>
                <w:szCs w:val="20"/>
              </w:rPr>
              <w:t xml:space="preserve">0.03</w:t>
            </w:r>
          </w:p>
        </w:tc>
        <w:tc>
          <w:p>
            <w:pPr>
              <w:jc w:val="center"/>
            </w:pPr>
            <w:r>
              <w:rPr>
                <w:sz w:val="20"/>
                <w:szCs w:val="20"/>
              </w:rPr>
              <w:t xml:space="preserve">0.078</w:t>
            </w:r>
          </w:p>
        </w:tc>
        <w:tc>
          <w:p>
            <w:pPr>
              <w:jc w:val="center"/>
            </w:pPr>
            <w:r>
              <w:rPr>
                <w:sz w:val="20"/>
                <w:szCs w:val="20"/>
              </w:rPr>
              <w:t xml:space="preserve">0.781</w:t>
            </w:r>
          </w:p>
        </w:tc>
        <w:tc>
          <w:p>
            <w:pPr>
              <w:jc w:val="center"/>
            </w:pPr>
            <w:r>
              <w:rPr>
                <w:sz w:val="20"/>
                <w:szCs w:val="20"/>
              </w:rPr>
              <w:t xml:space="preserve">0.020</w:t>
            </w:r>
          </w:p>
        </w:tc>
        <w:tc>
          <w:p>
            <w:pPr>
              <w:jc w:val="center"/>
            </w:pPr>
            <w:r>
              <w:rPr>
                <w:sz w:val="20"/>
                <w:szCs w:val="20"/>
              </w:rPr>
              <w:t xml:space="preserve">0.005</w:t>
            </w:r>
          </w:p>
        </w:tc>
        <w:tc>
          <w:p>
            <w:pPr>
              <w:jc w:val="center"/>
            </w:pPr>
            <w:r>
              <w:rPr>
                <w:sz w:val="20"/>
                <w:szCs w:val="20"/>
              </w:rPr>
              <w:t xml:space="preserve">0.317</w:t>
            </w:r>
          </w:p>
        </w:tc>
        <w:tc>
          <w:p>
            <w:pPr>
              <w:jc w:val="center"/>
            </w:pPr>
            <w:r>
              <w:rPr>
                <w:sz w:val="20"/>
                <w:szCs w:val="20"/>
              </w:rPr>
              <w:t xml:space="preserve">0.090</w:t>
            </w:r>
          </w:p>
        </w:tc>
        <w:tc>
          <w:p>
            <w:pPr>
              <w:jc w:val="center"/>
            </w:pPr>
            <w:r>
              <w:rPr>
                <w:sz w:val="20"/>
                <w:szCs w:val="20"/>
              </w:rPr>
              <w:t xml:space="preserve">0.042</w:t>
            </w:r>
          </w:p>
        </w:tc>
        <w:tc>
          <w:p>
            <w:pPr>
              <w:jc w:val="center"/>
            </w:pPr>
            <w:r>
              <w:rPr>
                <w:sz w:val="20"/>
                <w:szCs w:val="20"/>
              </w:rPr>
              <w:t xml:space="preserve">98.8</w:t>
            </w:r>
          </w:p>
        </w:tc>
      </w:tr>
    </w:tbl>
    <w:p>
      <w:pPr>
        <w:jc w:val="both"/>
      </w:pPr>
      <w:r>
        <w:rPr>
          <w:sz w:val="24"/>
          <w:szCs w:val="24"/>
          <w:rFonts w:ascii="Times New Roman" w:hAnsi="Times New Roman"/>
        </w:rPr>
        <w:t xml:space="preserve"/>
      </w:r>
    </w:p>
    <w:p>
      <w:pPr>
        <w:pStyle w:val="Heading2"/>
        <w:jc w:val="both"/>
      </w:pPr>
      <w:r>
        <w:rPr>
          <w:b/>
          <w:sz w:val="28"/>
          <w:szCs w:val="28"/>
          <w:rFonts w:ascii="Times New Roman" w:hAnsi="Times New Roman"/>
        </w:rPr>
        <w:t xml:space="preserve">4.2. SAW Flux Preparation</w:t>
      </w:r>
    </w:p>
    <w:p>
      <w:pPr>
        <w:jc w:val="both"/>
      </w:pPr>
      <w:r>
        <w:rPr>
          <w:sz w:val="24"/>
          <w:szCs w:val="24"/>
          <w:rFonts w:ascii="Times New Roman" w:hAnsi="Times New Roman"/>
        </w:rPr>
        <w:t xml:space="preserve">The preparation of agglomerated fluxes followed a systematic and reproducible procedure, consistent with established practices in flux development [22, 50]. The agglomerated fluxes were prepared in the laboratory and each constituent was milled separately to a particle size less than 45 µm (passing through a 325-mesh sieve). This was done to develop a homogenous flux mixture, to ensure consistent melting during submerged arc welding [51]. Roy and Sen [52] established that this particle size range provides optimal tapped density in granular flux materials. This particle size was selected due to its maximum contact surface area of individual flux constituent, uniform distribution of binder and its ideal agglomeration, thus eliminating segregation of high-density oxides like BaO and MnO throughout handling and the welding process [53].</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Following the weighing of the mineral components based on the design matrix (Table 4.2), the powders were combined in a turbula mixer for 30 minutes to achieve a homogeneous mixture. The inorganic binder was a potassium silicate solution at 5 wt.% of the total batch mass (K₂SiO₃) [22]. The binder was diluted in distilled water at 1:3 ratio to lower the viscosity and was then gradually poured into the powdered mixture, with continual stirring to homogenize the whole flux mixture [54]. After uniformly homogenizing the flux mixture, a 1.0 mm sieve was used to form the wet mixture into green agglomerates, which were then dried in an oven at 100°C for 2 hours to remove the absorbed moisture before cracking [55].</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agglomerates were then crushed and sieved to reach a final particle size distribution of 0.5 mm to 1.4 mm (ASTM 14-35 mesh) [56]. The sieved fluxes were placed in sealed jars at 120°C overnight before welding to remove all remaining hydroxyl groups, thus reducing the chances of hydrogen-induced cracking in the multipass welded SAW beads [57, 58]. Waris and Chhibber [59] demonstrated that proper flux drying significantly reduces diffusible hydrogen content in SAW weld metal.</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After the multi-pass bead-on-plate experimentation, twenty-five different beads were visually examined, as shown in Figure 4.2, to observe the bead morphology, presence or absence of porosity, and the ease of slag detachability [60]. Pandey et al. [61] established that submerged arc welding parameters and fluxes significantly affect element transfer behaviour and weld-metal chemistry.</w:t>
      </w:r>
    </w:p>
    <w:p>
      <w:pPr>
        <w:jc w:val="both"/>
      </w:pPr>
      <w:r>
        <w:rPr>
          <w:sz w:val="24"/>
          <w:szCs w:val="24"/>
          <w:rFonts w:ascii="Times New Roman" w:hAnsi="Times New Roman"/>
        </w:rPr>
        <w:t xml:space="preserve"/>
      </w:r>
    </w:p>
    <w:p>
      <w:pPr>
        <w:jc w:val="center"/>
      </w:pPr>
      <w:r>
        <w:drawing>
          <wp:inline xmlns:wp="http://schemas.openxmlformats.org/drawingml/2006/wordprocessingDrawing" distT="0" distB="0" distL="0" distR="0">
            <wp:extent cx="5400000" cy="4050000"/>
            <wp:docPr id="1" name="Picture"/>
            <a:graphic xmlns:a="http://schemas.openxmlformats.org/drawingml/2006/main">
              <a:graphicData uri="http://schemas.openxmlformats.org/drawingml/2006/picture">
                <pic:pic xmlns:pic="http://schemas.openxmlformats.org/drawingml/2006/picture">
                  <pic:nvPicPr>
                    <pic:cNvPr id="0" name="img"/>
                    <pic:cNvPicPr/>
                  </pic:nvPicPr>
                  <pic:blipFill>
                    <a:blip xmlns:r="http://schemas.openxmlformats.org/officeDocument/2006/relationships" r:embed="rId8"/>
                    <a:stretch>
                      <a:fillRect/>
                    </a:stretch>
                  </pic:blipFill>
                  <pic:spPr>
                    <a:xfrm>
                      <a:off x="0" y="0"/>
                      <a:ext cx="5400000" cy="4050000"/>
                    </a:xfrm>
                    <a:prstGeom prst="rect">
                      <a:avLst/>
                    </a:prstGeom>
                  </pic:spPr>
                </pic:pic>
              </a:graphicData>
            </a:graphic>
          </wp:inline>
        </w:drawing>
      </w:r>
    </w:p>
    <w:p>
      <w:pPr>
        <w:jc w:val="center"/>
      </w:pPr>
      <w:r>
        <w:rPr>
          <w:b/>
          <w:sz w:val="20"/>
          <w:szCs w:val="20"/>
          <w:rFonts w:ascii="Times New Roman" w:hAnsi="Times New Roman"/>
        </w:rPr>
        <w:t xml:space="preserve">Figure 4.2: Twenty five multi-pass SAW beads deposited on API X70 pipeline steel plate</w:t>
      </w:r>
    </w:p>
    <w:p>
      <w:pPr>
        <w:jc w:val="both"/>
      </w:pPr>
      <w:r>
        <w:rPr>
          <w:sz w:val="24"/>
          <w:szCs w:val="24"/>
          <w:rFonts w:ascii="Times New Roman" w:hAnsi="Times New Roman"/>
        </w:rPr>
        <w:t xml:space="preserve"/>
      </w:r>
    </w:p>
    <w:p>
      <w:pPr>
        <w:pStyle w:val="Heading2"/>
        <w:jc w:val="both"/>
      </w:pPr>
      <w:r>
        <w:rPr>
          <w:b/>
          <w:sz w:val="28"/>
          <w:szCs w:val="28"/>
          <w:rFonts w:ascii="Times New Roman" w:hAnsi="Times New Roman"/>
        </w:rPr>
        <w:t xml:space="preserve">4.3. Characterization of Physicochemical and Thermophysical Properties of SAW Fluxes</w:t>
      </w:r>
    </w:p>
    <w:p>
      <w:pPr>
        <w:jc w:val="both"/>
      </w:pPr>
      <w:r>
        <w:rPr>
          <w:sz w:val="24"/>
          <w:szCs w:val="24"/>
          <w:rFonts w:ascii="Times New Roman" w:hAnsi="Times New Roman"/>
        </w:rPr>
        <w:t xml:space="preserve">The comprehensive characterization of all 25 flux formulations involved the measurement of density, thermal properties (thermal conductivity, thermal diffusivity, and specific heat capacity), phase analysis through X-ray diffraction (XRD), and structural analysis through Fourier Transform Infrared (FTIR) spectroscopy [62, 63]. Omar and Li [64] emphasized that comprehensive characterization methods are essential for understanding the performance of welding fluxes. Chen and Huang [65] established that structure-property relationships in welding materials provide the scientific basis for flux optimization.</w:t>
      </w:r>
    </w:p>
    <w:p>
      <w:pPr>
        <w:jc w:val="both"/>
      </w:pPr>
      <w:r>
        <w:rPr>
          <w:sz w:val="24"/>
          <w:szCs w:val="24"/>
          <w:rFonts w:ascii="Times New Roman" w:hAnsi="Times New Roman"/>
        </w:rPr>
        <w:t xml:space="preserve"/>
      </w:r>
    </w:p>
    <w:p>
      <w:pPr>
        <w:pStyle w:val="Heading3"/>
        <w:jc w:val="both"/>
      </w:pPr>
      <w:r>
        <w:rPr>
          <w:b/>
          <w:sz w:val="26"/>
          <w:szCs w:val="26"/>
          <w:rFonts w:ascii="Times New Roman" w:hAnsi="Times New Roman"/>
        </w:rPr>
        <w:t xml:space="preserve">4.3.1. Measurement of Density of Fluxes</w:t>
      </w:r>
    </w:p>
    <w:p>
      <w:pPr>
        <w:jc w:val="both"/>
      </w:pPr>
      <w:r>
        <w:rPr>
          <w:sz w:val="24"/>
          <w:szCs w:val="24"/>
          <w:rFonts w:ascii="Times New Roman" w:hAnsi="Times New Roman"/>
        </w:rPr>
        <w:t xml:space="preserve">The density measurements were made using tapped-density methodology, in which the flux powders have been placed into known cylindrical flasks (10 mL) with a known set of tapping, which ensures the uniformity of the particle distribution, and finally weighed using precise analytical balances [52]. The bulk density is a key property of flux flow ability and slag coverage [66]. Density calculation followed Equation (4.5):</w:t>
      </w:r>
    </w:p>
    <w:p>
      <w:pPr>
        <w:jc w:val="center"/>
      </w:pPr>
      <w:r>
        <w:rPr>
          <w:sz w:val="24"/>
          <w:szCs w:val="24"/>
          <w:rFonts w:ascii="Times New Roman" w:hAnsi="Times New Roman"/>
        </w:rPr>
        <w:t xml:space="preserve">ρ = Mass / Volume ... (Equation 4.5)</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thermophysical characterization of the 25 different SAW flux formulations showed a density range of 1.40 to 1.54 g/cm³ (Figure 4.3a), which shows good correlation with the literature values of such multicomponent flux systems [67]. Similar density range of 1.35-1.58 g/cm³ was reported by Sharma and Chhibber [68] in the CaO-SiO₂-CaF₂ flux system, and 1.42-1.56 g/cm³ was reported for TiO₂-SiO₂-MgO systems by Kowalski and Nowak [69].</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Formulations enriched in high-density oxides such as BaO (ρ = 5.72 g/cm³) and MnO (ρ = 5.03 g/cm³) exhibited maximum density values (Flux 14–Flux 16 and Flux 23–Flux 25), consistent with theoretical predictions based on rule-of-mixtures calculations [70]. Singh et al. [71] demonstrated similar trends with R² correlation coefficients exceeding 0.85 between oxide density and flux bulk density. Conversely, silica-dominated (SiO₂, ρ = 2.65 g/cm³) and fluorspar-rich (CaF₂, ρ = 3.18 g/cm³) compositions displayed lower bulk densities (Flux 1–Flux 6). The mean density of 1.48 ± 0.04 g/cm³ lies in the optimal range determined by Kumar et al. [72], who found that SAW fluxes with density of 1.4-1.6 g/cm³ possess the best arc stability and slag detachability. The close density structure (coefficient of variation = 2.7%) points towards low porosity and high manufacturing reproducibility [73].</w:t>
      </w:r>
    </w:p>
    <w:p>
      <w:pPr>
        <w:jc w:val="both"/>
      </w:pPr>
      <w:r>
        <w:rPr>
          <w:sz w:val="24"/>
          <w:szCs w:val="24"/>
          <w:rFonts w:ascii="Times New Roman" w:hAnsi="Times New Roman"/>
        </w:rPr>
        <w:t xml:space="preserve"/>
      </w:r>
    </w:p>
    <w:p>
      <w:pPr>
        <w:pStyle w:val="Heading3"/>
        <w:jc w:val="both"/>
      </w:pPr>
      <w:r>
        <w:rPr>
          <w:b/>
          <w:sz w:val="26"/>
          <w:szCs w:val="26"/>
          <w:rFonts w:ascii="Times New Roman" w:hAnsi="Times New Roman"/>
        </w:rPr>
        <w:t xml:space="preserve">4.3.2. Thermal Properties (Thermal Conductivity, Thermal Diffusivity and Specific Heat) Measurement</w:t>
      </w:r>
    </w:p>
    <w:p>
      <w:pPr>
        <w:jc w:val="both"/>
      </w:pPr>
      <w:r>
        <w:rPr>
          <w:sz w:val="24"/>
          <w:szCs w:val="24"/>
          <w:rFonts w:ascii="Times New Roman" w:hAnsi="Times New Roman"/>
        </w:rPr>
        <w:t xml:space="preserve">Specific heat capacity, thermal diffusivity, and thermal conductivity measurements were made using the Hot Disk Transient Plane Source (TPS-2500S) which is the international standard method (ISO 22007-2) for simultaneous determination of thermal properties [74]. Wang and Xu [75] validated this technique for thermophysical analysis of non-metallic powders. The TPS technique utilizes a nickel sensor enclosed in two thin insulating coatings to act both as a specialized heat source and resistance thermometer [76]. Compared to traditional methods, the TPS method is more accurate with measurement uncertainties usually less than ±3% for thermal conductivity and ±5% for thermal diffusivity [77]. White and Collocott [78] compared TPS measurements to reference materials and found excellent agreement across a variety of material classes. Ferreira and Oliveira [79] further confirmed the suitability of the Hot Disk transient plane source technique for welding flux characterization.</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thermal conductivity (Figure 4.3b) ranged from 0.34 to 0.52 W/m·K with clear compositional dependence, in line with the known structure-property relationships within ceramic flux systems [68]. These values are consistent with literature: Sharma and Chhibber [80] found thermal conductivities of 0.31-0.48 W/m·K for similar agglomerated flux composites, whereas Kumar et al. [72] reported 0.38-0.55 W/m·K for TiO₂-SiO₂-based systems. High concentrations of metallic oxides (MnO, BaO, and TiO₂) enhanced thermal conductivity by up to 53% over silicate-based formulations, caused by improved phonon transport properties of crystalline metallic oxide phases compared to amorphous silicate networks [81].</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On the other hand, silica-based compositions (Flux 1-Flux 6) exhibited insulating properties with smaller thermal conductivity values, in line with known lower thermal conductivity of amorphous SiO₂ (0.1-0.2 W/m·K) [82]. Ren and Zhao [83] confirmed these values through molecular dynamics studies of amorphous SiO₂ thin films. Kang and Morita [84] studied this compositional effect extensively and showed that thermal conductivity reduces drastically with increases in SiO₂ content, especially when the CaO/SiO₂ ratio decreases below one. The relationship follows:</w:t>
      </w:r>
    </w:p>
    <w:p>
      <w:pPr>
        <w:jc w:val="center"/>
      </w:pPr>
      <w:r>
        <w:rPr>
          <w:sz w:val="24"/>
          <w:szCs w:val="24"/>
          <w:rFonts w:ascii="Times New Roman" w:hAnsi="Times New Roman"/>
        </w:rPr>
        <w:t xml:space="preserve">k_eff = Σφ_i·k_i ... (Equation 4.6)</w:t>
      </w:r>
    </w:p>
    <w:p>
      <w:pPr>
        <w:jc w:val="both"/>
      </w:pPr>
      <w:r>
        <w:rPr>
          <w:sz w:val="24"/>
          <w:szCs w:val="24"/>
          <w:rFonts w:ascii="Times New Roman" w:hAnsi="Times New Roman"/>
        </w:rPr>
        <w:t xml:space="preserve">where k_eff represents effective thermal conductivity, φ_i denotes volume fraction, and k_i represents individual phase conductivity.</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Specific heat capacity ranged from 0.902 to 1.192 MJ/m³·K (Figure 4.3c), with Flux 25 showing the highest value of 1.28 MJ/m³·K at the highest CaF₂ and MnO concentration [72, 68]. SAW applications with high specific heat capacity have significant metallurgical benefits in that they promote greater thermal energy capture prior to temperature increase [85]. The dependence of specific heat on CaF₂ is governed by general thermodynamic laws whereby fluoride addition increases heat capacity by increasing the vibrational modes of the lattice [86].</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Thermal diffusivity measurements varied between 0.202 and 0.351 mm²/s (Figure 4.3d), calculated using:</w:t>
      </w:r>
    </w:p>
    <w:p>
      <w:pPr>
        <w:jc w:val="center"/>
      </w:pPr>
      <w:r>
        <w:rPr>
          <w:sz w:val="24"/>
          <w:szCs w:val="24"/>
          <w:rFonts w:ascii="Times New Roman" w:hAnsi="Times New Roman"/>
        </w:rPr>
        <w:t xml:space="preserve">α = k / (ρ·C_p) ... (Equation 4.7)</w:t>
      </w:r>
    </w:p>
    <w:p>
      <w:pPr>
        <w:jc w:val="both"/>
      </w:pPr>
      <w:r>
        <w:rPr>
          <w:sz w:val="24"/>
          <w:szCs w:val="24"/>
          <w:rFonts w:ascii="Times New Roman" w:hAnsi="Times New Roman"/>
        </w:rPr>
        <w:t xml:space="preserve">Flux 3 and Flux 22 with high concentration of silica and fluorspar had the lowest thermal diffusivity values (0.202-0.215 mm²/s), providing the best thermal insulation capacity necessary for weld pool protection [87]. Negi and Chattopadhyaya [88] found comparable thermal diffusivities of 0.18-0.23 mm²/s for silicate-dominated SAW fluxes. Compositions with high content of BaO or MnO (Flux 8 and Flux 20) exhibited higher rates of heat propagation (0.335-0.351 mm²/s) [89]. Low thermal diffusivity fosters slow cooling and high ductility whereas high thermal diffusivity fosters fast cooling and finer grain structures [90].</w:t>
      </w:r>
    </w:p>
    <w:p>
      <w:pPr>
        <w:jc w:val="both"/>
      </w:pPr>
      <w:r>
        <w:rPr>
          <w:sz w:val="24"/>
          <w:szCs w:val="24"/>
          <w:rFonts w:ascii="Times New Roman" w:hAnsi="Times New Roman"/>
        </w:rPr>
        <w:t xml:space="preserve"/>
      </w:r>
    </w:p>
    <w:p>
      <w:pPr>
        <w:jc w:val="center"/>
      </w:pPr>
      <w:r>
        <w:drawing>
          <wp:inline xmlns:wp="http://schemas.openxmlformats.org/drawingml/2006/wordprocessingDrawing" distT="0" distB="0" distL="0" distR="0">
            <wp:extent cx="5400000" cy="4050000"/>
            <wp:docPr id="1" name="Picture"/>
            <a:graphic xmlns:a="http://schemas.openxmlformats.org/drawingml/2006/main">
              <a:graphicData uri="http://schemas.openxmlformats.org/drawingml/2006/picture">
                <pic:pic xmlns:pic="http://schemas.openxmlformats.org/drawingml/2006/picture">
                  <pic:nvPicPr>
                    <pic:cNvPr id="0" name="img"/>
                    <pic:cNvPicPr/>
                  </pic:nvPicPr>
                  <pic:blipFill>
                    <a:blip xmlns:r="http://schemas.openxmlformats.org/officeDocument/2006/relationships" r:embed="rId9"/>
                    <a:stretch>
                      <a:fillRect/>
                    </a:stretch>
                  </pic:blipFill>
                  <pic:spPr>
                    <a:xfrm>
                      <a:off x="0" y="0"/>
                      <a:ext cx="5400000" cy="4050000"/>
                    </a:xfrm>
                    <a:prstGeom prst="rect">
                      <a:avLst/>
                    </a:prstGeom>
                  </pic:spPr>
                </pic:pic>
              </a:graphicData>
            </a:graphic>
          </wp:inline>
        </w:drawing>
      </w:r>
    </w:p>
    <w:p>
      <w:pPr>
        <w:jc w:val="center"/>
      </w:pPr>
      <w:r>
        <w:rPr>
          <w:b/>
          <w:sz w:val="20"/>
          <w:szCs w:val="20"/>
          <w:rFonts w:ascii="Times New Roman" w:hAnsi="Times New Roman"/>
        </w:rPr>
        <w:t xml:space="preserve">Figure 4.3: Variation of thermophysical properties with flux number: (a) density, (b) thermal conductivity, (c) specific heat, (d) thermal diffusivity</w:t>
      </w:r>
    </w:p>
    <w:p>
      <w:pPr>
        <w:jc w:val="both"/>
      </w:pPr>
      <w:r>
        <w:rPr>
          <w:sz w:val="24"/>
          <w:szCs w:val="24"/>
          <w:rFonts w:ascii="Times New Roman" w:hAnsi="Times New Roman"/>
        </w:rPr>
        <w:t xml:space="preserve"/>
      </w:r>
    </w:p>
    <w:p>
      <w:pPr>
        <w:pStyle w:val="Heading3"/>
        <w:jc w:val="both"/>
      </w:pPr>
      <w:r>
        <w:rPr>
          <w:b/>
          <w:sz w:val="26"/>
          <w:szCs w:val="26"/>
          <w:rFonts w:ascii="Times New Roman" w:hAnsi="Times New Roman"/>
        </w:rPr>
        <w:t xml:space="preserve">4.3.3. Phase Analysis of Fluxes</w:t>
      </w:r>
    </w:p>
    <w:p>
      <w:pPr>
        <w:jc w:val="both"/>
      </w:pPr>
      <w:r>
        <w:rPr>
          <w:sz w:val="24"/>
          <w:szCs w:val="24"/>
          <w:rFonts w:ascii="Times New Roman" w:hAnsi="Times New Roman"/>
        </w:rPr>
        <w:t xml:space="preserve">X-Ray diffraction of four representative flux mixtures revealed clear crystalline phase assemblages which provide in-depth information on thermal behaviour and metallurgical workability during the welding process (Figure 4.4) [91]. Müller and Becker [92] established that phase analysis of SAW fluxes via X-ray diffraction provides essential information for understanding flux reactivity and stability. Nakamura and Ito [93] further demonstrated effective crystalline component identification in welding slags using XRD.</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In Figure 4.4a, Flux 2, containing 35% CaF₂ and 25% MnO (Table 4.2), exhibits strong, sharp fluorite reflections at 2θ = 28.3°, 32.2°, and 47.0°, corresponding to the (111), (200) and (220) planes respectively [94]. High intensity and small full width at half maximum (FWHM) indicates high crystallinity and large crystallite size, indicating that the thermal treatment during flux preparation was adequate to encourage good fluorite crystal growth [95]. However, lower CaF₂ content (31.3%) in Flux 20 results in lower intensity peaks of fluorite and new peaks of MnO at 30.1° and 50.5°. The negative correlation between fluorite and MnO peak intensities indicates a crystallization effect [96].</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Flux 12 displays an intermediate phase assemblage with strong fluorite reflections accompanied by well-defined rutile peaks at 27.4°, 36.1°, and 54.4° [97], as well as discrete MnO signatures. Thamaphat et al. [98] provided reference phase characterization of TiO₂ powder by XRD and TEM. The enhanced rutile-to-fluorite intensity ratio in Flux 12 compared to Flux 2 indicates improved titania retention in crystalline form, which is relevant for arc stabilization [99].</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Higher degree of crystallinity in fluorite (Flux 2 and 16) resulted in lower values of thermal diffusivity (0.215–0.245 mm²/s) compared to MnO-rich Flux 20 (0.335 mm²/s). This is consistent with the known phonon scattering effect of fluorite-structured compounds, where fluorine vacancies disrupt heat-carrying phonon propagation [100]. Diffraction peaks were typically more intense and sharp for higher basicity fluxes (Flux 2 and 13) compared to lower basicity fluxes (Flux 11 and 18), which had broader and weaker peak intensities reflecting higher amorphous content [101]. Hernández-Ortiz et al. [102] confirmed that comparing silicon mineral species of different crystallinity levels using spectroscopic methods reveals systematic structural variations.</w:t>
      </w:r>
    </w:p>
    <w:p>
      <w:pPr>
        <w:jc w:val="both"/>
      </w:pPr>
      <w:r>
        <w:rPr>
          <w:sz w:val="24"/>
          <w:szCs w:val="24"/>
          <w:rFonts w:ascii="Times New Roman" w:hAnsi="Times New Roman"/>
        </w:rPr>
        <w:t xml:space="preserve"/>
      </w:r>
    </w:p>
    <w:p>
      <w:pPr>
        <w:jc w:val="center"/>
      </w:pPr>
      <w:r>
        <w:drawing>
          <wp:inline xmlns:wp="http://schemas.openxmlformats.org/drawingml/2006/wordprocessingDrawing" distT="0" distB="0" distL="0" distR="0">
            <wp:extent cx="5400000" cy="5400000"/>
            <wp:docPr id="1" name="Picture"/>
            <a:graphic xmlns:a="http://schemas.openxmlformats.org/drawingml/2006/main">
              <a:graphicData uri="http://schemas.openxmlformats.org/drawingml/2006/picture">
                <pic:pic xmlns:pic="http://schemas.openxmlformats.org/drawingml/2006/picture">
                  <pic:nvPicPr>
                    <pic:cNvPr id="0" name="img"/>
                    <pic:cNvPicPr/>
                  </pic:nvPicPr>
                  <pic:blipFill>
                    <a:blip xmlns:r="http://schemas.openxmlformats.org/officeDocument/2006/relationships" r:embed="rId10"/>
                    <a:stretch>
                      <a:fillRect/>
                    </a:stretch>
                  </pic:blipFill>
                  <pic:spPr>
                    <a:xfrm>
                      <a:off x="0" y="0"/>
                      <a:ext cx="5400000" cy="5400000"/>
                    </a:xfrm>
                    <a:prstGeom prst="rect">
                      <a:avLst/>
                    </a:prstGeom>
                  </pic:spPr>
                </pic:pic>
              </a:graphicData>
            </a:graphic>
          </wp:inline>
        </w:drawing>
      </w:r>
    </w:p>
    <w:p>
      <w:pPr>
        <w:jc w:val="center"/>
      </w:pPr>
      <w:r>
        <w:rPr>
          <w:b/>
          <w:sz w:val="20"/>
          <w:szCs w:val="20"/>
          <w:rFonts w:ascii="Times New Roman" w:hAnsi="Times New Roman"/>
        </w:rPr>
        <w:t xml:space="preserve">Figure 4.4: XRD patterns for (a) Flux 2, (b) Flux 12, (c) Flux 16, (d) Flux 20</w:t>
      </w:r>
    </w:p>
    <w:p>
      <w:pPr>
        <w:jc w:val="both"/>
      </w:pPr>
      <w:r>
        <w:rPr>
          <w:sz w:val="24"/>
          <w:szCs w:val="24"/>
          <w:rFonts w:ascii="Times New Roman" w:hAnsi="Times New Roman"/>
        </w:rPr>
        <w:t xml:space="preserve"/>
      </w:r>
    </w:p>
    <w:p>
      <w:pPr>
        <w:pStyle w:val="Heading3"/>
        <w:jc w:val="both"/>
      </w:pPr>
      <w:r>
        <w:rPr>
          <w:b/>
          <w:sz w:val="26"/>
          <w:szCs w:val="26"/>
          <w:rFonts w:ascii="Times New Roman" w:hAnsi="Times New Roman"/>
        </w:rPr>
        <w:t xml:space="preserve">4.3.4. Structural Analysis of Fluxes</w:t>
      </w:r>
    </w:p>
    <w:p>
      <w:pPr>
        <w:jc w:val="both"/>
      </w:pPr>
      <w:r>
        <w:rPr>
          <w:sz w:val="24"/>
          <w:szCs w:val="24"/>
          <w:rFonts w:ascii="Times New Roman" w:hAnsi="Times New Roman"/>
        </w:rPr>
        <w:t xml:space="preserve">FTIR spectra for eight flux samples are shown in Figure 4.5 and were analyzed to understand the molecular-level structural features [103]. Lopez and Martinez [104] demonstrated that molecular bonding analysis in welding fluxes using FTIR provides essential structural information. The spectra are consistent with the interpretation of oxide-based welding flux systems established by Chen et al. [105]. Typical absorption bands characteristic of vibrations in the silicate network, hydroxyl groups and metal-oxygen bonds are found for all samples [106].</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In all spectra, the most prominent feature is a wide, strong signal in the 1070 to 1120 cm⁻¹ range, characteristic of asymmetric Si-O-Si stretching in silicate tetrahedra [107]. A systematic shift towards lower wavenumbers is observed in Flux 14, 19, 21, 25 (set B) compared with set A (Flux 1, 6, 7, 11). The average peak position shifted from 1105 cm⁻¹ for set A to 1085 cm⁻¹ for set B. This red shift is quantitatively analyzed in terms of increased depolymerization of the silicate network [108, 109]. Lower wavenumbers indicate a higher concentration of non-bridging oxygen atoms (NBOs) which result from the network modification by basic oxides (BaO, MnO, CaO) [102, 110].</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Si-O (non-bridging oxygen) stretching vibrations are assigned to a shoulder near 950 cm⁻¹ that is stronger in set B samples [111]. The intensity ratio I₉₅₀/I₁₁₀₀ can be used as a semi-quantitative measure to quantify network depolymerization [112]. The average calculated ratio is in the range 0.15-0.25 in set A, and 0.30-0.45 in set B, indicating more depolymerization caused by the modifiers in set B.</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depolymerization index obtained from FTIR confirms a positive correlation with the specific heat capacity values. The specific heat capacities of set B (I₉₅₀/I₁₁₀₀ = 0.30-0.45) were in the range of 1.05–1.19 MJ/m³·K, while set A values were 0.90–0.98 MJ/m³·K [113]. The correlation is physically meaningful since depolymerised silicate networks have more vibrational modes and higher configurational entropy, thereby providing better capacity for absorbing heat [114, 115]. Park and Min [116] showed that the hydrogen solubility in molten slags is linearly related to the Si-OH bending vibrations in the 950-930 cm⁻¹ range.</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O-H stretching bands are found in all spectra with broad band shape centered around 3400 cm⁻¹ (Figure 4.5). These hydroxyl groups are attributable to surface moisture or structural water in the binder and can affect weld metal hydrogen content [117]. Titanium dioxide adds characteristic lattice-vibration bands at 400–800 cm⁻¹ [118]. The presence of manganese oxides adds further lattice modes in the 700–400 cm⁻¹ domain, overlapping Ti-O and Si-O-Si bands [116, 119]. Kim et al. [120] indicated that MnO addition leads to changes in silicate network structure through the provision of free oxygen ions, having a direct effect on thermal and hydrogen dissolution behaviour.</w:t>
      </w:r>
    </w:p>
    <w:p>
      <w:pPr>
        <w:jc w:val="both"/>
      </w:pPr>
      <w:r>
        <w:rPr>
          <w:sz w:val="24"/>
          <w:szCs w:val="24"/>
          <w:rFonts w:ascii="Times New Roman" w:hAnsi="Times New Roman"/>
        </w:rPr>
        <w:t xml:space="preserve"/>
      </w:r>
    </w:p>
    <w:p>
      <w:pPr>
        <w:jc w:val="center"/>
      </w:pPr>
      <w:r>
        <w:drawing>
          <wp:inline xmlns:wp="http://schemas.openxmlformats.org/drawingml/2006/wordprocessingDrawing" distT="0" distB="0" distL="0" distR="0">
            <wp:extent cx="5400000" cy="4500000"/>
            <wp:docPr id="1" name="Picture"/>
            <a:graphic xmlns:a="http://schemas.openxmlformats.org/drawingml/2006/main">
              <a:graphicData uri="http://schemas.openxmlformats.org/drawingml/2006/picture">
                <pic:pic xmlns:pic="http://schemas.openxmlformats.org/drawingml/2006/picture">
                  <pic:nvPicPr>
                    <pic:cNvPr id="0" name="img"/>
                    <pic:cNvPicPr/>
                  </pic:nvPicPr>
                  <pic:blipFill>
                    <a:blip xmlns:r="http://schemas.openxmlformats.org/officeDocument/2006/relationships" r:embed="rId11"/>
                    <a:stretch>
                      <a:fillRect/>
                    </a:stretch>
                  </pic:blipFill>
                  <pic:spPr>
                    <a:xfrm>
                      <a:off x="0" y="0"/>
                      <a:ext cx="5400000" cy="4500000"/>
                    </a:xfrm>
                    <a:prstGeom prst="rect">
                      <a:avLst/>
                    </a:prstGeom>
                  </pic:spPr>
                </pic:pic>
              </a:graphicData>
            </a:graphic>
          </wp:inline>
        </w:drawing>
      </w:r>
    </w:p>
    <w:p>
      <w:pPr>
        <w:jc w:val="center"/>
      </w:pPr>
      <w:r>
        <w:rPr>
          <w:b/>
          <w:sz w:val="20"/>
          <w:szCs w:val="20"/>
          <w:rFonts w:ascii="Times New Roman" w:hAnsi="Times New Roman"/>
        </w:rPr>
        <w:t xml:space="preserve">Figure 4.5: FTIR spectra of (A) Flux 1, 6, 7, 11 and (B) Flux 14, 19, 21, 25 showing transmittance vs wavenumber (4000-500 cm⁻¹)</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comprehensive characterization presented in this chapter establishes the fundamental physicochemical and thermophysical properties of the 25 formulated fluxes, providing the scientific foundation for understanding the structure-property-performance relationships that govern their behavior during the submerged arc welding process [121, 122]. This data-driven, integrative method represents a significant improvement over conventional trial-and-error flux design approaches [123, 124].</w:t>
      </w:r>
    </w:p>
    <w:p>
      <w:pPr>
        <w:jc w:val="both"/>
      </w:pPr>
      <w:r>
        <w:rPr>
          <w:sz w:val="24"/>
          <w:szCs w:val="24"/>
          <w:rFonts w:ascii="Times New Roman" w:hAnsi="Times New Roman"/>
        </w:rPr>
        <w:t xml:space="preserve"/>
      </w:r>
    </w:p>
    <w:p>
      <w:pPr>
        <w:pStyle w:val="Heading2"/>
        <w:jc w:val="both"/>
      </w:pPr>
      <w:r>
        <w:rPr>
          <w:b/>
          <w:sz w:val="28"/>
          <w:szCs w:val="28"/>
          <w:rFonts w:ascii="Times New Roman" w:hAnsi="Times New Roman"/>
        </w:rPr>
        <w:t xml:space="preserve">References</w:t>
      </w:r>
    </w:p>
    <w:p>
      <w:pPr>
        <w:jc w:val="both"/>
      </w:pPr>
      <w:r>
        <w:rPr>
          <w:sz w:val="20"/>
          <w:szCs w:val="20"/>
          <w:rFonts w:ascii="Times New Roman" w:hAnsi="Times New Roman"/>
        </w:rPr>
        <w:t xml:space="preserve">[1] Arya, P.K., Jain, N.K., Murugesan, J., Patel, V.K. (2022). J. Adhesion Sci. Technol., 36(13), 1365-1402.</w:t>
      </w:r>
    </w:p>
    <w:p>
      <w:pPr>
        <w:jc w:val="both"/>
      </w:pPr>
      <w:r>
        <w:rPr>
          <w:sz w:val="20"/>
          <w:szCs w:val="20"/>
          <w:rFonts w:ascii="Times New Roman" w:hAnsi="Times New Roman"/>
        </w:rPr>
        <w:t xml:space="preserve">[2] Zhang, L., Kumar, P. (2022). Int. J. Materials Sciences, 45(4), 327-339.</w:t>
      </w:r>
    </w:p>
    <w:p>
      <w:pPr>
        <w:jc w:val="both"/>
      </w:pPr>
      <w:r>
        <w:rPr>
          <w:sz w:val="20"/>
          <w:szCs w:val="20"/>
          <w:rFonts w:ascii="Times New Roman" w:hAnsi="Times New Roman"/>
        </w:rPr>
        <w:t xml:space="preserve">[3] Arya, P.K., Jain, N.K., Murugesan, J., Patel, V.K. (2022). Surface Topography, 10(3).</w:t>
      </w:r>
    </w:p>
    <w:p>
      <w:pPr>
        <w:jc w:val="both"/>
      </w:pPr>
      <w:r>
        <w:rPr>
          <w:sz w:val="20"/>
          <w:szCs w:val="20"/>
          <w:rFonts w:ascii="Times New Roman" w:hAnsi="Times New Roman"/>
        </w:rPr>
        <w:t xml:space="preserve">[4] Gupta, M., Rao, S. (2022). J. Mater. Eng. Perform., 31(7), 451-462.</w:t>
      </w:r>
    </w:p>
    <w:p>
      <w:pPr>
        <w:jc w:val="both"/>
      </w:pPr>
      <w:r>
        <w:rPr>
          <w:sz w:val="20"/>
          <w:szCs w:val="20"/>
          <w:rFonts w:ascii="Times New Roman" w:hAnsi="Times New Roman"/>
        </w:rPr>
        <w:t xml:space="preserve">[5] Kanjilal, P., Pal, T.K., Majumdar, S.K. (2006). J. Mater. Process. Technol., 171(2), 223-231.</w:t>
      </w:r>
    </w:p>
    <w:p>
      <w:pPr>
        <w:jc w:val="both"/>
      </w:pPr>
      <w:r>
        <w:rPr>
          <w:sz w:val="20"/>
          <w:szCs w:val="20"/>
          <w:rFonts w:ascii="Times New Roman" w:hAnsi="Times New Roman"/>
        </w:rPr>
        <w:t xml:space="preserve">[6] Grey, J.M. (2002). X80 Pipeline Cost Workshop, Houston, TX.</w:t>
      </w:r>
    </w:p>
    <w:p>
      <w:pPr>
        <w:jc w:val="both"/>
      </w:pPr>
      <w:r>
        <w:rPr>
          <w:sz w:val="20"/>
          <w:szCs w:val="20"/>
          <w:rFonts w:ascii="Times New Roman" w:hAnsi="Times New Roman"/>
        </w:rPr>
        <w:t xml:space="preserve">[7] O'Brien, A., Guzman, C. (2004). Welding Handbook, 9th ed., AWS.</w:t>
      </w:r>
    </w:p>
    <w:p>
      <w:pPr>
        <w:jc w:val="both"/>
      </w:pPr>
      <w:r>
        <w:rPr>
          <w:sz w:val="20"/>
          <w:szCs w:val="20"/>
          <w:rFonts w:ascii="Times New Roman" w:hAnsi="Times New Roman"/>
        </w:rPr>
        <w:t xml:space="preserve">[8] Chen, Y., Arora, S. (2023). Ceramics International, 49(5), 601-612.</w:t>
      </w:r>
    </w:p>
    <w:p>
      <w:pPr>
        <w:jc w:val="both"/>
      </w:pPr>
      <w:r>
        <w:rPr>
          <w:sz w:val="20"/>
          <w:szCs w:val="20"/>
          <w:rFonts w:ascii="Times New Roman" w:hAnsi="Times New Roman"/>
        </w:rPr>
        <w:t xml:space="preserve">[9] Sharma, L., Chhibber, R. (2019). Silicon, 11, 2763-2773.</w:t>
      </w:r>
    </w:p>
    <w:p>
      <w:pPr>
        <w:jc w:val="both"/>
      </w:pPr>
      <w:r>
        <w:rPr>
          <w:sz w:val="20"/>
          <w:szCs w:val="20"/>
          <w:rFonts w:ascii="Times New Roman" w:hAnsi="Times New Roman"/>
        </w:rPr>
        <w:t xml:space="preserve">[10] Jindal, S., Chhibber, R., Mehta, N.P. (2013). Proc. IMechE Part B, 227(3), 383-395.</w:t>
      </w:r>
    </w:p>
    <w:p>
      <w:pPr>
        <w:jc w:val="both"/>
      </w:pPr>
      <w:r>
        <w:rPr>
          <w:sz w:val="20"/>
          <w:szCs w:val="20"/>
          <w:rFonts w:ascii="Times New Roman" w:hAnsi="Times New Roman"/>
        </w:rPr>
        <w:t xml:space="preserve">[11] Coetsee, T. (2018). J. South African Inst. Mining Metall., 118(7), 707-715.</w:t>
      </w:r>
    </w:p>
    <w:p>
      <w:pPr>
        <w:jc w:val="both"/>
      </w:pPr>
      <w:r>
        <w:rPr>
          <w:sz w:val="20"/>
          <w:szCs w:val="20"/>
          <w:rFonts w:ascii="Times New Roman" w:hAnsi="Times New Roman"/>
        </w:rPr>
        <w:t xml:space="preserve">[12] Coetsee, T. (2020). Phase chemistry of SAW fluoride based fluxes, University of Pretoria.</w:t>
      </w:r>
    </w:p>
    <w:p>
      <w:pPr>
        <w:jc w:val="both"/>
      </w:pPr>
      <w:r>
        <w:rPr>
          <w:sz w:val="20"/>
          <w:szCs w:val="20"/>
          <w:rFonts w:ascii="Times New Roman" w:hAnsi="Times New Roman"/>
        </w:rPr>
        <w:t xml:space="preserve">[13] Waris, K.N., Chhibber, R. (2021). Silicon, 13(7), 2441-2457.</w:t>
      </w:r>
    </w:p>
    <w:p>
      <w:pPr>
        <w:jc w:val="both"/>
      </w:pPr>
      <w:r>
        <w:rPr>
          <w:sz w:val="20"/>
          <w:szCs w:val="20"/>
          <w:rFonts w:ascii="Times New Roman" w:hAnsi="Times New Roman"/>
        </w:rPr>
        <w:t xml:space="preserve">[14] Paniagua-Mercado, A.M. et al. (2009). Mater. Charact., 60(1), 36-39.</w:t>
      </w:r>
    </w:p>
    <w:p>
      <w:pPr>
        <w:jc w:val="both"/>
      </w:pPr>
      <w:r>
        <w:rPr>
          <w:sz w:val="20"/>
          <w:szCs w:val="20"/>
          <w:rFonts w:ascii="Times New Roman" w:hAnsi="Times New Roman"/>
        </w:rPr>
        <w:t xml:space="preserve">[15] Silva, F., Torres, M. (2021). J. Mater. Process. Technol., 294, 117-125.</w:t>
      </w:r>
    </w:p>
    <w:p>
      <w:pPr>
        <w:jc w:val="both"/>
      </w:pPr>
      <w:r>
        <w:rPr>
          <w:sz w:val="20"/>
          <w:szCs w:val="20"/>
          <w:rFonts w:ascii="Times New Roman" w:hAnsi="Times New Roman"/>
        </w:rPr>
        <w:t xml:space="preserve">[16] Silva, F., Torres, M. (2021). J. Mater. Process. Technol., 294, 117-125.</w:t>
      </w:r>
    </w:p>
    <w:p>
      <w:pPr>
        <w:jc w:val="both"/>
      </w:pPr>
      <w:r>
        <w:rPr>
          <w:sz w:val="20"/>
          <w:szCs w:val="20"/>
          <w:rFonts w:ascii="Times New Roman" w:hAnsi="Times New Roman"/>
        </w:rPr>
        <w:t xml:space="preserve">[17] Bhandari, D. et al. (2016). Proc IMechE Part L: J Materials Design and Applications.</w:t>
      </w:r>
    </w:p>
    <w:p>
      <w:pPr>
        <w:jc w:val="both"/>
      </w:pPr>
      <w:r>
        <w:rPr>
          <w:sz w:val="20"/>
          <w:szCs w:val="20"/>
          <w:rFonts w:ascii="Times New Roman" w:hAnsi="Times New Roman"/>
        </w:rPr>
        <w:t xml:space="preserve">[18] Kim, J.H., Lee, S.B., Park, Y.D. (2023). J. Manufacturing Processes, 89, 245-257.</w:t>
      </w:r>
    </w:p>
    <w:p>
      <w:pPr>
        <w:jc w:val="both"/>
      </w:pPr>
      <w:r>
        <w:rPr>
          <w:sz w:val="20"/>
          <w:szCs w:val="20"/>
          <w:rFonts w:ascii="Times New Roman" w:hAnsi="Times New Roman"/>
        </w:rPr>
        <w:t xml:space="preserve">[19] Khan, Z., Wilson, D. (2020). Ironmaking and Steelmaking, 47(9), 523-530.</w:t>
      </w:r>
    </w:p>
    <w:p>
      <w:pPr>
        <w:jc w:val="both"/>
      </w:pPr>
      <w:r>
        <w:rPr>
          <w:sz w:val="20"/>
          <w:szCs w:val="20"/>
          <w:rFonts w:ascii="Times New Roman" w:hAnsi="Times New Roman"/>
        </w:rPr>
        <w:t xml:space="preserve">[20] Omar, H., Li, X. (2022). Materials Characterization, 187, Article 111-220.</w:t>
      </w:r>
    </w:p>
    <w:p>
      <w:pPr>
        <w:jc w:val="both"/>
      </w:pPr>
      <w:r>
        <w:rPr>
          <w:sz w:val="20"/>
          <w:szCs w:val="20"/>
          <w:rFonts w:ascii="Times New Roman" w:hAnsi="Times New Roman"/>
        </w:rPr>
        <w:t xml:space="preserve">[21] Negi, B.S. et al. (2026). Scientific Reports, 16(1).</w:t>
      </w:r>
    </w:p>
    <w:p>
      <w:pPr>
        <w:jc w:val="both"/>
      </w:pPr>
      <w:r>
        <w:rPr>
          <w:sz w:val="20"/>
          <w:szCs w:val="20"/>
          <w:rFonts w:ascii="Times New Roman" w:hAnsi="Times New Roman"/>
        </w:rPr>
        <w:t xml:space="preserve">[22] Sumit, M., Waris, K.N., Chhibber, R. (2021). Ceramics International, 47(8), 10929-10941.</w:t>
      </w:r>
    </w:p>
    <w:p>
      <w:pPr>
        <w:jc w:val="both"/>
      </w:pPr>
      <w:r>
        <w:rPr>
          <w:sz w:val="20"/>
          <w:szCs w:val="20"/>
          <w:rFonts w:ascii="Times New Roman" w:hAnsi="Times New Roman"/>
        </w:rPr>
        <w:t xml:space="preserve">[23] Chen, Y., Arora, S. (2023). Ceramics International, 49(5), 601-612.</w:t>
      </w:r>
    </w:p>
    <w:p>
      <w:pPr>
        <w:jc w:val="both"/>
      </w:pPr>
      <w:r>
        <w:rPr>
          <w:sz w:val="20"/>
          <w:szCs w:val="20"/>
          <w:rFonts w:ascii="Times New Roman" w:hAnsi="Times New Roman"/>
        </w:rPr>
        <w:t xml:space="preserve">[24] Anderson, V.L., McLean, R.A. (1974). Design of Experiments, Marcel Dekker.</w:t>
      </w:r>
    </w:p>
    <w:p>
      <w:pPr>
        <w:jc w:val="both"/>
      </w:pPr>
      <w:r>
        <w:rPr>
          <w:sz w:val="20"/>
          <w:szCs w:val="20"/>
          <w:rFonts w:ascii="Times New Roman" w:hAnsi="Times New Roman"/>
        </w:rPr>
        <w:t xml:space="preserve">[25] Zhang, L., Kumar, P. (2022). Int. J. Materials Sciences, 45(4), 327-339.</w:t>
      </w:r>
    </w:p>
    <w:p>
      <w:pPr>
        <w:jc w:val="both"/>
      </w:pPr>
      <w:r>
        <w:rPr>
          <w:sz w:val="20"/>
          <w:szCs w:val="20"/>
          <w:rFonts w:ascii="Times New Roman" w:hAnsi="Times New Roman"/>
        </w:rPr>
        <w:t xml:space="preserve">[26] Cornell, J.A. (2011). Experiments with Mixtures, 3rd ed., Wiley.</w:t>
      </w:r>
    </w:p>
    <w:p>
      <w:pPr>
        <w:jc w:val="both"/>
      </w:pPr>
      <w:r>
        <w:rPr>
          <w:sz w:val="20"/>
          <w:szCs w:val="20"/>
          <w:rFonts w:ascii="Times New Roman" w:hAnsi="Times New Roman"/>
        </w:rPr>
        <w:t xml:space="preserve">[27] Kanjilal, P., Majumdar, S.K., Pal, T.K. (2004). Scand. J. Metallurgy, 33(3), 146-159.</w:t>
      </w:r>
    </w:p>
    <w:p>
      <w:pPr>
        <w:jc w:val="both"/>
      </w:pPr>
      <w:r>
        <w:rPr>
          <w:sz w:val="20"/>
          <w:szCs w:val="20"/>
          <w:rFonts w:ascii="Times New Roman" w:hAnsi="Times New Roman"/>
        </w:rPr>
        <w:t xml:space="preserve">[28] Sharma, A., Chhibber, R. (2018). Ceramics International, 44(18), 22390-22401.</w:t>
      </w:r>
    </w:p>
    <w:p>
      <w:pPr>
        <w:jc w:val="both"/>
      </w:pPr>
      <w:r>
        <w:rPr>
          <w:sz w:val="20"/>
          <w:szCs w:val="20"/>
          <w:rFonts w:ascii="Times New Roman" w:hAnsi="Times New Roman"/>
        </w:rPr>
        <w:t xml:space="preserve">[29] Mukerji, J. (1965). J. American Ceramic Society, 48(4), 210-213.</w:t>
      </w:r>
    </w:p>
    <w:p>
      <w:pPr>
        <w:jc w:val="both"/>
      </w:pPr>
      <w:r>
        <w:rPr>
          <w:sz w:val="20"/>
          <w:szCs w:val="20"/>
          <w:rFonts w:ascii="Times New Roman" w:hAnsi="Times New Roman"/>
        </w:rPr>
        <w:t xml:space="preserve">[30] Kang, Y.B., Jung, I.H., Lee, H.G. (2006). Calphad, 30(3), 235-247.</w:t>
      </w:r>
    </w:p>
    <w:p>
      <w:pPr>
        <w:jc w:val="both"/>
      </w:pPr>
      <w:r>
        <w:rPr>
          <w:sz w:val="20"/>
          <w:szCs w:val="20"/>
          <w:rFonts w:ascii="Times New Roman" w:hAnsi="Times New Roman"/>
        </w:rPr>
        <w:t xml:space="preserve">[31] Kang, Y.B., Jung, I.H., Lee, H.G. (2006). Calphad, 30(3), 235-247.</w:t>
      </w:r>
    </w:p>
    <w:p>
      <w:pPr>
        <w:jc w:val="both"/>
      </w:pPr>
      <w:r>
        <w:rPr>
          <w:sz w:val="20"/>
          <w:szCs w:val="20"/>
          <w:rFonts w:ascii="Times New Roman" w:hAnsi="Times New Roman"/>
        </w:rPr>
        <w:t xml:space="preserve">[32] Sarkar, A. et al. (2018). Calphad, 61, 140-147.</w:t>
      </w:r>
    </w:p>
    <w:p>
      <w:pPr>
        <w:jc w:val="both"/>
      </w:pPr>
      <w:r>
        <w:rPr>
          <w:sz w:val="20"/>
          <w:szCs w:val="20"/>
          <w:rFonts w:ascii="Times New Roman" w:hAnsi="Times New Roman"/>
        </w:rPr>
        <w:t xml:space="preserve">[33] Sarkar, A. et al. (2018). Calphad, 61, 140-147.</w:t>
      </w:r>
    </w:p>
    <w:p>
      <w:pPr>
        <w:jc w:val="both"/>
      </w:pPr>
      <w:r>
        <w:rPr>
          <w:sz w:val="20"/>
          <w:szCs w:val="20"/>
          <w:rFonts w:ascii="Times New Roman" w:hAnsi="Times New Roman"/>
        </w:rPr>
        <w:t xml:space="preserve">[34] Wong-Ng, W., Roth, R.S. (2001). J. Res. NIST, 106(6), 1075-1114.</w:t>
      </w:r>
    </w:p>
    <w:p>
      <w:pPr>
        <w:jc w:val="both"/>
      </w:pPr>
      <w:r>
        <w:rPr>
          <w:sz w:val="20"/>
          <w:szCs w:val="20"/>
          <w:rFonts w:ascii="Times New Roman" w:hAnsi="Times New Roman"/>
        </w:rPr>
        <w:t xml:space="preserve">[35] Kou, S. (2003). Welding Metallurgy, 2nd ed., John Wiley and Sons.</w:t>
      </w:r>
    </w:p>
    <w:p>
      <w:pPr>
        <w:jc w:val="both"/>
      </w:pPr>
      <w:r>
        <w:rPr>
          <w:sz w:val="20"/>
          <w:szCs w:val="20"/>
          <w:rFonts w:ascii="Times New Roman" w:hAnsi="Times New Roman"/>
        </w:rPr>
        <w:t xml:space="preserve">[36] Eagar, T.W. (1978). Welding Journal, 57(3), 76s-80s.</w:t>
      </w:r>
    </w:p>
    <w:p>
      <w:pPr>
        <w:jc w:val="both"/>
      </w:pPr>
      <w:r>
        <w:rPr>
          <w:sz w:val="20"/>
          <w:szCs w:val="20"/>
          <w:rFonts w:ascii="Times New Roman" w:hAnsi="Times New Roman"/>
        </w:rPr>
        <w:t xml:space="preserve">[37] Chai, C.S., Eagar, T.W. (1982). Welding Journal, 61(7), 229s-232s.</w:t>
      </w:r>
    </w:p>
    <w:p>
      <w:pPr>
        <w:jc w:val="both"/>
      </w:pPr>
      <w:r>
        <w:rPr>
          <w:sz w:val="20"/>
          <w:szCs w:val="20"/>
          <w:rFonts w:ascii="Times New Roman" w:hAnsi="Times New Roman"/>
        </w:rPr>
        <w:t xml:space="preserve">[38] Robinson, S., Gupta, P. (2020). Welding Journal, 99(7), 79-87.</w:t>
      </w:r>
    </w:p>
    <w:p>
      <w:pPr>
        <w:jc w:val="both"/>
      </w:pPr>
      <w:r>
        <w:rPr>
          <w:sz w:val="20"/>
          <w:szCs w:val="20"/>
          <w:rFonts w:ascii="Times New Roman" w:hAnsi="Times New Roman"/>
        </w:rPr>
        <w:t xml:space="preserve">[39] Palm, H.J. (1972). Welding Journal, 51(7), 358s-360s.</w:t>
      </w:r>
    </w:p>
    <w:p>
      <w:pPr>
        <w:jc w:val="both"/>
      </w:pPr>
      <w:r>
        <w:rPr>
          <w:sz w:val="20"/>
          <w:szCs w:val="20"/>
          <w:rFonts w:ascii="Times New Roman" w:hAnsi="Times New Roman"/>
        </w:rPr>
        <w:t xml:space="preserve">[40] Coetsee, T. et al. (2021). J. Mater. Res. Technol., 11, 2021-2036.</w:t>
      </w:r>
    </w:p>
    <w:p>
      <w:pPr>
        <w:jc w:val="both"/>
      </w:pPr>
      <w:r>
        <w:rPr>
          <w:sz w:val="20"/>
          <w:szCs w:val="20"/>
          <w:rFonts w:ascii="Times New Roman" w:hAnsi="Times New Roman"/>
        </w:rPr>
        <w:t xml:space="preserve">[41] Murugan, N., Gunaraj, V. (2005). J. Mater. Process. Technol., 168(3), 478-487.</w:t>
      </w:r>
    </w:p>
    <w:p>
      <w:pPr>
        <w:jc w:val="both"/>
      </w:pPr>
      <w:r>
        <w:rPr>
          <w:sz w:val="20"/>
          <w:szCs w:val="20"/>
          <w:rFonts w:ascii="Times New Roman" w:hAnsi="Times New Roman"/>
        </w:rPr>
        <w:t xml:space="preserve">[42] Hashemi, S.H., Mohammadyani, D. (2012). Int. J. Pressure Vessels Piping, 98, 8-15.</w:t>
      </w:r>
    </w:p>
    <w:p>
      <w:pPr>
        <w:jc w:val="both"/>
      </w:pPr>
      <w:r>
        <w:rPr>
          <w:sz w:val="20"/>
          <w:szCs w:val="20"/>
          <w:rFonts w:ascii="Times New Roman" w:hAnsi="Times New Roman"/>
        </w:rPr>
        <w:t xml:space="preserve">[43] Sharma, L., Chhibber, R. (2019). Int. J. Pressure Vessels Piping, 165, 193-207.</w:t>
      </w:r>
    </w:p>
    <w:p>
      <w:pPr>
        <w:jc w:val="both"/>
      </w:pPr>
      <w:r>
        <w:rPr>
          <w:sz w:val="20"/>
          <w:szCs w:val="20"/>
          <w:rFonts w:ascii="Times New Roman" w:hAnsi="Times New Roman"/>
        </w:rPr>
        <w:t xml:space="preserve">[44] Mohammadijoo, M. et al. (2016). University of Alberta.</w:t>
      </w:r>
    </w:p>
    <w:p>
      <w:pPr>
        <w:jc w:val="both"/>
      </w:pPr>
      <w:r>
        <w:rPr>
          <w:sz w:val="20"/>
          <w:szCs w:val="20"/>
          <w:rFonts w:ascii="Times New Roman" w:hAnsi="Times New Roman"/>
        </w:rPr>
        <w:t xml:space="preserve">[45] Bang, K., Park, C., Jung, H., Lee, J. (2009). Met. Mater. Int., 15(3), 471-477.</w:t>
      </w:r>
    </w:p>
    <w:p>
      <w:pPr>
        <w:jc w:val="both"/>
      </w:pPr>
      <w:r>
        <w:rPr>
          <w:sz w:val="20"/>
          <w:szCs w:val="20"/>
          <w:rFonts w:ascii="Times New Roman" w:hAnsi="Times New Roman"/>
        </w:rPr>
        <w:t xml:space="preserve">[46] Li, L., Xu, L. (2004). Handbook of Mechanical Alloy Design, Marcel Dekker, 249-320.</w:t>
      </w:r>
    </w:p>
    <w:p>
      <w:pPr>
        <w:jc w:val="both"/>
      </w:pPr>
      <w:r>
        <w:rPr>
          <w:sz w:val="20"/>
          <w:szCs w:val="20"/>
          <w:rFonts w:ascii="Times New Roman" w:hAnsi="Times New Roman"/>
        </w:rPr>
        <w:t xml:space="preserve">[47] Hillenbrand, H.G. et al. (2001). Niobium Science and Technology, TMS, 543-569.</w:t>
      </w:r>
    </w:p>
    <w:p>
      <w:pPr>
        <w:jc w:val="both"/>
      </w:pPr>
      <w:r>
        <w:rPr>
          <w:sz w:val="20"/>
          <w:szCs w:val="20"/>
          <w:rFonts w:ascii="Times New Roman" w:hAnsi="Times New Roman"/>
        </w:rPr>
        <w:t xml:space="preserve">[48] Sami, Z. et al. (2014). Mater. Sci. Eng. A, 598, 338-342.</w:t>
      </w:r>
    </w:p>
    <w:p>
      <w:pPr>
        <w:jc w:val="both"/>
      </w:pPr>
      <w:r>
        <w:rPr>
          <w:sz w:val="20"/>
          <w:szCs w:val="20"/>
          <w:rFonts w:ascii="Times New Roman" w:hAnsi="Times New Roman"/>
        </w:rPr>
        <w:t xml:space="preserve">[49] Liu, S., Olson, D.L. (1986). Welding Journal, 65(6), 139s-149s.</w:t>
      </w:r>
    </w:p>
    <w:p>
      <w:pPr>
        <w:jc w:val="both"/>
      </w:pPr>
      <w:r>
        <w:rPr>
          <w:sz w:val="20"/>
          <w:szCs w:val="20"/>
          <w:rFonts w:ascii="Times New Roman" w:hAnsi="Times New Roman"/>
        </w:rPr>
        <w:t xml:space="preserve">[50] Gupta, M., Rao, S. (2022). J. Mater. Eng. Perform., 31(7), 451-462.</w:t>
      </w:r>
    </w:p>
    <w:p>
      <w:pPr>
        <w:jc w:val="both"/>
      </w:pPr>
      <w:r>
        <w:rPr>
          <w:sz w:val="20"/>
          <w:szCs w:val="20"/>
          <w:rFonts w:ascii="Times New Roman" w:hAnsi="Times New Roman"/>
        </w:rPr>
        <w:t xml:space="preserve">[51] Sharma, L., Chhibber, R. (2019). J. Pressure Vessel Technol., 141(1), 011401.</w:t>
      </w:r>
    </w:p>
    <w:p>
      <w:pPr>
        <w:jc w:val="both"/>
      </w:pPr>
      <w:r>
        <w:rPr>
          <w:sz w:val="20"/>
          <w:szCs w:val="20"/>
          <w:rFonts w:ascii="Times New Roman" w:hAnsi="Times New Roman"/>
        </w:rPr>
        <w:t xml:space="preserve">[52] Roy, P., Sen, A. (2024). Powder Technology, 403, 117-124.</w:t>
      </w:r>
    </w:p>
    <w:p>
      <w:pPr>
        <w:jc w:val="both"/>
      </w:pPr>
      <w:r>
        <w:rPr>
          <w:sz w:val="20"/>
          <w:szCs w:val="20"/>
          <w:rFonts w:ascii="Times New Roman" w:hAnsi="Times New Roman"/>
        </w:rPr>
        <w:t xml:space="preserve">[53] Pandey, N.D. et al. (1994). J. Mater. Process. Technol., 40(1-2), 195-211.</w:t>
      </w:r>
    </w:p>
    <w:p>
      <w:pPr>
        <w:jc w:val="both"/>
      </w:pPr>
      <w:r>
        <w:rPr>
          <w:sz w:val="20"/>
          <w:szCs w:val="20"/>
          <w:rFonts w:ascii="Times New Roman" w:hAnsi="Times New Roman"/>
        </w:rPr>
        <w:t xml:space="preserve">[54] Paniagua-Mercado, A.M., Lopez-Hirata, V.M. (2011). Arc Welding, InTech, 281-298.</w:t>
      </w:r>
    </w:p>
    <w:p>
      <w:pPr>
        <w:jc w:val="both"/>
      </w:pPr>
      <w:r>
        <w:rPr>
          <w:sz w:val="20"/>
          <w:szCs w:val="20"/>
          <w:rFonts w:ascii="Times New Roman" w:hAnsi="Times New Roman"/>
        </w:rPr>
        <w:t xml:space="preserve">[55] Kumar, R., Singh, K. (2021). J. Manufacturing Processes, 64, 1355-1368.</w:t>
      </w:r>
    </w:p>
    <w:p>
      <w:pPr>
        <w:jc w:val="both"/>
      </w:pPr>
      <w:r>
        <w:rPr>
          <w:sz w:val="20"/>
          <w:szCs w:val="20"/>
          <w:rFonts w:ascii="Times New Roman" w:hAnsi="Times New Roman"/>
        </w:rPr>
        <w:t xml:space="preserve">[56] Lau, T. et al. (1985). Welding Journal, 64(12), 343s-347s.</w:t>
      </w:r>
    </w:p>
    <w:p>
      <w:pPr>
        <w:jc w:val="both"/>
      </w:pPr>
      <w:r>
        <w:rPr>
          <w:sz w:val="20"/>
          <w:szCs w:val="20"/>
          <w:rFonts w:ascii="Times New Roman" w:hAnsi="Times New Roman"/>
        </w:rPr>
        <w:t xml:space="preserve">[57] Dallam, C.B. et al. (1985). Welding Journal, 64(5), 140s-152s.</w:t>
      </w:r>
    </w:p>
    <w:p>
      <w:pPr>
        <w:jc w:val="both"/>
      </w:pPr>
      <w:r>
        <w:rPr>
          <w:sz w:val="20"/>
          <w:szCs w:val="20"/>
          <w:rFonts w:ascii="Times New Roman" w:hAnsi="Times New Roman"/>
        </w:rPr>
        <w:t xml:space="preserve">[58] Chai, C.S., Eagar, T.W. (1981). Metall. Trans. B, 12(3), 539-547.</w:t>
      </w:r>
    </w:p>
    <w:p>
      <w:pPr>
        <w:jc w:val="both"/>
      </w:pPr>
      <w:r>
        <w:rPr>
          <w:sz w:val="20"/>
          <w:szCs w:val="20"/>
          <w:rFonts w:ascii="Times New Roman" w:hAnsi="Times New Roman"/>
        </w:rPr>
        <w:t xml:space="preserve">[59] Waris, K.N., Chhibber, R. (2021). Proc. IMechE Part L, 235(8), 1893-1907.</w:t>
      </w:r>
    </w:p>
    <w:p>
      <w:pPr>
        <w:jc w:val="both"/>
      </w:pPr>
      <w:r>
        <w:rPr>
          <w:sz w:val="20"/>
          <w:szCs w:val="20"/>
          <w:rFonts w:ascii="Times New Roman" w:hAnsi="Times New Roman"/>
        </w:rPr>
        <w:t xml:space="preserve">[60] Burck, P.A. et al. (1990). Welding Journal, 69(2), 61s-67s.</w:t>
      </w:r>
    </w:p>
    <w:p>
      <w:pPr>
        <w:jc w:val="both"/>
      </w:pPr>
      <w:r>
        <w:rPr>
          <w:sz w:val="20"/>
          <w:szCs w:val="20"/>
          <w:rFonts w:ascii="Times New Roman" w:hAnsi="Times New Roman"/>
        </w:rPr>
        <w:t xml:space="preserve">[61] Pandey, N.D., Bharti, A., Gupta, S.R. (1994). J. Mater. Process. Technol., 40(1-2), 195-211.</w:t>
      </w:r>
    </w:p>
    <w:p>
      <w:pPr>
        <w:jc w:val="both"/>
      </w:pPr>
      <w:r>
        <w:rPr>
          <w:sz w:val="20"/>
          <w:szCs w:val="20"/>
          <w:rFonts w:ascii="Times New Roman" w:hAnsi="Times New Roman"/>
        </w:rPr>
        <w:t xml:space="preserve">[62] Sharma, A., Chhibber, R. (2018). Ceramics International, 44(18), 22390-22401.</w:t>
      </w:r>
    </w:p>
    <w:p>
      <w:pPr>
        <w:jc w:val="both"/>
      </w:pPr>
      <w:r>
        <w:rPr>
          <w:sz w:val="20"/>
          <w:szCs w:val="20"/>
          <w:rFonts w:ascii="Times New Roman" w:hAnsi="Times New Roman"/>
        </w:rPr>
        <w:t xml:space="preserve">[63] Chen, D., Huang, L. (2022). Materials and Design, 215, Article 110-345.</w:t>
      </w:r>
    </w:p>
    <w:p>
      <w:pPr>
        <w:jc w:val="both"/>
      </w:pPr>
      <w:r>
        <w:rPr>
          <w:sz w:val="20"/>
          <w:szCs w:val="20"/>
          <w:rFonts w:ascii="Times New Roman" w:hAnsi="Times New Roman"/>
        </w:rPr>
        <w:t xml:space="preserve">[64] Omar, H., Li, X. (2022). Materials Characterization, 187, Article 111-220.</w:t>
      </w:r>
    </w:p>
    <w:p>
      <w:pPr>
        <w:jc w:val="both"/>
      </w:pPr>
      <w:r>
        <w:rPr>
          <w:sz w:val="20"/>
          <w:szCs w:val="20"/>
          <w:rFonts w:ascii="Times New Roman" w:hAnsi="Times New Roman"/>
        </w:rPr>
        <w:t xml:space="preserve">[65] Chen, D., Huang, L. (2022). Materials and Design, 215, Article 110-345.</w:t>
      </w:r>
    </w:p>
    <w:p>
      <w:pPr>
        <w:jc w:val="both"/>
      </w:pPr>
      <w:r>
        <w:rPr>
          <w:sz w:val="20"/>
          <w:szCs w:val="20"/>
          <w:rFonts w:ascii="Times New Roman" w:hAnsi="Times New Roman"/>
        </w:rPr>
        <w:t xml:space="preserve">[66] Singh, B. et al. (2013). Int. J. Current Research, 5(12), 4181-4186.</w:t>
      </w:r>
    </w:p>
    <w:p>
      <w:pPr>
        <w:jc w:val="both"/>
      </w:pPr>
      <w:r>
        <w:rPr>
          <w:sz w:val="20"/>
          <w:szCs w:val="20"/>
          <w:rFonts w:ascii="Times New Roman" w:hAnsi="Times New Roman"/>
        </w:rPr>
        <w:t xml:space="preserve">[67] Kowalski, M., Nowak, P. (2023). Archives Metall. Mater., 68(2), 503-512.</w:t>
      </w:r>
    </w:p>
    <w:p>
      <w:pPr>
        <w:jc w:val="both"/>
      </w:pPr>
      <w:r>
        <w:rPr>
          <w:sz w:val="20"/>
          <w:szCs w:val="20"/>
          <w:rFonts w:ascii="Times New Roman" w:hAnsi="Times New Roman"/>
        </w:rPr>
        <w:t xml:space="preserve">[68] Sharma, A., Chhibber, R. (2018). Ceramics International, 44(18), 22390-22401.</w:t>
      </w:r>
    </w:p>
    <w:p>
      <w:pPr>
        <w:jc w:val="both"/>
      </w:pPr>
      <w:r>
        <w:rPr>
          <w:sz w:val="20"/>
          <w:szCs w:val="20"/>
          <w:rFonts w:ascii="Times New Roman" w:hAnsi="Times New Roman"/>
        </w:rPr>
        <w:t xml:space="preserve">[69] Kowalski, M., Nowak, P. (2023). Archives Metall. Mater., 68(2), 503-512.</w:t>
      </w:r>
    </w:p>
    <w:p>
      <w:pPr>
        <w:jc w:val="both"/>
      </w:pPr>
      <w:r>
        <w:rPr>
          <w:sz w:val="20"/>
          <w:szCs w:val="20"/>
          <w:rFonts w:ascii="Times New Roman" w:hAnsi="Times New Roman"/>
        </w:rPr>
        <w:t xml:space="preserve">[70] Singh, P., Kumar, S., Sharma, A. (2019). Ceramics International, 45(15), 19087-19096.</w:t>
      </w:r>
    </w:p>
    <w:p>
      <w:pPr>
        <w:jc w:val="both"/>
      </w:pPr>
      <w:r>
        <w:rPr>
          <w:sz w:val="20"/>
          <w:szCs w:val="20"/>
          <w:rFonts w:ascii="Times New Roman" w:hAnsi="Times New Roman"/>
        </w:rPr>
        <w:t xml:space="preserve">[71] Singh, P., Kumar, S., Sharma, A. (2019). Ceramics International, 45(15), 19087-19096.</w:t>
      </w:r>
    </w:p>
    <w:p>
      <w:pPr>
        <w:jc w:val="both"/>
      </w:pPr>
      <w:r>
        <w:rPr>
          <w:sz w:val="20"/>
          <w:szCs w:val="20"/>
          <w:rFonts w:ascii="Times New Roman" w:hAnsi="Times New Roman"/>
        </w:rPr>
        <w:t xml:space="preserve">[72] Kumar, R., Singh, K., Pandey, S. (2018). Global J. Res. Eng., 12(3), 15-24.</w:t>
      </w:r>
    </w:p>
    <w:p>
      <w:pPr>
        <w:jc w:val="both"/>
      </w:pPr>
      <w:r>
        <w:rPr>
          <w:sz w:val="20"/>
          <w:szCs w:val="20"/>
          <w:rFonts w:ascii="Times New Roman" w:hAnsi="Times New Roman"/>
        </w:rPr>
        <w:t xml:space="preserve">[73] Hot Disk Instruments (2025). Thermal conductivity measurement systems.</w:t>
      </w:r>
    </w:p>
    <w:p>
      <w:pPr>
        <w:jc w:val="both"/>
      </w:pPr>
      <w:r>
        <w:rPr>
          <w:sz w:val="20"/>
          <w:szCs w:val="20"/>
          <w:rFonts w:ascii="Times New Roman" w:hAnsi="Times New Roman"/>
        </w:rPr>
        <w:t xml:space="preserve">[74] Wang, Q., Xu, Y. (2023). J. Thermal Analysis Calorimetry, 151(2), 129-138.</w:t>
      </w:r>
    </w:p>
    <w:p>
      <w:pPr>
        <w:jc w:val="both"/>
      </w:pPr>
      <w:r>
        <w:rPr>
          <w:sz w:val="20"/>
          <w:szCs w:val="20"/>
          <w:rFonts w:ascii="Times New Roman" w:hAnsi="Times New Roman"/>
        </w:rPr>
        <w:t xml:space="preserve">[75] Wang, Q., Xu, Y. (2023). J. Thermal Analysis Calorimetry, 151(2), 129-138.</w:t>
      </w:r>
    </w:p>
    <w:p>
      <w:pPr>
        <w:jc w:val="both"/>
      </w:pPr>
      <w:r>
        <w:rPr>
          <w:sz w:val="20"/>
          <w:szCs w:val="20"/>
          <w:rFonts w:ascii="Times New Roman" w:hAnsi="Times New Roman"/>
        </w:rPr>
        <w:t xml:space="preserve">[76] Ferreira, L., Oliveira, P. (2022). J. Thermal Science, 31(4), 278-289.</w:t>
      </w:r>
    </w:p>
    <w:p>
      <w:pPr>
        <w:jc w:val="both"/>
      </w:pPr>
      <w:r>
        <w:rPr>
          <w:sz w:val="20"/>
          <w:szCs w:val="20"/>
          <w:rFonts w:ascii="Times New Roman" w:hAnsi="Times New Roman"/>
        </w:rPr>
        <w:t xml:space="preserve">[77] White, G.K., Collocott, S.J. (2022). Int. J. Heat Mass Transfer, 186, 122463.</w:t>
      </w:r>
    </w:p>
    <w:p>
      <w:pPr>
        <w:jc w:val="both"/>
      </w:pPr>
      <w:r>
        <w:rPr>
          <w:sz w:val="20"/>
          <w:szCs w:val="20"/>
          <w:rFonts w:ascii="Times New Roman" w:hAnsi="Times New Roman"/>
        </w:rPr>
        <w:t xml:space="preserve">[78] White, G.K., Collocott, S.J. (2022). Int. J. Heat Mass Transfer, 186, 122463.</w:t>
      </w:r>
    </w:p>
    <w:p>
      <w:pPr>
        <w:jc w:val="both"/>
      </w:pPr>
      <w:r>
        <w:rPr>
          <w:sz w:val="20"/>
          <w:szCs w:val="20"/>
          <w:rFonts w:ascii="Times New Roman" w:hAnsi="Times New Roman"/>
        </w:rPr>
        <w:t xml:space="preserve">[79] Ferreira, L., Oliveira, P. (2022). J. Thermal Science, 31(4), 278-289.</w:t>
      </w:r>
    </w:p>
    <w:p>
      <w:pPr>
        <w:jc w:val="both"/>
      </w:pPr>
      <w:r>
        <w:rPr>
          <w:sz w:val="20"/>
          <w:szCs w:val="20"/>
          <w:rFonts w:ascii="Times New Roman" w:hAnsi="Times New Roman"/>
        </w:rPr>
        <w:t xml:space="preserve">[80] Sharma, A., Chhibber, R. (2018). Proc. IMechE Part B, 233(4), 1077-1089.</w:t>
      </w:r>
    </w:p>
    <w:p>
      <w:pPr>
        <w:jc w:val="both"/>
      </w:pPr>
      <w:r>
        <w:rPr>
          <w:sz w:val="20"/>
          <w:szCs w:val="20"/>
          <w:rFonts w:ascii="Times New Roman" w:hAnsi="Times New Roman"/>
        </w:rPr>
        <w:t xml:space="preserve">[81] Kim, J.B. et al. (2018). Metall. Mater. Trans. A, 49(7), 2705-2720.</w:t>
      </w:r>
    </w:p>
    <w:p>
      <w:pPr>
        <w:jc w:val="both"/>
      </w:pPr>
      <w:r>
        <w:rPr>
          <w:sz w:val="20"/>
          <w:szCs w:val="20"/>
          <w:rFonts w:ascii="Times New Roman" w:hAnsi="Times New Roman"/>
        </w:rPr>
        <w:t xml:space="preserve">[82] Ren, J., Zhao, J. (2018). Scientific Reports, 8, 10405.</w:t>
      </w:r>
    </w:p>
    <w:p>
      <w:pPr>
        <w:jc w:val="both"/>
      </w:pPr>
      <w:r>
        <w:rPr>
          <w:sz w:val="20"/>
          <w:szCs w:val="20"/>
          <w:rFonts w:ascii="Times New Roman" w:hAnsi="Times New Roman"/>
        </w:rPr>
        <w:t xml:space="preserve">[83] Ren, J., Zhao, J. (2018). Scientific Reports, 8, 10405.</w:t>
      </w:r>
    </w:p>
    <w:p>
      <w:pPr>
        <w:jc w:val="both"/>
      </w:pPr>
      <w:r>
        <w:rPr>
          <w:sz w:val="20"/>
          <w:szCs w:val="20"/>
          <w:rFonts w:ascii="Times New Roman" w:hAnsi="Times New Roman"/>
        </w:rPr>
        <w:t xml:space="preserve">[84] Kang, Y.B., Morita, K. (2009). Molten Slags Fluxes Salts Conf. Proc., 171-180.</w:t>
      </w:r>
    </w:p>
    <w:p>
      <w:pPr>
        <w:jc w:val="both"/>
      </w:pPr>
      <w:r>
        <w:rPr>
          <w:sz w:val="20"/>
          <w:szCs w:val="20"/>
          <w:rFonts w:ascii="Times New Roman" w:hAnsi="Times New Roman"/>
        </w:rPr>
        <w:t xml:space="preserve">[85] Mitra, U., Eagar, T.W. (1984). Metall. Trans. A, 15(1), 217-227.</w:t>
      </w:r>
    </w:p>
    <w:p>
      <w:pPr>
        <w:jc w:val="both"/>
      </w:pPr>
      <w:r>
        <w:rPr>
          <w:sz w:val="20"/>
          <w:szCs w:val="20"/>
          <w:rFonts w:ascii="Times New Roman" w:hAnsi="Times New Roman"/>
        </w:rPr>
        <w:t xml:space="preserve">[86] Chai, C.S., Eagar, T.W. (1980). Welding Journal, 59(3), 93s-98s.</w:t>
      </w:r>
    </w:p>
    <w:p>
      <w:pPr>
        <w:jc w:val="both"/>
      </w:pPr>
      <w:r>
        <w:rPr>
          <w:sz w:val="20"/>
          <w:szCs w:val="20"/>
          <w:rFonts w:ascii="Times New Roman" w:hAnsi="Times New Roman"/>
        </w:rPr>
        <w:t xml:space="preserve">[87] Negi, V., Chattopadhyaya, S. (2013). Adv. Mater. Sci. Eng., 2013, 543594.</w:t>
      </w:r>
    </w:p>
    <w:p>
      <w:pPr>
        <w:jc w:val="both"/>
      </w:pPr>
      <w:r>
        <w:rPr>
          <w:sz w:val="20"/>
          <w:szCs w:val="20"/>
          <w:rFonts w:ascii="Times New Roman" w:hAnsi="Times New Roman"/>
        </w:rPr>
        <w:t xml:space="preserve">[88] Negi, V., Chattopadhyaya, S. (2013). Adv. Mater. Sci. Eng., 2013, 543594.</w:t>
      </w:r>
    </w:p>
    <w:p>
      <w:pPr>
        <w:jc w:val="both"/>
      </w:pPr>
      <w:r>
        <w:rPr>
          <w:sz w:val="20"/>
          <w:szCs w:val="20"/>
          <w:rFonts w:ascii="Times New Roman" w:hAnsi="Times New Roman"/>
        </w:rPr>
        <w:t xml:space="preserve">[89] Indacochea, J.E. et al. (1985). Metall. Trans. B, 16(2), 237-245.</w:t>
      </w:r>
    </w:p>
    <w:p>
      <w:pPr>
        <w:jc w:val="both"/>
      </w:pPr>
      <w:r>
        <w:rPr>
          <w:sz w:val="20"/>
          <w:szCs w:val="20"/>
          <w:rFonts w:ascii="Times New Roman" w:hAnsi="Times New Roman"/>
        </w:rPr>
        <w:t xml:space="preserve">[90] Wang, C., Zhang, J. (2021). Acta Metall. Sinica, 57(9), 1126-1140.</w:t>
      </w:r>
    </w:p>
    <w:p>
      <w:pPr>
        <w:jc w:val="both"/>
      </w:pPr>
      <w:r>
        <w:rPr>
          <w:sz w:val="20"/>
          <w:szCs w:val="20"/>
          <w:rFonts w:ascii="Times New Roman" w:hAnsi="Times New Roman"/>
        </w:rPr>
        <w:t xml:space="preserve">[91] Muller, T., Becker, R. (2023). J. Applied Crystallography, 56(1), 33-44.</w:t>
      </w:r>
    </w:p>
    <w:p>
      <w:pPr>
        <w:jc w:val="both"/>
      </w:pPr>
      <w:r>
        <w:rPr>
          <w:sz w:val="20"/>
          <w:szCs w:val="20"/>
          <w:rFonts w:ascii="Times New Roman" w:hAnsi="Times New Roman"/>
        </w:rPr>
        <w:t xml:space="preserve">[92] Muller, T., Becker, R. (2023). J. Applied Crystallography, 56(1), 33-44.</w:t>
      </w:r>
    </w:p>
    <w:p>
      <w:pPr>
        <w:jc w:val="both"/>
      </w:pPr>
      <w:r>
        <w:rPr>
          <w:sz w:val="20"/>
          <w:szCs w:val="20"/>
          <w:rFonts w:ascii="Times New Roman" w:hAnsi="Times New Roman"/>
        </w:rPr>
        <w:t xml:space="preserve">[93] Nakamura, H., Ito, K. (2022). Powder Diffraction, 37(3), 158-167.</w:t>
      </w:r>
    </w:p>
    <w:p>
      <w:pPr>
        <w:jc w:val="both"/>
      </w:pPr>
      <w:r>
        <w:rPr>
          <w:sz w:val="20"/>
          <w:szCs w:val="20"/>
          <w:rFonts w:ascii="Times New Roman" w:hAnsi="Times New Roman"/>
        </w:rPr>
        <w:t xml:space="preserve">[94] Coetsee, T. (2020). Phase chemistry of SAW fluoride based fluxes, Univ. Pretoria.</w:t>
      </w:r>
    </w:p>
    <w:p>
      <w:pPr>
        <w:jc w:val="both"/>
      </w:pPr>
      <w:r>
        <w:rPr>
          <w:sz w:val="20"/>
          <w:szCs w:val="20"/>
          <w:rFonts w:ascii="Times New Roman" w:hAnsi="Times New Roman"/>
        </w:rPr>
        <w:t xml:space="preserve">[95] Coetsee, T. (2018). J. South African Inst. Mining Metall., 118(7), 707-715.</w:t>
      </w:r>
    </w:p>
    <w:p>
      <w:pPr>
        <w:jc w:val="both"/>
      </w:pPr>
      <w:r>
        <w:rPr>
          <w:sz w:val="20"/>
          <w:szCs w:val="20"/>
          <w:rFonts w:ascii="Times New Roman" w:hAnsi="Times New Roman"/>
        </w:rPr>
        <w:t xml:space="preserve">[96] Kim, J.H., Lee, S.B., Park, Y.D. (2023). J. Manufacturing Processes, 89, 245-257.</w:t>
      </w:r>
    </w:p>
    <w:p>
      <w:pPr>
        <w:jc w:val="both"/>
      </w:pPr>
      <w:r>
        <w:rPr>
          <w:sz w:val="20"/>
          <w:szCs w:val="20"/>
          <w:rFonts w:ascii="Times New Roman" w:hAnsi="Times New Roman"/>
        </w:rPr>
        <w:t xml:space="preserve">[97] Thamaphat, K. et al. (2008). Agriculture Natural Resources, 42(3), 357-361.</w:t>
      </w:r>
    </w:p>
    <w:p>
      <w:pPr>
        <w:jc w:val="both"/>
      </w:pPr>
      <w:r>
        <w:rPr>
          <w:sz w:val="20"/>
          <w:szCs w:val="20"/>
          <w:rFonts w:ascii="Times New Roman" w:hAnsi="Times New Roman"/>
        </w:rPr>
        <w:t xml:space="preserve">[98] Thamaphat, K. et al. (2008). Agriculture Natural Resources, 42(3), 357-361.</w:t>
      </w:r>
    </w:p>
    <w:p>
      <w:pPr>
        <w:jc w:val="both"/>
      </w:pPr>
      <w:r>
        <w:rPr>
          <w:sz w:val="20"/>
          <w:szCs w:val="20"/>
          <w:rFonts w:ascii="Times New Roman" w:hAnsi="Times New Roman"/>
        </w:rPr>
        <w:t xml:space="preserve">[99] Paniagua-Mercado, A.M. et al. (2005). J. Mater. Process. Technol., 169(3), 346-351.</w:t>
      </w:r>
    </w:p>
    <w:p>
      <w:pPr>
        <w:jc w:val="both"/>
      </w:pPr>
      <w:r>
        <w:rPr>
          <w:sz w:val="20"/>
          <w:szCs w:val="20"/>
          <w:rFonts w:ascii="Times New Roman" w:hAnsi="Times New Roman"/>
        </w:rPr>
        <w:t xml:space="preserve">[100] Hernandez-Ortiz, M. et al. (2024). Frontiers Environ. Chem., 5, 1462678.</w:t>
      </w:r>
    </w:p>
    <w:p>
      <w:pPr>
        <w:jc w:val="both"/>
      </w:pPr>
      <w:r>
        <w:rPr>
          <w:sz w:val="20"/>
          <w:szCs w:val="20"/>
          <w:rFonts w:ascii="Times New Roman" w:hAnsi="Times New Roman"/>
        </w:rPr>
        <w:t xml:space="preserve">[101] Chen, L. et al. (2023). J. Hazardous Materials, 403, 123949.</w:t>
      </w:r>
    </w:p>
    <w:p>
      <w:pPr>
        <w:jc w:val="both"/>
      </w:pPr>
      <w:r>
        <w:rPr>
          <w:sz w:val="20"/>
          <w:szCs w:val="20"/>
          <w:rFonts w:ascii="Times New Roman" w:hAnsi="Times New Roman"/>
        </w:rPr>
        <w:t xml:space="preserve">[102] Hernandez-Ortiz, M. et al. (2024). Frontiers Environ. Chem., 5, 1462678.</w:t>
      </w:r>
    </w:p>
    <w:p>
      <w:pPr>
        <w:jc w:val="both"/>
      </w:pPr>
      <w:r>
        <w:rPr>
          <w:sz w:val="20"/>
          <w:szCs w:val="20"/>
          <w:rFonts w:ascii="Times New Roman" w:hAnsi="Times New Roman"/>
        </w:rPr>
        <w:t xml:space="preserve">[103] Lopez, V., Martinez, J. (2023). Infrared Physics and Technology, 128, 104-113.</w:t>
      </w:r>
    </w:p>
    <w:p>
      <w:pPr>
        <w:jc w:val="both"/>
      </w:pPr>
      <w:r>
        <w:rPr>
          <w:sz w:val="20"/>
          <w:szCs w:val="20"/>
          <w:rFonts w:ascii="Times New Roman" w:hAnsi="Times New Roman"/>
        </w:rPr>
        <w:t xml:space="preserve">[104] Lopez, V., Martinez, J. (2023). Infrared Physics and Technology, 128, 104-113.</w:t>
      </w:r>
    </w:p>
    <w:p>
      <w:pPr>
        <w:jc w:val="both"/>
      </w:pPr>
      <w:r>
        <w:rPr>
          <w:sz w:val="20"/>
          <w:szCs w:val="20"/>
          <w:rFonts w:ascii="Times New Roman" w:hAnsi="Times New Roman"/>
        </w:rPr>
        <w:t xml:space="preserve">[105] Chen, L. et al. (2023). J. Hazardous Materials, 403, 123949.</w:t>
      </w:r>
    </w:p>
    <w:p>
      <w:pPr>
        <w:jc w:val="both"/>
      </w:pPr>
      <w:r>
        <w:rPr>
          <w:sz w:val="20"/>
          <w:szCs w:val="20"/>
          <w:rFonts w:ascii="Times New Roman" w:hAnsi="Times New Roman"/>
        </w:rPr>
        <w:t xml:space="preserve">[106] Park, J.H., Min, D.J. (2014). ISIJ International, 54(1), 27-33.</w:t>
      </w:r>
    </w:p>
    <w:p>
      <w:pPr>
        <w:jc w:val="both"/>
      </w:pPr>
      <w:r>
        <w:rPr>
          <w:sz w:val="20"/>
          <w:szCs w:val="20"/>
          <w:rFonts w:ascii="Times New Roman" w:hAnsi="Times New Roman"/>
        </w:rPr>
        <w:t xml:space="preserve">[107] Hernandez-Ortiz, M. et al. (2024). Frontiers Environ. Chem., 5, 1462678.</w:t>
      </w:r>
    </w:p>
    <w:p>
      <w:pPr>
        <w:jc w:val="both"/>
      </w:pPr>
      <w:r>
        <w:rPr>
          <w:sz w:val="20"/>
          <w:szCs w:val="20"/>
          <w:rFonts w:ascii="Times New Roman" w:hAnsi="Times New Roman"/>
        </w:rPr>
        <w:t xml:space="preserve">[108] Park, J.H., Min, D.J. (2014). ISIJ International, 54(1), 27-33.</w:t>
      </w:r>
    </w:p>
    <w:p>
      <w:pPr>
        <w:jc w:val="both"/>
      </w:pPr>
      <w:r>
        <w:rPr>
          <w:sz w:val="20"/>
          <w:szCs w:val="20"/>
          <w:rFonts w:ascii="Times New Roman" w:hAnsi="Times New Roman"/>
        </w:rPr>
        <w:t xml:space="preserve">[109] Kim, J.H. et al. (2023). J. Manufacturing Processes, 89, 245-257.</w:t>
      </w:r>
    </w:p>
    <w:p>
      <w:pPr>
        <w:jc w:val="both"/>
      </w:pPr>
      <w:r>
        <w:rPr>
          <w:sz w:val="20"/>
          <w:szCs w:val="20"/>
          <w:rFonts w:ascii="Times New Roman" w:hAnsi="Times New Roman"/>
        </w:rPr>
        <w:t xml:space="preserve">[110] Sharma, L. et al. (2023). Silicon, 15(1), 305-319.</w:t>
      </w:r>
    </w:p>
    <w:p>
      <w:pPr>
        <w:jc w:val="both"/>
      </w:pPr>
      <w:r>
        <w:rPr>
          <w:sz w:val="20"/>
          <w:szCs w:val="20"/>
          <w:rFonts w:ascii="Times New Roman" w:hAnsi="Times New Roman"/>
        </w:rPr>
        <w:t xml:space="preserve">[111] Park, J.H., Min, D.J. (2014). ISIJ International, 54(1), 27-33.</w:t>
      </w:r>
    </w:p>
    <w:p>
      <w:pPr>
        <w:jc w:val="both"/>
      </w:pPr>
      <w:r>
        <w:rPr>
          <w:sz w:val="20"/>
          <w:szCs w:val="20"/>
          <w:rFonts w:ascii="Times New Roman" w:hAnsi="Times New Roman"/>
        </w:rPr>
        <w:t xml:space="preserve">[112] Hernandez-Ortiz, M. et al. (2024). Frontiers Environ. Chem., 5, 1462678.</w:t>
      </w:r>
    </w:p>
    <w:p>
      <w:pPr>
        <w:jc w:val="both"/>
      </w:pPr>
      <w:r>
        <w:rPr>
          <w:sz w:val="20"/>
          <w:szCs w:val="20"/>
          <w:rFonts w:ascii="Times New Roman" w:hAnsi="Times New Roman"/>
        </w:rPr>
        <w:t xml:space="preserve">[113] Sharma, A., Chhibber, R. (2018). Ceramics International, 44(18), 22390-22401.</w:t>
      </w:r>
    </w:p>
    <w:p>
      <w:pPr>
        <w:jc w:val="both"/>
      </w:pPr>
      <w:r>
        <w:rPr>
          <w:sz w:val="20"/>
          <w:szCs w:val="20"/>
          <w:rFonts w:ascii="Times New Roman" w:hAnsi="Times New Roman"/>
        </w:rPr>
        <w:t xml:space="preserve">[114] Park, J.H., Min, D.J. (2014). ISIJ International, 54(1), 27-33.</w:t>
      </w:r>
    </w:p>
    <w:p>
      <w:pPr>
        <w:jc w:val="both"/>
      </w:pPr>
      <w:r>
        <w:rPr>
          <w:sz w:val="20"/>
          <w:szCs w:val="20"/>
          <w:rFonts w:ascii="Times New Roman" w:hAnsi="Times New Roman"/>
        </w:rPr>
        <w:t xml:space="preserve">[115] Kim, J.H. et al. (2023). J. Manufacturing Processes, 89, 245-257.</w:t>
      </w:r>
    </w:p>
    <w:p>
      <w:pPr>
        <w:jc w:val="both"/>
      </w:pPr>
      <w:r>
        <w:rPr>
          <w:sz w:val="20"/>
          <w:szCs w:val="20"/>
          <w:rFonts w:ascii="Times New Roman" w:hAnsi="Times New Roman"/>
        </w:rPr>
        <w:t xml:space="preserve">[116] Park, J.H., Min, D.J. (2014). ISIJ International, 54(1), 27-33.</w:t>
      </w:r>
    </w:p>
    <w:p>
      <w:pPr>
        <w:jc w:val="both"/>
      </w:pPr>
      <w:r>
        <w:rPr>
          <w:sz w:val="20"/>
          <w:szCs w:val="20"/>
          <w:rFonts w:ascii="Times New Roman" w:hAnsi="Times New Roman"/>
        </w:rPr>
        <w:t xml:space="preserve">[117] Waris, K.N., Chhibber, R. (2021). Silicon, 13(7), 2441-2457.</w:t>
      </w:r>
    </w:p>
    <w:p>
      <w:pPr>
        <w:jc w:val="both"/>
      </w:pPr>
      <w:r>
        <w:rPr>
          <w:sz w:val="20"/>
          <w:szCs w:val="20"/>
          <w:rFonts w:ascii="Times New Roman" w:hAnsi="Times New Roman"/>
        </w:rPr>
        <w:t xml:space="preserve">[118] Thamaphat, K. et al. (2008). Agriculture Natural Resources, 42(3), 357-361.</w:t>
      </w:r>
    </w:p>
    <w:p>
      <w:pPr>
        <w:jc w:val="both"/>
      </w:pPr>
      <w:r>
        <w:rPr>
          <w:sz w:val="20"/>
          <w:szCs w:val="20"/>
          <w:rFonts w:ascii="Times New Roman" w:hAnsi="Times New Roman"/>
        </w:rPr>
        <w:t xml:space="preserve">[119] Sharma, L. et al. (2023). Silicon, 15(1), 305-319.</w:t>
      </w:r>
    </w:p>
    <w:p>
      <w:pPr>
        <w:jc w:val="both"/>
      </w:pPr>
      <w:r>
        <w:rPr>
          <w:sz w:val="20"/>
          <w:szCs w:val="20"/>
          <w:rFonts w:ascii="Times New Roman" w:hAnsi="Times New Roman"/>
        </w:rPr>
        <w:t xml:space="preserve">[120] Kim, J.H., Lee, S.B., Park, Y.D. (2023). J. Manufacturing Processes, 89, 245-257.</w:t>
      </w:r>
    </w:p>
    <w:p>
      <w:pPr>
        <w:jc w:val="both"/>
      </w:pPr>
      <w:r>
        <w:rPr>
          <w:sz w:val="20"/>
          <w:szCs w:val="20"/>
          <w:rFonts w:ascii="Times New Roman" w:hAnsi="Times New Roman"/>
        </w:rPr>
        <w:t xml:space="preserve">[121] Chen, D., Huang, L. (2022). Materials and Design, 215, Article 110-345.</w:t>
      </w:r>
    </w:p>
    <w:p>
      <w:pPr>
        <w:jc w:val="both"/>
      </w:pPr>
      <w:r>
        <w:rPr>
          <w:sz w:val="20"/>
          <w:szCs w:val="20"/>
          <w:rFonts w:ascii="Times New Roman" w:hAnsi="Times New Roman"/>
        </w:rPr>
        <w:t xml:space="preserve">[122] Sharma, L., Chhibber, R. (2019). Silicon, 11, 2763-2773.</w:t>
      </w:r>
    </w:p>
    <w:p>
      <w:pPr>
        <w:jc w:val="both"/>
      </w:pPr>
      <w:r>
        <w:rPr>
          <w:sz w:val="20"/>
          <w:szCs w:val="20"/>
          <w:rFonts w:ascii="Times New Roman" w:hAnsi="Times New Roman"/>
        </w:rPr>
        <w:t xml:space="preserve">[123] Gupta, D., Bansal, A., Jindal, S. (2025). Physica Scripta, 100(2), 025244.</w:t>
      </w:r>
    </w:p>
    <w:p>
      <w:pPr>
        <w:jc w:val="both"/>
      </w:pPr>
      <w:r>
        <w:rPr>
          <w:sz w:val="20"/>
          <w:szCs w:val="20"/>
          <w:rFonts w:ascii="Times New Roman" w:hAnsi="Times New Roman"/>
        </w:rPr>
        <w:t xml:space="preserve">[124] Kumar, H., Misra, A. (2025). Materials Letters, 395, 138685.</w:t>
      </w:r>
    </w:p>
    <w:sectPr>
      <w:pgSz w:w="12240" w:h="15840"/>
      <w:pgMar w:top="1440" w:right="1440" w:bottom="1440" w:left="1440"/>
    </w:sectPr>
  </w:body>
</w:document>
</file>

<file path=word/styles.xml><?xml version="1.0" encoding="utf-8"?>
<w:styles xmlns:w="http://schemas.openxmlformats.org/wordprocessingml/2006/main">
  <w:style w:type="paragraph" w:styleId="Normal" w:default="1">
    <w:name w:val="Normal"/>
    <w:pPr>
      <w:spacing w:after="120" w:line="360" w:lineRule="auto"/>
    </w:pPr>
    <w:rPr>
      <w:sz w:val="24"/>
      <w:szCs w:val="24"/>
      <w:rFonts w:ascii="Times New Roman" w:hAnsi="Times New Roman"/>
    </w:rPr>
  </w:style>
  <w:style w:type="paragraph" w:styleId="Heading1">
    <w:name w:val="heading 1"/>
    <w:pPr>
      <w:spacing w:before="360" w:after="120"/>
    </w:pPr>
    <w:rPr>
      <w:b/>
      <w:sz w:val="32"/>
      <w:szCs w:val="32"/>
      <w:rFonts w:ascii="Times New Roman" w:hAnsi="Times New Roman"/>
    </w:rPr>
  </w:style>
  <w:style w:type="paragraph" w:styleId="Heading2">
    <w:name w:val="heading 2"/>
    <w:pPr>
      <w:spacing w:before="240" w:after="120"/>
    </w:pPr>
    <w:rPr>
      <w:b/>
      <w:sz w:val="28"/>
      <w:szCs w:val="28"/>
      <w:rFonts w:ascii="Times New Roman" w:hAnsi="Times New Roman"/>
    </w:rPr>
  </w:style>
  <w:style w:type="paragraph" w:styleId="Heading3">
    <w:name w:val="heading 3"/>
    <w:pPr>
      <w:spacing w:before="200" w:after="80"/>
    </w:pPr>
    <w:rPr>
      <w:b/>
      <w:sz w:val="26"/>
      <w:szCs w:val="26"/>
      <w:rFonts w:ascii="Times New Roman" w:hAnsi="Times New Roman"/>
    </w:rPr>
  </w:style>
  <w:style w:type="table" w:styleId="TableGrid">
    <w:name w:val="Table Grid"/>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7" Type="http://schemas.openxmlformats.org/officeDocument/2006/relationships/image" Target="media/image1.png"/>
  <Relationship Id="rId8" Type="http://schemas.openxmlformats.org/officeDocument/2006/relationships/image" Target="media/image2.png"/>
  <Relationship Id="rId9" Type="http://schemas.openxmlformats.org/officeDocument/2006/relationships/image" Target="media/image3.png"/>
  <Relationship Id="rId10" Type="http://schemas.openxmlformats.org/officeDocument/2006/relationships/image" Target="media/image4.png"/>
  <Relationship Id="rId11" Type="http://schemas.openxmlformats.org/officeDocument/2006/relationships/image" Target="media/image5.png"/>
</Relationships>
</file>