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second-law behaviour of unsteady, two-dimensional, electro-magnetohydrodynamic (EMHD) squeezing flow of a Carreau hybrid nanofluid confined between two parallel porous plates is investigated mathematically and numerically. The working fluid is a hybrid suspension of AA7072 and AA7075 aluminium-alloy nanoparticles in methanol. The model incorporates a transverse time-dependent magnetic field, an aligned electric field, Darcy–Forchheimer porous drag, nonlinear thermal radiation, viscous dissipation, Joule heating, Soret–Dufour cross-diffusion and a first-order homogeneous chemical reaction, together with velocity, thermal (Biot-type) and solutal slip boundary conditions. Similarity transformations reduce the governing partial differential equations to a coupled system of ordinary differential equations. In this corrected formulation the momentum balance is retained at fourth order through pressure elimination, so the eighth-order coupled system is consistent with the eight physical boundary conditions. The system is solved with the MATLAB collocation solver bvp4c. The local volumetric entropy generation rate is transformed into a dimensionless entropy generation number and Bejan number. A parametric study quantifies the influence of the squeezing parameter, Brinkman number, magnetic parameter, radiation parameter and diffusive-irreversibility parameter on the irreversibility distribution.</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Intensification of convective heat transfer drives the development of compact, high-performance thermal-management devices. The low intrinsic conductivity of conventional coolants motivated the nanofluid concept of Choi and Eastman [1], and its hybrid extension in which two chemically distinct nanoparticles are co-dispersed [4, 5]. The aluminium alloys AA7072 and AA7075 offer high electrical conductivity, corrosion resistance and low density; Tlili et al. [8] reported significant heat-transfer enhancement for AA7072–AA7075/methanol suspensions.</w:t>
      </w:r>
    </w:p>
    <w:p>
      <w:pPr>
        <w:jc w:val="both"/>
        <w:spacing w:after="120"/>
      </w:pPr>
      <w:r>
        <w:t xml:space="preserve">Many industrial suspensions are non-Newtonian. The Carreau model of Carreau [12] captures Newtonian plateaus at low and high shear and power-law behaviour at intermediate shear [13, 14]. Squeezing flows between approaching surfaces arise in lubrication, squeeze-film dampers and hydraulic machinery [18, 19]. Bhaskar and Sharma [23] studied unsteady squeezing Casson flow with cross-diffusion. The present work extends this squeezing-channel configuration to a Carreau hybrid nanofluid with a complete second-law treatment, including Soret–Dufour cross-diffusion, nonlinear radiation, Joule heating and multi-mode slip in a Darcy–Forchheimer porous channel [24–43].</w:t>
      </w:r>
    </w:p>
    <w:p>
      <w:pPr>
        <w:jc w:val="both"/>
        <w:spacing w:after="120"/>
      </w:pPr>
      <w:r>
        <w:t xml:space="preserve">This revised manuscript corrects the transformed momentum equation and its boundary-condition count, rederives the radiative grouping in the energy equation, and makes the entropy-generation normalisation consistent, as detailed below.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the upper plate moves normally with the squeezing velocity vₕ = dh/dt. A time-dependent transverse magnetic field and aligned electric field are applied:</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pStyle w:val="Heading2"/>
      </w:pPr>
      <w:r>
        <w:rPr>
          <w:b/>
        </w:rPr>
        <w:t xml:space="preserve">2.2 Carreau hybrid nanofluid constitutive model</w:t>
      </w:r>
    </w:p>
    <w:p>
      <w:pPr>
        <w:jc w:val="both"/>
        <w:spacing w:after="120"/>
      </w:pPr>
      <w:r>
        <w:t xml:space="preserve">The Cauchy stress tensor is written with the total-stress symbol σ (preferred over τ for total stress):</w:t>
      </w:r>
    </w:p>
    <w:p>
      <w:pPr>
        <w:tabs>
          <w:tab w:val="center" w:pos="4680"/>
          <w:tab w:val="right" w:pos="9360"/>
        </w:tabs>
        <w:spacing w:after="120"/>
      </w:pPr>
      <w:r>
        <w:tab/>
      </w:r>
      <m:oMath>
        <m:r>
          <m:t xml:space="preserve">σ</m:t>
        </m:r>
        <m:r>
          <m:rPr>
            <m:sty m:val="p"/>
          </m:rPr>
          <m:t xml:space="preserve">=</m:t>
        </m:r>
        <m:r>
          <m:rPr>
            <m:sty m:val="p"/>
          </m:rPr>
          <m:t xml:space="preserve">−</m:t>
        </m:r>
        <m:r>
          <m:t xml:space="preserve">p</m:t>
        </m:r>
        <m:r>
          <m:t xml:space="preserve">I</m:t>
        </m:r>
        <m:r>
          <m:rPr>
            <m:sty m:val="p"/>
          </m:rPr>
          <m:t xml:space="preserve">+</m:t>
        </m:r>
        <m:r>
          <m:t xml:space="preserve">μ</m:t>
        </m:r>
        <m:d>
          <m:dPr>
            <m:begChr m:val="("/>
            <m:endChr m:val=")"/>
          </m:dPr>
          <m:e>
            <m:r>
              <m:t xml:space="preserve">γ̇</m:t>
            </m:r>
          </m:e>
        </m:d>
        <m:sSub>
          <m:e>
            <m:r>
              <m:t xml:space="preserve">A</m:t>
            </m:r>
          </m:e>
          <m:sub>
            <m:r>
              <m:t xml:space="preserve">1</m:t>
            </m:r>
          </m:sub>
        </m:sSub>
      </m:oMath>
      <w:r>
        <w:tab/>
        <w:t xml:space="preserve">(3)</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t xml:space="preserve">A</m:t>
                        </m:r>
                      </m:e>
                      <m:sup>
                        <m:r>
                          <m:t xml:space="preserve">2</m:t>
                        </m:r>
                      </m:sup>
                    </m:sSup>
                  </m:e>
                  <m:sub>
                    <m:r>
                      <m:t xml:space="preserve">1</m:t>
                    </m:r>
                  </m:sub>
                </m:sSub>
              </m:e>
            </m:d>
          </m:e>
        </m:rad>
      </m:oMath>
      <w:r>
        <w:tab/>
        <w:t xml:space="preserve">(5)</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(6)</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(7)</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u</m:t>
            </m:r>
          </m:num>
          <m:den>
            <m:r>
              <m:t xml:space="preserve">∂</m:t>
            </m:r>
            <m:sSup>
              <m:e>
                <m:r>
                  <m:t xml:space="preserve">y</m:t>
                </m:r>
              </m:e>
              <m:sup>
                <m:r>
                  <m:t xml:space="preserve">2</m:t>
                </m:r>
              </m:sup>
            </m:sSup>
          </m:den>
        </m:f>
        <m:r>
          <m:rPr>
            <m:sty m:val="p"/>
          </m:rPr>
          <m:t xml:space="preserve">[⋯]</m:t>
        </m:r>
      </m:oMath>
      <w:r>
        <w:tab/>
        <w:t xml:space="preserve">(8)</w:t>
      </w:r>
    </w:p>
    <w:p>
      <w:pPr>
        <w:jc w:val="both"/>
        <w:spacing w:after="120"/>
      </w:pPr>
      <w:r>
        <w:t xml:space="preserve">(the full Carreau, Lorentz, Darcy and Forchheimer terms are as in the original Eq. 8). Eliminating pressure between the x- and y-momentum equations — required because dp/dy is set by the y-momentum balance — leads to the fourth-order similarity equation given below.</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rPr>
            <m:sty m:val="p"/>
          </m:rPr>
          <m:t xml:space="preserve">⋯</m:t>
        </m:r>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(9)</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rPr>
            <m:sty m:val="p"/>
          </m:rPr>
          <m:t xml:space="preserve">⋯</m:t>
        </m:r>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oMath>
      <w:r>
        <w:tab/>
        <w:t xml:space="preserve">(10)</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rPr>
            <m:sty m:val="p"/>
          </m:rPr>
          <m:t xml:space="preserve">⋯</m:t>
        </m:r>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(11)</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(12)</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(13)</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(14)</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(15)</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(16)</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(17)</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(18)</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(19)</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(20)</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(21)</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(22)</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(23)</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h</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h</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(24)</w:t>
      </w:r>
    </w:p>
    <w:p>
      <w:pPr>
        <w:jc w:val="both"/>
        <w:spacing w:after="120"/>
      </w:pPr>
      <w:r>
        <w:t xml:space="preserve">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(25)</w:t>
      </w:r>
    </w:p>
    <w:p>
      <w:pPr>
        <w:jc w:val="both"/>
        <w:spacing w:after="120"/>
      </w:pPr>
      <w:r>
        <w:t xml:space="preserve">Here Tₕ, T₀, Cₕ and C₀ denote the upper-wall and reference temperatures and concentrations; θ and φ are normalised so that θ(1) = 0 and φ(1) = 0 at the upper plate.</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(26)</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(27)</w:t>
      </w:r>
    </w:p>
    <w:p>
      <w:pPr>
        <w:jc w:val="both"/>
        <w:spacing w:after="120"/>
      </w:pPr>
      <w:r>
        <w:t xml:space="preserve">The corrected energy equation groups conduction and radiation consistently (A₄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A</m:t>
            </m:r>
          </m:e>
          <m:sub>
            <m:r>
              <m:t xml:space="preserve">5</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A</m:t>
                </m:r>
              </m:e>
              <m:sub>
                <m:r>
                  <m:t xml:space="preserve">1</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A</m:t>
                </m:r>
              </m:e>
              <m:sub>
                <m:r>
                  <m:t xml:space="preserve">3</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A</m:t>
                </m:r>
              </m:e>
              <m:sub>
                <m:r>
                  <m:t xml:space="preserve">2</m:t>
                </m:r>
              </m:sub>
            </m:sSub>
            <m:r>
              <m:t xml:space="preserve">Df</m:t>
            </m:r>
            <m:r>
              <m:t xml:space="preserve">φ</m:t>
            </m:r>
            <m:r>
              <m:t xml:space="preserve">′′</m:t>
            </m:r>
          </m:e>
        </m:d>
        <m:r>
          <m:rPr>
            <m:sty m:val="p"/>
          </m:rPr>
          <m:t xml:space="preserve">=</m:t>
        </m:r>
        <m:r>
          <m:t xml:space="preserve">0</m:t>
        </m:r>
      </m:oMath>
      <w:r>
        <w:tab/>
        <w:t xml:space="preserve">(28)</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(29)</w:t>
      </w:r>
    </w:p>
    <w:p>
      <w:pPr>
        <w:jc w:val="both"/>
        <w:spacing w:after="120"/>
      </w:pPr>
      <w:r>
        <w:t xml:space="preserve">The property ratios are A₁ = μₕₙₓ/μₑ, A₂ = ρₕₙₓ/ρₑ, A₃ = σₕₙₓ/σₑ, A₄ = κₕₙₓ/κₑ and A₅ = </w:t>
      </w:r>
      <m:oMath/>
      <w:r>
        <w:t xml:space="preserve">(ρcₚ)ₕₙₓ/(ρcₚ)ₑ (Eq. 30).</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(30)</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(31)</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sSub>
              <m:e>
                <m:r>
                  <m:t xml:space="preserve">U</m:t>
                </m:r>
              </m:e>
              <m:sub>
                <m:r>
                  <m:t xml:space="preserve">w</m:t>
                </m:r>
              </m:sub>
            </m:sSub>
          </m:den>
        </m:f>
      </m:oMath>
      <w:r>
        <w:tab/>
        <w:t xml:space="preserve">(32)</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(33)</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(34)</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(35)</w:t>
      </w:r>
    </w:p>
    <w:p>
      <w:pPr>
        <w:jc w:val="both"/>
        <w:spacing w:after="120"/>
      </w:pPr>
      <w:r>
        <w:t xml:space="preserve">Because We² and Ee depend on x and t, they are treated under a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(36)</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A</m:t>
            </m:r>
          </m:e>
          <m:sub>
            <m:r>
              <m:t xml:space="preserve">1</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(37)</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(38)</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(39)</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(40)</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(41)</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(42)</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A₄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(43)</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(44)</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(45)</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(46)</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(47)</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(48)</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(49)</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(50)</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(51)</w:t>
      </w:r>
    </w:p>
    <w:p>
      <w:pPr>
        <w:jc w:val="both"/>
        <w:spacing w:after="120"/>
      </w:pPr>
      <w:r>
        <w:t xml:space="preserve">The diffusive cross-gradient term is retained; its thermodynamic non-negativity requires |Λ(ζ/Ω)θ′φ′| not to exceed the sum of the squared-gradient terms, which is verified a posteriori for the reported cases.</w:t>
      </w:r>
    </w:p>
    <w:p>
      <w:pPr>
        <w:pStyle w:val="Heading2"/>
      </w:pPr>
      <w:r>
        <w:rPr>
          <w:b/>
        </w:rPr>
        <w:t xml:space="preserve">3.4 Dimensional decomposition (corrected)</w:t>
      </w:r>
    </w:p>
    <w:p>
      <w:pPr>
        <w:jc w:val="both"/>
        <w:spacing w:after="120"/>
      </w:pPr>
      <w:r>
        <w:t xml:space="preserve">The thermal irreversibility no longer double-counts A₄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(52)</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(53)</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(54)</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(55)</w:t>
      </w:r>
    </w:p>
    <w:p>
      <w:pPr>
        <w:jc w:val="both"/>
        <w:spacing w:after="120"/>
      </w:pPr>
      <w:r>
        <w:t xml:space="preserve">The highest momentum derivative y₄′ = f‴′ is obtained from Eq. (27). The energy and species second derivatives are coupled through Df and Sr; they are obtained by solving the 2×2 linear system at each mesh point (not sequentially):</w:t>
      </w:r>
    </w:p>
    <w:p>
      <w:pPr>
        <w:tabs>
          <w:tab w:val="center" w:pos="4680"/>
          <w:tab w:val="right" w:pos="9360"/>
        </w:tabs>
        <w:spacing w:after="120"/>
      </w:pPr>
      <w:r>
        <w:tab/>
      </w:r>
      <m:oMath>
        <m:d>
          <m:dPr>
            <m:begChr m:val="("/>
            <m:endChr m:val=")"/>
          </m:dPr>
          <m:e>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rPr>
                <m:sty m:val="p"/>
              </m:rPr>
              <m:t xml:space="preserve">  </m:t>
            </m:r>
            <m:r>
              <m:t xml:space="preserve">Pr</m:t>
            </m:r>
            <m:sSub>
              <m:e>
                <m:r>
                  <m:t xml:space="preserve">A</m:t>
                </m:r>
              </m:e>
              <m:sub>
                <m:r>
                  <m:t xml:space="preserve">2</m:t>
                </m:r>
              </m:sub>
            </m:sSub>
            <m:r>
              <m:t xml:space="preserve">Df</m:t>
            </m:r>
          </m:e>
        </m:d>
        <m:r>
          <m:t xml:space="preserve">θ</m:t>
        </m:r>
        <m:r>
          <m:t xml:space="preserve">′′</m:t>
        </m:r>
        <m:r>
          <m:rPr>
            <m:sty m:val="p"/>
          </m:rPr>
          <m:t xml:space="preserve">+</m:t>
        </m:r>
        <m:r>
          <m:rPr>
            <m:sty m:val="p"/>
          </m:rPr>
          <m:t xml:space="preserve">(</m:t>
        </m:r>
        <m:r>
          <m:t xml:space="preserve">Pr</m:t>
        </m:r>
        <m:sSub>
          <m:e>
            <m:r>
              <m:t xml:space="preserve">A</m:t>
            </m:r>
          </m:e>
          <m:sub>
            <m:r>
              <m:t xml:space="preserve">2</m:t>
            </m:r>
          </m:sub>
        </m:sSub>
        <m:r>
          <m:t xml:space="preserve">Df</m:t>
        </m:r>
        <m:r>
          <m:rPr>
            <m:sty m:val="p"/>
          </m:rPr>
          <m:t xml:space="preserve">)</m:t>
        </m:r>
        <m:r>
          <m:t xml:space="preserve">φ</m:t>
        </m:r>
        <m:r>
          <m:t xml:space="preserve">′′</m:t>
        </m:r>
        <m:r>
          <m:rPr>
            <m:sty m:val="p"/>
          </m:rPr>
          <m:t xml:space="preserve">=</m:t>
        </m:r>
        <m:sSub>
          <m:e>
            <m:r>
              <m:t xml:space="preserve">b</m:t>
            </m:r>
          </m:e>
          <m:sub>
            <m:r>
              <m:t xml:space="preserve">1</m:t>
            </m:r>
          </m:sub>
        </m:sSub>
      </m:oMath>
      <w:r>
        <w:tab/>
        <w:t xml:space="preserve">(56)</w:t>
      </w:r>
    </w:p>
    <w:p>
      <w:pPr>
        <w:tabs>
          <w:tab w:val="center" w:pos="4680"/>
          <w:tab w:val="right" w:pos="9360"/>
        </w:tabs>
        <w:spacing w:after="120"/>
      </w:pPr>
      <w:r>
        <w:tab/>
      </w:r>
      <m:oMath>
        <m:r>
          <m:t xml:space="preserve">Sc</m:t>
        </m:r>
        <m:r>
          <m:t xml:space="preserve">Sr</m:t>
        </m:r>
        <m:r>
          <m:t xml:space="preserve">θ</m:t>
        </m:r>
        <m:r>
          <m:t xml:space="preserve">′′</m:t>
        </m:r>
        <m:r>
          <m:rPr>
            <m:sty m:val="p"/>
          </m:rPr>
          <m:t xml:space="preserve">+</m:t>
        </m:r>
        <m:r>
          <m:t xml:space="preserve">φ</m:t>
        </m:r>
        <m:r>
          <m:t xml:space="preserve">′′</m:t>
        </m:r>
        <m:r>
          <m:rPr>
            <m:sty m:val="p"/>
          </m:rPr>
          <m:t xml:space="preserve">=</m:t>
        </m:r>
        <m:sSub>
          <m:e>
            <m:r>
              <m:t xml:space="preserve">b</m:t>
            </m:r>
          </m:e>
          <m:sub>
            <m:r>
              <m:t xml:space="preserve">2</m:t>
            </m:r>
          </m:sub>
        </m:sSub>
      </m:oMath>
      <w:r>
        <w:tab/>
        <w:t xml:space="preserve">(57)</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(58)</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(59)</w:t>
      </w:r>
    </w:p>
    <w:p>
      <w:pPr>
        <w:pStyle w:val="Heading2"/>
      </w:pPr>
      <w:r>
        <w:rPr>
          <w:b/>
        </w:rPr>
        <w:t xml:space="preserve">4.1 Residuals and grid convergence (corrected)</w:t>
      </w:r>
    </w:p>
    <w:p>
      <w:pPr>
        <w:jc w:val="both"/>
        <w:spacing w:after="120"/>
      </w:pPr>
      <w:r>
        <w:t xml:space="preserve">The discrete L₂ norm of the combined residual is the global error indicator, and the observed order of accuracy uses the magnitude of successive differences (correction to Eq. 80):</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sSub>
                          <m:e>
                            <m:r>
                              <m:t xml:space="preserve">R</m:t>
                            </m:r>
                          </m:e>
                          <m:sub>
                            <m:r>
                              <m:t xml:space="preserve">f</m:t>
                            </m:r>
                          </m:sub>
                        </m:sSub>
                      </m:e>
                      <m:sup>
                        <m:r>
                          <m:t xml:space="preserve">2</m:t>
                        </m:r>
                      </m:sup>
                    </m:sSup>
                    <m:r>
                      <m:rPr>
                        <m:sty m:val="p"/>
                      </m:rPr>
                      <m:t xml:space="preserve">+</m:t>
                    </m:r>
                    <m:sSup>
                      <m:e>
                        <m:sSub>
                          <m:e>
                            <m:r>
                              <m:t xml:space="preserve">R</m:t>
                            </m:r>
                          </m:e>
                          <m:sub>
                            <m:r>
                              <m:t xml:space="preserve">θ</m:t>
                            </m:r>
                          </m:sub>
                        </m:sSub>
                      </m:e>
                      <m:sup>
                        <m:r>
                          <m:t xml:space="preserve">2</m:t>
                        </m:r>
                      </m:sup>
                    </m:sSup>
                    <m:r>
                      <m:rPr>
                        <m:sty m:val="p"/>
                      </m:rPr>
                      <m:t xml:space="preserve">+</m:t>
                    </m:r>
                    <m:sSup>
                      <m:e>
                        <m:sSub>
                          <m:e>
                            <m:r>
                              <m:t xml:space="preserve">R</m:t>
                            </m:r>
                          </m:e>
                          <m:sub>
                            <m:r>
                              <m:t xml:space="preserve">φ</m:t>
                            </m:r>
                          </m:sub>
                        </m:sSub>
                      </m:e>
                      <m:sup>
                        <m:r>
                          <m:t xml:space="preserve">2</m:t>
                        </m:r>
                      </m:sup>
                    </m:sSup>
                  </m:e>
                </m:nary>
              </m:e>
            </m:d>
          </m:e>
          <m:sup>
            <m:f>
              <m:num>
                <m:r>
                  <m:t xml:space="preserve">1</m:t>
                </m:r>
              </m:num>
              <m:den>
                <m:r>
                  <m:t xml:space="preserve">2</m:t>
                </m:r>
              </m:den>
            </m:f>
          </m:sup>
        </m:sSup>
      </m:oMath>
      <w:r>
        <w:tab/>
        <w:t xml:space="preserve">(60)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(61)</w:t>
      </w:r>
    </w:p>
    <w:p>
      <w:pPr>
        <w:jc w:val="both"/>
        <w:spacing w:after="120"/>
      </w:pPr>
      <w:r>
        <w:t xml:space="preserve">With N = 100, 200, 400 uniform intervals the monitored wall gradient f″(1) is mesh-independent to better than 10⁻⁶ and the estimated p_obs ≈ 4.00, confirming the fourth-order scheme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[23]; comparison with [23]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0.762234</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0.746319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0.726799</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0.707699</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[A₄ + (4/3)Rd F³]θ″, an increase in Rd raises the effective conductivity, which redistributes heat and moderates the dissipation-driven peak for the present boundary conditions.</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5.1692</w:t>
            </w:r>
          </w:p>
        </w:tc>
        <w:tc>
          <w:tcPr>
            <w:tcW w:w="1872" w:type="dxa"/>
          </w:tcPr>
          <w:p>
            <w:pPr>
              <w:spacing w:after="0"/>
            </w:pPr>
            <w:r>
              <w:t xml:space="preserve">0.4748</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3.2942</w:t>
            </w:r>
          </w:p>
        </w:tc>
        <w:tc>
          <w:tcPr>
            <w:tcW w:w="1872" w:type="dxa"/>
          </w:tcPr>
          <w:p>
            <w:pPr>
              <w:spacing w:after="0"/>
            </w:pPr>
            <w:r>
              <w:t xml:space="preserve">0.5828</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3.4359</w:t>
            </w:r>
          </w:p>
        </w:tc>
        <w:tc>
          <w:tcPr>
            <w:tcW w:w="1872" w:type="dxa"/>
          </w:tcPr>
          <w:p>
            <w:pPr>
              <w:spacing w:after="0"/>
            </w:pPr>
            <w:r>
              <w:t xml:space="preserve">0.6137</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3.5623</w:t>
            </w:r>
          </w:p>
        </w:tc>
        <w:tc>
          <w:tcPr>
            <w:tcW w:w="1872" w:type="dxa"/>
          </w:tcPr>
          <w:p>
            <w:pPr>
              <w:spacing w:after="0"/>
            </w:pPr>
            <w:r>
              <w:t xml:space="preserve">0.6058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3.1290</w:t>
            </w:r>
          </w:p>
        </w:tc>
        <w:tc>
          <w:tcPr>
            <w:tcW w:w="1872" w:type="dxa"/>
          </w:tcPr>
          <w:p>
            <w:pPr>
              <w:spacing w:after="0"/>
            </w:pPr>
            <w:r>
              <w:t xml:space="preserve">0.6367</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4.1585</w:t>
            </w:r>
          </w:p>
        </w:tc>
        <w:tc>
          <w:tcPr>
            <w:tcW w:w="1872" w:type="dxa"/>
          </w:tcPr>
          <w:p>
            <w:pPr>
              <w:spacing w:after="0"/>
            </w:pPr>
            <w:r>
              <w:t xml:space="preserve">0.5590</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3.1913</w:t>
            </w:r>
          </w:p>
        </w:tc>
        <w:tc>
          <w:tcPr>
            <w:tcW w:w="1872" w:type="dxa"/>
          </w:tcPr>
          <w:p>
            <w:pPr>
              <w:spacing w:after="0"/>
            </w:pPr>
            <w:r>
              <w:t xml:space="preserve">0.5972</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3.9032</w:t>
            </w:r>
          </w:p>
        </w:tc>
        <w:tc>
          <w:tcPr>
            <w:tcW w:w="1872" w:type="dxa"/>
          </w:tcPr>
          <w:p>
            <w:pPr>
              <w:spacing w:after="0"/>
            </w:pPr>
            <w:r>
              <w:t xml:space="preserve">0.6423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7.4979</w:t>
            </w:r>
          </w:p>
        </w:tc>
        <w:tc>
          <w:tcPr>
            <w:tcW w:w="1872" w:type="dxa"/>
          </w:tcPr>
          <w:p>
            <w:pPr>
              <w:spacing w:after="0"/>
            </w:pPr>
            <w:r>
              <w:t xml:space="preserve">0.2145</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4.8542</w:t>
            </w:r>
          </w:p>
        </w:tc>
        <w:tc>
          <w:tcPr>
            <w:tcW w:w="1872" w:type="dxa"/>
          </w:tcPr>
          <w:p>
            <w:pPr>
              <w:spacing w:after="0"/>
            </w:pPr>
            <w:r>
              <w:t xml:space="preserve">0.0522</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3.9164</w:t>
            </w:r>
          </w:p>
        </w:tc>
        <w:tc>
          <w:tcPr>
            <w:tcW w:w="1872" w:type="dxa"/>
          </w:tcPr>
          <w:p>
            <w:pPr>
              <w:spacing w:after="0"/>
            </w:pPr>
            <w:r>
              <w:t xml:space="preserve">0.4497</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4.1208</w:t>
            </w:r>
          </w:p>
        </w:tc>
        <w:tc>
          <w:tcPr>
            <w:tcW w:w="1560" w:type="dxa"/>
          </w:tcPr>
          <w:p>
            <w:pPr>
              <w:spacing w:after="0"/>
            </w:pPr>
            <w:r>
              <w:t xml:space="preserve">0.2355</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7.2712</w:t>
            </w:r>
          </w:p>
        </w:tc>
        <w:tc>
          <w:tcPr>
            <w:tcW w:w="1560" w:type="dxa"/>
          </w:tcPr>
          <w:p>
            <w:pPr>
              <w:spacing w:after="0"/>
            </w:pPr>
            <w:r>
              <w:t xml:space="preserve">0.1335</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10.4217</w:t>
            </w:r>
          </w:p>
        </w:tc>
        <w:tc>
          <w:tcPr>
            <w:tcW w:w="1560" w:type="dxa"/>
          </w:tcPr>
          <w:p>
            <w:pPr>
              <w:spacing w:after="0"/>
            </w:pPr>
            <w:r>
              <w:t xml:space="preserve">0.0931</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6.9090</w:t>
            </w:r>
          </w:p>
        </w:tc>
        <w:tc>
          <w:tcPr>
            <w:tcW w:w="1560" w:type="dxa"/>
          </w:tcPr>
          <w:p>
            <w:pPr>
              <w:spacing w:after="0"/>
            </w:pPr>
            <w:r>
              <w:t xml:space="preserve">0.1385</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7.9887</w:t>
            </w:r>
          </w:p>
        </w:tc>
        <w:tc>
          <w:tcPr>
            <w:tcW w:w="1560" w:type="dxa"/>
          </w:tcPr>
          <w:p>
            <w:pPr>
              <w:spacing w:after="0"/>
            </w:pPr>
            <w:r>
              <w:t xml:space="preserve">0.1250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7.1543</w:t>
            </w:r>
          </w:p>
        </w:tc>
        <w:tc>
          <w:tcPr>
            <w:tcW w:w="1560" w:type="dxa"/>
          </w:tcPr>
          <w:p>
            <w:pPr>
              <w:spacing w:after="0"/>
            </w:pPr>
            <w:r>
              <w:t xml:space="preserve">0.1193</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3.4627</w:t>
            </w:r>
          </w:p>
        </w:tc>
        <w:tc>
          <w:tcPr>
            <w:tcW w:w="1560" w:type="dxa"/>
          </w:tcPr>
          <w:p>
            <w:pPr>
              <w:spacing w:after="0"/>
            </w:pPr>
            <w:r>
              <w:t xml:space="preserve">0.0902</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2.9817</w:t>
            </w:r>
          </w:p>
        </w:tc>
        <w:tc>
          <w:tcPr>
            <w:tcW w:w="1872" w:type="dxa"/>
          </w:tcPr>
          <w:p>
            <w:pPr>
              <w:spacing w:after="0"/>
            </w:pPr>
            <w:r>
              <w:t xml:space="preserve">0.6200</w:t>
            </w:r>
          </w:p>
        </w:tc>
        <w:tc>
          <w:tcPr>
            <w:tcW w:w="1872" w:type="dxa"/>
          </w:tcPr>
          <w:p>
            <w:pPr>
              <w:spacing w:after="0"/>
            </w:pPr>
            <w:r>
              <w:t xml:space="preserve">5.3914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3.3053</w:t>
            </w:r>
          </w:p>
        </w:tc>
        <w:tc>
          <w:tcPr>
            <w:tcW w:w="1872" w:type="dxa"/>
          </w:tcPr>
          <w:p>
            <w:pPr>
              <w:spacing w:after="0"/>
            </w:pPr>
            <w:r>
              <w:t xml:space="preserve">0.6138</w:t>
            </w:r>
          </w:p>
        </w:tc>
        <w:tc>
          <w:tcPr>
            <w:tcW w:w="1872" w:type="dxa"/>
          </w:tcPr>
          <w:p>
            <w:pPr>
              <w:spacing w:after="0"/>
            </w:pPr>
            <w:r>
              <w:t xml:space="preserve">5.9766</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3.4787</w:t>
            </w:r>
          </w:p>
        </w:tc>
        <w:tc>
          <w:tcPr>
            <w:tcW w:w="1872" w:type="dxa"/>
          </w:tcPr>
          <w:p>
            <w:pPr>
              <w:spacing w:after="0"/>
            </w:pPr>
            <w:r>
              <w:t xml:space="preserve">0.6110</w:t>
            </w:r>
          </w:p>
        </w:tc>
        <w:tc>
          <w:tcPr>
            <w:tcW w:w="1872" w:type="dxa"/>
          </w:tcPr>
          <w:p>
            <w:pPr>
              <w:spacing w:after="0"/>
            </w:pPr>
            <w:r>
              <w:t xml:space="preserve">6.2948</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3.6605</w:t>
            </w:r>
          </w:p>
        </w:tc>
        <w:tc>
          <w:tcPr>
            <w:tcW w:w="1872" w:type="dxa"/>
          </w:tcPr>
          <w:p>
            <w:pPr>
              <w:spacing w:after="0"/>
            </w:pPr>
            <w:r>
              <w:t xml:space="preserve">0.6084</w:t>
            </w:r>
          </w:p>
        </w:tc>
        <w:tc>
          <w:tcPr>
            <w:tcW w:w="1872" w:type="dxa"/>
          </w:tcPr>
          <w:p>
            <w:pPr>
              <w:spacing w:after="0"/>
            </w:pPr>
            <w:r>
              <w:t xml:space="preserve">6.6318</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3.8512</w:t>
            </w:r>
          </w:p>
        </w:tc>
        <w:tc>
          <w:tcPr>
            <w:tcW w:w="1872" w:type="dxa"/>
          </w:tcPr>
          <w:p>
            <w:pPr>
              <w:spacing w:after="0"/>
            </w:pPr>
            <w:r>
              <w:t xml:space="preserve">0.6059</w:t>
            </w:r>
          </w:p>
        </w:tc>
        <w:tc>
          <w:tcPr>
            <w:tcW w:w="1872" w:type="dxa"/>
          </w:tcPr>
          <w:p>
            <w:pPr>
              <w:spacing w:after="0"/>
            </w:pPr>
            <w:r>
              <w:t xml:space="preserve">6.9888</w:t>
            </w:r>
          </w:p>
        </w:tc>
      </w:tr>
    </w:tbl>
    <w:p>
      <w:pPr>
        <w:spacing w:after="120"/>
      </w:pP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[A₄ + (4/3)Rd F³]θ″, with A₄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A</m:t>
            </m:r>
          </m:e>
          <m:sub>
            <m:r>
              <m:t xml:space="preserve">1</m:t>
            </m:r>
          </m:sub>
        </m:sSub>
        <m:r>
          <m:rPr>
            <m:sty m:val="p"/>
          </m:rPr>
          <m:t xml:space="preserve">=</m:t>
        </m:r>
        <m:sSub>
          <m:e>
            <m:r>
              <m:t xml:space="preserve">A</m:t>
            </m:r>
          </m:e>
          <m:sub>
            <m:r>
              <m:t xml:space="preserve">2</m:t>
            </m:r>
          </m:sub>
        </m:sSub>
        <m:r>
          <m:rPr>
            <m:sty m:val="p"/>
          </m:rPr>
          <m:t xml:space="preserve">=</m:t>
        </m:r>
        <m:sSub>
          <m:e>
            <m:r>
              <m:t xml:space="preserve">A</m:t>
            </m:r>
          </m:e>
          <m:sub>
            <m:r>
              <m:t xml:space="preserve">3</m:t>
            </m:r>
          </m:sub>
        </m:sSub>
        <m:r>
          <m:rPr>
            <m:sty m:val="p"/>
          </m:rPr>
          <m:t xml:space="preserve">=</m:t>
        </m:r>
        <m:sSub>
          <m:e>
            <m:r>
              <m:t xml:space="preserve">A</m:t>
            </m:r>
          </m:e>
          <m:sub>
            <m:r>
              <m:t xml:space="preserve">4</m:t>
            </m:r>
          </m:sub>
        </m:sSub>
        <m:r>
          <m:rPr>
            <m:sty m:val="p"/>
          </m:rPr>
          <m:t xml:space="preserve">=</m:t>
        </m:r>
        <m:sSub>
          <m:e>
            <m:r>
              <m:t xml:space="preserve">A</m:t>
            </m:r>
          </m:e>
          <m:sub>
            <m:r>
              <m:t xml:space="preserve">5</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A</m:t>
            </m:r>
          </m:e>
          <m:sub>
            <m:r>
              <m:t xml:space="preserve">4</m:t>
            </m:r>
          </m:sub>
        </m:sSub>
        <m:r>
          <m:t xml:space="preserve">θ</m:t>
        </m:r>
        <m:r>
          <m:t xml:space="preserve">′′</m:t>
        </m:r>
        <m:r>
          <m:rPr>
            <m:sty m:val="p"/>
          </m:rPr>
          <m:t xml:space="preserve">+</m:t>
        </m:r>
        <m:sSub>
          <m:e>
            <m:r>
              <m:t xml:space="preserve">A</m:t>
            </m:r>
          </m:e>
          <m:sub>
            <m:r>
              <m:t xml:space="preserve">5</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A</m:t>
                </m:r>
              </m:e>
              <m:sub>
                <m:r>
                  <m:t xml:space="preserve">1</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A</m:t>
                </m:r>
              </m:e>
              <m:sub>
                <m:r>
                  <m:t xml:space="preserve">3</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A</m:t>
                </m:r>
              </m:e>
              <m:sub>
                <m:r>
                  <m:t xml:space="preserve">2</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w:t>
      </w:r>
    </w:p>
    <w:p>
      <w:pPr>
        <w:tabs>
          <w:tab w:val="center" w:pos="4680"/>
          <w:tab w:val="right" w:pos="9360"/>
        </w:tabs>
        <w:spacing w:after="120"/>
      </w:pPr>
      <w:r>
        <w:tab/>
      </w:r>
      <m:oMath>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A</m:t>
            </m:r>
          </m:e>
          <m:sub>
            <m:r>
              <m:t xml:space="preserve">5</m:t>
            </m:r>
          </m:sub>
        </m:sSub>
        <m:r>
          <m:t xml:space="preserve">Pr</m:t>
        </m:r>
        <m:r>
          <m:t xml:space="preserve">f</m:t>
        </m:r>
        <m:r>
          <m:t xml:space="preserve">θ</m:t>
        </m:r>
        <m:r>
          <m:t xml:space="preserve">′</m:t>
        </m:r>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A</m:t>
            </m:r>
          </m:e>
          <m:sub>
            <m:r>
              <m:t xml:space="preserve">4</m:t>
            </m:r>
          </m:sub>
        </m:sSub>
        <m:sSup>
          <m:e>
            <m:d>
              <m:dPr>
                <m:begChr m:val="("/>
                <m:endChr m:val=")"/>
              </m:dPr>
              <m:e>
                <m:r>
                  <m:t xml:space="preserve">θ</m:t>
                </m:r>
                <m:r>
                  <m:t xml:space="preserve">′</m:t>
                </m:r>
              </m:e>
            </m:d>
          </m:e>
          <m:sup>
            <m:r>
              <m:t xml:space="preserve">2</m:t>
            </m:r>
          </m:sup>
        </m:sSup>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A</m:t>
                </m:r>
              </m:e>
              <m:sub>
                <m:r>
                  <m:t xml:space="preserve">4</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(A₄ = 1) are</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(1)</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[23] must be restricted to a common Newtonian limit or another explicitly demonstrated constitutive correspondence.</w:t>
      </w:r>
    </w:p>
    <w:p>
      <w:pPr>
        <w:pStyle w:val="Heading1"/>
      </w:pPr>
      <w:r>
        <w:rPr>
          <w:b/>
        </w:rPr>
        <w:t xml:space="preserve">References</w:t>
      </w:r>
    </w:p>
    <w:p>
      <w:pPr>
        <w:spacing w:after="120"/>
      </w:pPr>
      <w:r>
        <w:t xml:space="preserve">[1] S. U. S. Choi, J. A. Eastman, Enhancing thermal conductivity of fluids with nanoparticles, ASME IMECE, San Francisco, 1995, pp. 99–105.</w:t>
      </w:r>
    </w:p>
    <w:p>
      <w:pPr>
        <w:spacing w:after="120"/>
      </w:pPr>
      <w:r>
        <w:t xml:space="preserve">[4] S. Suresh, K. P. Venkitaraj, P. Selvakumar, M. Chandrasekar, Synthesis of Al2O3–Cu/water hybrid nanofluids using two step method, Colloids Surf. A 388 (2011) 41–48.</w:t>
      </w:r>
    </w:p>
    <w:p>
      <w:pPr>
        <w:spacing w:after="120"/>
      </w:pPr>
      <w:r>
        <w:t xml:space="preserve">[5] D. K. Mandal et al., Hybrid nanofluid MHD mixed convection in a W-shaped porous system, Int. J. Numer. Methods Heat Fluid Flow 33 (2023).</w:t>
      </w:r>
    </w:p>
    <w:p>
      <w:pPr>
        <w:spacing w:after="120"/>
      </w:pPr>
      <w:r>
        <w:t xml:space="preserve">[8] I. Tlili, H. A. Nabwey, G. Ashwinkumar, N. Sandeep, 3-D MHD AA7072-AA7075/methanol hybrid nanofluid flow, Sci. Rep. 10 (2020) 1–13.</w:t>
      </w:r>
    </w:p>
    <w:p>
      <w:pPr>
        <w:spacing w:after="120"/>
      </w:pPr>
      <w:r>
        <w:t xml:space="preserve">[12] P. J. Carreau, Rheological equations from molecular network theories, Trans. Soc. Rheol. 16 (1972) 99–127.</w:t>
      </w:r>
    </w:p>
    <w:p>
      <w:pPr>
        <w:spacing w:after="120"/>
      </w:pPr>
      <w:r>
        <w:t xml:space="preserve">[13] S. A. G. A. Shah et al., Thermal radiation on convective heat transfer in MHD Carreau fluid, Sci. Rep. 13 (2023).</w:t>
      </w:r>
    </w:p>
    <w:p>
      <w:pPr>
        <w:spacing w:after="120"/>
      </w:pPr>
      <w:r>
        <w:t xml:space="preserve">[14] H. A. Wahab et al., Inclined magnetic aspect of infinite shear rate Carreau fluid, Arab. J. Chem. 16 (2023).</w:t>
      </w:r>
    </w:p>
    <w:p>
      <w:pPr>
        <w:spacing w:after="120"/>
      </w:pPr>
      <w:r>
        <w:t xml:space="preserve">[15] M. Mkhatshwa, M. Khumalo, Irreversibility of EMHD Darcy–Forchheimer slip flow of Carreau hybrid nanofluid, Heat Transf. 52 (2023) 395–429.</w:t>
      </w:r>
    </w:p>
    <w:p>
      <w:pPr>
        <w:spacing w:after="120"/>
      </w:pPr>
      <w:r>
        <w:t xml:space="preserve">[18] M. J. Stefan, Versuch über die scheinbare Adhäsion, Sitzungsber. Akad. Wiss. Wien 69 (1874) 713–721.</w:t>
      </w:r>
    </w:p>
    <w:p>
      <w:pPr>
        <w:spacing w:after="120"/>
      </w:pPr>
      <w:r>
        <w:t xml:space="preserve">[19] R. J. Grimm, Squeezing flows of Newtonian liquid films, Appl. Sci. Res. 32 (1976) 149–166.</w:t>
      </w:r>
    </w:p>
    <w:p>
      <w:pPr>
        <w:spacing w:after="120"/>
      </w:pPr>
      <w:r>
        <w:t xml:space="preserve">[20] G. M. Sobamowo, A. T. Akinshilo, Squeezing flow of nanofluid between two parallel plates under magnetic field, Alex. Eng. J. 57 (2018) 1413–1423.</w:t>
      </w:r>
    </w:p>
    <w:p>
      <w:pPr>
        <w:spacing w:after="120"/>
      </w:pPr>
      <w:r>
        <w:t xml:space="preserve">[23] K. Bhaskar, K. Sharma, Unsteady MHD squeezing viscous Casson fluid flow with cross-diffusion and thermal radiative effects, Indian J. Phys. 95(7) (2021) 1453–1467.</w:t>
      </w:r>
    </w:p>
    <w:p>
      <w:pPr>
        <w:spacing w:after="120"/>
      </w:pPr>
      <w:r>
        <w:t xml:space="preserve">[26] A. Shojaei et al., Hydrothermal analysis of second grade fluid with Soret and Dufour effects, Case Stud. Therm. Eng. 13 (2019).</w:t>
      </w:r>
    </w:p>
    <w:p>
      <w:pPr>
        <w:spacing w:after="120"/>
      </w:pPr>
      <w:r>
        <w:t xml:space="preserve">[27] K. Rafique et al., Casson nanofluid flow with Soret and Dufour effects by Keller-box, Front. Phys. 7 (2019).</w:t>
      </w:r>
    </w:p>
    <w:p>
      <w:pPr>
        <w:spacing w:after="120"/>
      </w:pPr>
      <w:r>
        <w:t xml:space="preserve">[28] R. N. Kumar et al., Soret and Dufour effects on Oldroyd-B fluid under convective condition, Indian J. Phys. 97 (2023).</w:t>
      </w:r>
    </w:p>
    <w:p>
      <w:pPr>
        <w:spacing w:after="120"/>
      </w:pPr>
      <w:r>
        <w:t xml:space="preserve">[34] A. Bejan, A study of entropy generation in fundamental convective heat transfer, ASME J. Heat Transf. 101 (1979) 718–725.</w:t>
      </w:r>
    </w:p>
    <w:p>
      <w:pPr>
        <w:spacing w:after="120"/>
      </w:pPr>
      <w:r>
        <w:t xml:space="preserve">[36] M. I. Khan et al., Entropy optimization in Williamson nanofluid with chemical reaction and Joule heating, Int. J. Heat Mass Transf. 133 (2019) 959–967.</w:t>
      </w:r>
    </w:p>
    <w:p>
      <w:pPr>
        <w:spacing w:after="120"/>
      </w:pPr>
      <w:r>
        <w:t xml:space="preserve">[41] A. Ali, S. Sarkar, S. Das, R. N. Jana, Irreversibility of Carreau hybrid nanofluid over a stretching sheet with radiation, Waves Random Complex Media 33 (2023).</w:t>
      </w:r>
    </w:p>
    <w:p>
      <w:pPr>
        <w:spacing w:after="120"/>
      </w:pPr>
      <w:r>
        <w:t xml:space="preserve">[42] P. K. Yadav, A. Kumar, Entropy generation of unsteady squeezing MHD nanofluid flow between parallel plates, Int. Commun. Heat Mass Transf. 128 (2021) 105632.</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