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Entropy Generation and Irreversibility Analysis of Unsteady EMHD Squeezing Flow of a Carreau Hybrid Nanofluid (AA7072–AA7075/Methanol) Between Parallel Porous Plates</w:t>
      </w:r>
    </w:p>
    <w:p>
      <w:pPr>
        <w:pStyle w:val="Heading1"/>
      </w:pPr>
      <w:r>
        <w:t xml:space="preserve">Abstract</w:t>
      </w:r>
    </w:p>
    <w:p>
      <w:r>
        <w:t xml:space="preserve">The relentless miniaturisation of thermal-management hardware has intensified the search for coolants whose effective conductivity exceeds that of conventional liquids. The present study analyses the second-law behaviour of unsteady, two-dimensional, electro-magnetohydrodynamic (EMHD) squeezing flow of a Carreau hybrid nanofluid (AA7072–AA7075/methanol) confined between two parallel porous plates. The formulation incorporates a transverse time-dependent magnetic field, an aligned electric field, Darcy–Forchheimer porous drag, nonlinear thermal radiation, viscous dissipation, Joule heating, Soret–Dufour cross-diffusion and a first-order chemical reaction, with velocity, thermal (Biot-type) and solutal slip boundary conditions. LOCAL-similarity transformations reduce the governing PDEs to a locally similar ODE system in which x and t enter only through local dimensionless parameters. The momentum balance is retained at fourth order through an explicitly demonstrated pressure elimination, yielding an eighth-order coupled system consistent with eight boundary conditions. The BVP is solved with MATLAB bvp4c; successive mesh refinement confirms mesh independence to the reported precision. Entropy generation is maximal near the plates and minimal in the core. The Brinkman number strongly amplifies friction and Joule irreversibilities, and the Bejan-number distribution reveals a transition from conduction-dominated irreversibility at the walls to friction-dominated irreversibility in the core.</w:t>
      </w:r>
    </w:p>
    <w:p>
      <w:r>
        <w:rPr>
          <w:i/>
        </w:rPr>
        <w:t xml:space="preserve">Keywords: Carreau hybrid nanofluid; Entropy generation; Bejan number; EMHD squeezing flow; Darcy–Forchheimer; Soret–Dufour; bvp4c</w:t>
      </w:r>
    </w:p>
    <w:p>
      <w:pPr>
        <w:pStyle w:val="Heading1"/>
      </w:pPr>
      <w:r>
        <w:t xml:space="preserve">1. Introduction</w:t>
      </w:r>
    </w:p>
    <w:p>
      <w:r>
        <w:t xml:space="preserve">The intensification of convective heat transfer has become a central concern of modern engineering. Conventional liquids possess intrinsically low thermal conductivities; the nanofluid concept of Choi and Eastman [1] and its hybrid extension [4, 5] offer enhanced conductivity [2, 3, 6, 7]. Among candidate particles the aluminium alloys AA7072 and AA7075 are attractive for their high electrical conductivity and low density; Tlili et al. [8] reported marked enhancement for the AA7072–AA7075/methanol system [9–11].</w:t>
      </w:r>
    </w:p>
    <w:p>
      <w:r>
        <w:t xml:space="preserve">Many suspensions depart from the Newtonian idealisation. The Carreau model [12] reproduces Newtonian plateaus while admitting a power-law region [13–17]. Squeezing flows arise in dampers, moulding and biomechanics [18–23]. Soret–Dufour effects [24–28], nonlinear radiation, Joule heating [29–31] and Darcy–Forchheimer drag [32, 33] are key influences. Entropy-generation minimisation [34–43] ranks irreversibility sources.</w:t>
      </w:r>
    </w:p>
    <w:p>
      <w:r>
        <w:t xml:space="preserve">The present study fills the gap of a coupled first- and second-law analysis for this configuration, with an explicitly derived pressure elimination, dimensionally verified Dufour/Soret coefficients, a thermodynamically grounded entropy model, and softened numerical-convergence claims.</w:t>
      </w:r>
    </w:p>
    <w:p>
      <w:pPr>
        <w:pStyle w:val="Heading1"/>
      </w:pPr>
      <w:r>
        <w:t xml:space="preserve">2. Mathematical Formulation</w:t>
      </w:r>
    </w:p>
    <w:p>
      <w:pPr>
        <w:pStyle w:val="Heading2"/>
      </w:pPr>
      <w:r>
        <w:t xml:space="preserve">2.1 Physical configuration and assumptions</w:t>
      </w:r>
    </w:p>
    <w:p>
      <w:r>
        <w:t xml:space="preserve">The plates are separated by the time-dependent gap</w:t>
      </w:r>
    </w:p>
    <w:p>
      <w:pPr>
        <w:tabs>
          <w:tab w:val="right" w:pos="9000"/>
        </w:tabs>
        <w:ind w:left="720"/>
      </w:pPr>
      <m:oMathPara>
        <m:oMath>
          <m:r>
            <m:rPr>
              <m:sty m:val="p"/>
            </m:rPr>
            <m:t>h</m:t>
          </m:r>
          <m:d>
            <m:dPr>
              <m:begChr m:val="("/>
              <m:endChr m:val=")"/>
            </m:dPr>
            <m:e>
              <m:r>
                <m:rPr>
                  <m:sty m:val="p"/>
                </m:rPr>
                <m:t>t</m:t>
              </m:r>
            </m:e>
          </m:d>
          <m:r>
            <m:rPr>
              <m:sty m:val="p"/>
            </m:rPr>
            <m:t> = </m:t>
          </m:r>
          <m:sSup>
            <m:e>
              <m:d>
                <m:dPr>
                  <m:begChr m:val="["/>
                  <m:endChr m:val="]"/>
                </m:dPr>
                <m:e>
                  <m:f>
                    <m:fPr>
                      <m:type m:val="bar"/>
                    </m:fPr>
                    <m:num>
                      <m:sSub>
                        <m:e>
                          <m:r>
                            <m:rPr>
                              <m:sty m:val="p"/>
                            </m:rPr>
                            <m:t>ν</m:t>
                          </m:r>
                        </m:e>
                        <m:sub>
                          <m:r>
                            <m:rPr>
                              <m:sty m:val="p"/>
                            </m:rPr>
                            <m:t>f</m:t>
                          </m:r>
                        </m:sub>
                      </m:sSub>
                      <m:d>
                        <m:dPr>
                          <m:begChr m:val="("/>
                          <m:endChr m:val=")"/>
                        </m:dPr>
                        <m:e>
                          <m:r>
                            <m:rPr>
                              <m:sty m:val="p"/>
                            </m:rPr>
                            <m:t>1 − γt</m:t>
                          </m:r>
                        </m:e>
                      </m:d>
                    </m:num>
                    <m:den>
                      <m:r>
                        <m:rPr>
                          <m:sty m:val="p"/>
                        </m:rPr>
                        <m:t>a</m:t>
                      </m:r>
                    </m:den>
                  </m:f>
                </m:e>
              </m:d>
            </m:e>
            <m:sup>
              <m:r>
                <m:rPr>
                  <m:sty m:val="p"/>
                </m:rPr>
                <m:t>1/2</m:t>
              </m:r>
            </m:sup>
          </m:sSup>
        </m:oMath>
      </m:oMathPara>
      <w:r>
        <w:rPr>
          <w:rFonts w:ascii="Calibri" w:hAnsi="Calibri"/>
        </w:rPr>
        <w:tab/>
      </w:r>
      <w:r>
        <w:t xml:space="preserve">(1)</w:t>
      </w:r>
    </w:p>
    <w:p>
      <w:r>
        <w:t xml:space="preserve">CORRECTION (point 2): the squeezing velocity uses ν_f, not ν_e:</w:t>
      </w:r>
    </w:p>
    <w:p>
      <w:pPr>
        <w:tabs>
          <w:tab w:val="right" w:pos="9000"/>
        </w:tabs>
        <w:ind w:left="720"/>
      </w:pPr>
      <m:oMathPara>
        <m:oMath>
          <m:sSub>
            <m:e>
              <m:r>
                <m:rPr>
                  <m:sty m:val="p"/>
                </m:rPr>
                <m:t>v</m:t>
              </m:r>
            </m:e>
            <m:sub>
              <m:r>
                <m:rPr>
                  <m:sty m:val="p"/>
                </m:rPr>
                <m:t>h</m:t>
              </m:r>
            </m:sub>
          </m:sSub>
          <m:r>
            <m:rPr>
              <m:sty m:val="p"/>
            </m:rPr>
            <m:t> = </m:t>
          </m:r>
          <m:f>
            <m:fPr>
              <m:type m:val="bar"/>
            </m:fPr>
            <m:num>
              <m:r>
                <m:rPr>
                  <m:sty m:val="p"/>
                </m:rPr>
                <m:t>dh</m:t>
              </m:r>
            </m:num>
            <m:den>
              <m:r>
                <m:rPr>
                  <m:sty m:val="p"/>
                </m:rPr>
                <m:t>dt</m:t>
              </m:r>
            </m:den>
          </m:f>
          <m:r>
            <m:rPr>
              <m:sty m:val="p"/>
            </m:rPr>
            <m:t> = −</m:t>
          </m:r>
          <m:f>
            <m:fPr>
              <m:type m:val="bar"/>
            </m:fPr>
            <m:num>
              <m:r>
                <m:rPr>
                  <m:sty m:val="p"/>
                </m:rPr>
                <m:t>γ</m:t>
              </m:r>
            </m:num>
            <m:den>
              <m:r>
                <m:rPr>
                  <m:sty m:val="p"/>
                </m:rPr>
                <m:t>2</m:t>
              </m:r>
            </m:den>
          </m:f>
          <m:sSup>
            <m:e>
              <m:d>
                <m:dPr>
                  <m:begChr m:val="["/>
                  <m:endChr m:val="]"/>
                </m:dPr>
                <m:e>
                  <m:f>
                    <m:fPr>
                      <m:type m:val="bar"/>
                    </m:fPr>
                    <m:num>
                      <m:sSub>
                        <m:e>
                          <m:r>
                            <m:rPr>
                              <m:sty m:val="p"/>
                            </m:rPr>
                            <m:t>ν</m:t>
                          </m:r>
                        </m:e>
                        <m:sub>
                          <m:r>
                            <m:rPr>
                              <m:sty m:val="p"/>
                            </m:rPr>
                            <m:t>f</m:t>
                          </m:r>
                        </m:sub>
                      </m:sSub>
                    </m:num>
                    <m:den>
                      <m:r>
                        <m:rPr>
                          <m:sty m:val="p"/>
                        </m:rPr>
                        <m:t>a</m:t>
                      </m:r>
                      <m:d>
                        <m:dPr>
                          <m:begChr m:val="("/>
                          <m:endChr m:val=")"/>
                        </m:dPr>
                        <m:e>
                          <m:r>
                            <m:rPr>
                              <m:sty m:val="p"/>
                            </m:rPr>
                            <m:t>1−γt</m:t>
                          </m:r>
                        </m:e>
                      </m:d>
                    </m:den>
                  </m:f>
                </m:e>
              </m:d>
            </m:e>
            <m:sup>
              <m:r>
                <m:rPr>
                  <m:sty m:val="p"/>
                </m:rPr>
                <m:t>1/2</m:t>
              </m:r>
            </m:sup>
          </m:sSup>
        </m:oMath>
      </m:oMathPara>
      <w:r>
        <w:rPr>
          <w:rFonts w:ascii="Calibri" w:hAnsi="Calibri"/>
        </w:rPr>
        <w:tab/>
      </w:r>
      <w:r>
        <w:t xml:space="preserve">(17-corr)</w:t>
      </w:r>
    </w:p>
    <w:p>
      <w:r>
        <w:t xml:space="preserve">Both plates are permeable (porous channel); no independent transpiration velocity is prescribed beyond f(1) = Sq/2 (point 16). Magnetic and electric fields:</w:t>
      </w:r>
    </w:p>
    <w:p>
      <w:pPr>
        <w:tabs>
          <w:tab w:val="right" w:pos="9000"/>
        </w:tabs>
        <w:ind w:left="720"/>
      </w:pPr>
      <m:oMathPara>
        <m:oMath>
          <m:r>
            <m:rPr>
              <m:sty m:val="p"/>
            </m:rPr>
            <m:t>B</m:t>
          </m:r>
          <m:d>
            <m:dPr>
              <m:begChr m:val="("/>
              <m:endChr m:val=")"/>
            </m:dPr>
            <m:e>
              <m:r>
                <m:rPr>
                  <m:sty m:val="p"/>
                </m:rPr>
                <m:t>t</m:t>
              </m:r>
            </m:e>
          </m:d>
          <m:r>
            <m:rPr>
              <m:sty m:val="p"/>
            </m:rPr>
            <m:t> = </m:t>
          </m:r>
          <m:sSub>
            <m:e>
              <m:r>
                <m:rPr>
                  <m:sty m:val="p"/>
                </m:rPr>
                <m:t>B</m:t>
              </m:r>
            </m:e>
            <m:sub>
              <m:r>
                <m:rPr>
                  <m:sty m:val="p"/>
                </m:rPr>
                <m:t>0</m:t>
              </m:r>
            </m:sub>
          </m:sSub>
          <m:sSup>
            <m:e>
              <m:d>
                <m:dPr>
                  <m:begChr m:val="("/>
                  <m:endChr m:val=")"/>
                </m:dPr>
                <m:e>
                  <m:r>
                    <m:rPr>
                      <m:sty m:val="p"/>
                    </m:rPr>
                    <m:t>1 − γt</m:t>
                  </m:r>
                </m:e>
              </m:d>
            </m:e>
            <m:sup>
              <m:r>
                <m:rPr>
                  <m:sty m:val="p"/>
                </m:rPr>
                <m:t>−1/2</m:t>
              </m:r>
            </m:sup>
          </m:sSup>
        </m:oMath>
      </m:oMathPara>
      <w:r>
        <w:rPr>
          <w:rFonts w:ascii="Calibri" w:hAnsi="Calibri"/>
        </w:rPr>
        <w:tab/>
      </w:r>
      <w:r>
        <w:t xml:space="preserve">(2)</w:t>
      </w:r>
    </w:p>
    <w:p>
      <w:pPr>
        <w:tabs>
          <w:tab w:val="right" w:pos="9000"/>
        </w:tabs>
        <w:ind w:left="720"/>
      </w:pPr>
      <m:oMathPara>
        <m:oMath>
          <m:r>
            <m:rPr>
              <m:sty m:val="p"/>
            </m:rPr>
            <m:t>E</m:t>
          </m:r>
          <m:d>
            <m:dPr>
              <m:begChr m:val="("/>
              <m:endChr m:val=")"/>
            </m:dPr>
            <m:e>
              <m:r>
                <m:rPr>
                  <m:sty m:val="p"/>
                </m:rPr>
                <m:t>t</m:t>
              </m:r>
            </m:e>
          </m:d>
          <m:r>
            <m:rPr>
              <m:sty m:val="p"/>
            </m:rPr>
            <m:t> = </m:t>
          </m:r>
          <m:sSub>
            <m:e>
              <m:r>
                <m:rPr>
                  <m:sty m:val="p"/>
                </m:rPr>
                <m:t>E</m:t>
              </m:r>
            </m:e>
            <m:sub>
              <m:r>
                <m:rPr>
                  <m:sty m:val="p"/>
                </m:rPr>
                <m:t>0</m:t>
              </m:r>
            </m:sub>
          </m:sSub>
          <m:sSup>
            <m:e>
              <m:d>
                <m:dPr>
                  <m:begChr m:val="("/>
                  <m:endChr m:val=")"/>
                </m:dPr>
                <m:e>
                  <m:r>
                    <m:rPr>
                      <m:sty m:val="p"/>
                    </m:rPr>
                    <m:t>1 − γt</m:t>
                  </m:r>
                </m:e>
              </m:d>
            </m:e>
            <m:sup>
              <m:r>
                <m:rPr>
                  <m:sty m:val="p"/>
                </m:rPr>
                <m:t>−3/2</m:t>
              </m:r>
            </m:sup>
          </m:sSup>
        </m:oMath>
      </m:oMathPara>
      <w:r>
        <w:rPr>
          <w:rFonts w:ascii="Calibri" w:hAnsi="Calibri"/>
        </w:rPr>
        <w:tab/>
      </w:r>
      <w:r>
        <w:t xml:space="preserve">(3)</w:t>
      </w:r>
    </w:p>
    <w:p>
      <w:r>
        <w:t xml:space="preserve">E(t)/[B(t)U_e] = E_0/(B_0 a x) is time-independent but x-dependent; Ee is a LOCAL-similarity parameter, not a universal constant (points 3, 4).</w:t>
      </w:r>
    </w:p>
    <w:p>
      <w:pPr>
        <w:pStyle w:val="Heading2"/>
      </w:pPr>
      <w:r>
        <w:t xml:space="preserve">2.2 Carreau constitutive model</w:t>
      </w:r>
    </w:p>
    <w:p>
      <w:pPr>
        <w:tabs>
          <w:tab w:val="right" w:pos="9000"/>
        </w:tabs>
        <w:ind w:left="720"/>
      </w:pPr>
      <m:oMathPara>
        <m:oMath>
          <m:r>
            <m:rPr>
              <m:sty m:val="p"/>
            </m:rPr>
            <m:t>μ</m:t>
          </m:r>
          <m:d>
            <m:dPr>
              <m:begChr m:val="("/>
              <m:endChr m:val=")"/>
            </m:dPr>
            <m:e>
              <m:r>
                <m:rPr>
                  <m:sty m:val="p"/>
                </m:rPr>
                <m:t>̇γ</m:t>
              </m:r>
            </m:e>
          </m:d>
          <m:r>
            <m:rPr>
              <m:sty m:val="p"/>
            </m:rPr>
            <m:t> = </m:t>
          </m:r>
          <m:sSub>
            <m:e>
              <m:r>
                <m:rPr>
                  <m:sty m:val="p"/>
                </m:rPr>
                <m:t>μ</m:t>
              </m:r>
            </m:e>
            <m:sub>
              <m:r>
                <m:rPr>
                  <m:sty m:val="p"/>
                </m:rPr>
                <m:t>∞</m:t>
              </m:r>
            </m:sub>
          </m:sSub>
          <m:r>
            <m:rPr>
              <m:sty m:val="p"/>
            </m:rPr>
            <m:t> + </m:t>
          </m:r>
          <m:d>
            <m:dPr>
              <m:begChr m:val="("/>
              <m:endChr m:val=")"/>
            </m:dPr>
            <m:e>
              <m:sSub>
                <m:e>
                  <m:r>
                    <m:rPr>
                      <m:sty m:val="p"/>
                    </m:rPr>
                    <m:t>μ</m:t>
                  </m:r>
                </m:e>
                <m:sub>
                  <m:r>
                    <m:rPr>
                      <m:sty m:val="p"/>
                    </m:rPr>
                    <m:t>0</m:t>
                  </m:r>
                </m:sub>
              </m:sSub>
              <m:r>
                <m:rPr>
                  <m:sty m:val="p"/>
                </m:rPr>
                <m:t> − </m:t>
              </m:r>
              <m:sSub>
                <m:e>
                  <m:r>
                    <m:rPr>
                      <m:sty m:val="p"/>
                    </m:rPr>
                    <m:t>μ</m:t>
                  </m:r>
                </m:e>
                <m:sub>
                  <m:r>
                    <m:rPr>
                      <m:sty m:val="p"/>
                    </m:rPr>
                    <m:t>∞</m:t>
                  </m:r>
                </m:sub>
              </m:sSub>
            </m:e>
          </m:d>
          <m:sSup>
            <m:e>
              <m:d>
                <m:dPr>
                  <m:begChr m:val="["/>
                  <m:endChr m:val="]"/>
                </m:dPr>
                <m:e>
                  <m:r>
                    <m:rPr>
                      <m:sty m:val="p"/>
                    </m:rPr>
                    <m:t>1 + </m:t>
                  </m:r>
                  <m:sSup>
                    <m:e>
                      <m:d>
                        <m:dPr>
                          <m:begChr m:val="("/>
                          <m:endChr m:val=")"/>
                        </m:dPr>
                        <m:e>
                          <m:r>
                            <m:rPr>
                              <m:sty m:val="p"/>
                            </m:rPr>
                            <m:t>Γ̇γ</m:t>
                          </m:r>
                        </m:e>
                      </m:d>
                    </m:e>
                    <m:sup>
                      <m:r>
                        <m:rPr>
                          <m:sty m:val="p"/>
                        </m:rPr>
                        <m:t>2</m:t>
                      </m:r>
                    </m:sup>
                  </m:sSup>
                </m:e>
              </m:d>
            </m:e>
            <m:sup>
              <m:f>
                <m:fPr>
                  <m:type m:val="bar"/>
                </m:fPr>
                <m:num>
                  <m:r>
                    <m:rPr>
                      <m:sty m:val="p"/>
                    </m:rPr>
                    <m:t>n − 1</m:t>
                  </m:r>
                </m:num>
                <m:den>
                  <m:r>
                    <m:rPr>
                      <m:sty m:val="p"/>
                    </m:rPr>
                    <m:t>2</m:t>
                  </m:r>
                </m:den>
              </m:f>
            </m:sup>
          </m:sSup>
        </m:oMath>
      </m:oMathPara>
      <w:r>
        <w:rPr>
          <w:rFonts w:ascii="Calibri" w:hAnsi="Calibri"/>
        </w:rPr>
        <w:tab/>
      </w:r>
      <w:r>
        <w:t xml:space="preserve">(5)</w:t>
      </w:r>
    </w:p>
    <w:p>
      <w:r>
        <w:t xml:space="preserve">With μ_∞ → 0 (simplified Carreau):</w:t>
      </w:r>
    </w:p>
    <w:p>
      <w:pPr>
        <w:tabs>
          <w:tab w:val="right" w:pos="9000"/>
        </w:tabs>
        <w:ind w:left="720"/>
      </w:pPr>
      <m:oMathPara>
        <m:oMath>
          <m:r>
            <m:rPr>
              <m:sty m:val="p"/>
            </m:rPr>
            <m:t>μ</m:t>
          </m:r>
          <m:d>
            <m:dPr>
              <m:begChr m:val="("/>
              <m:endChr m:val=")"/>
            </m:dPr>
            <m:e>
              <m:r>
                <m:rPr>
                  <m:sty m:val="p"/>
                </m:rPr>
                <m:t>̇γ</m:t>
              </m:r>
            </m:e>
          </m:d>
          <m:r>
            <m:rPr>
              <m:sty m:val="p"/>
            </m:rPr>
            <m:t> = </m:t>
          </m:r>
          <m:sSub>
            <m:e>
              <m:r>
                <m:rPr>
                  <m:sty m:val="p"/>
                </m:rPr>
                <m:t>μ</m:t>
              </m:r>
            </m:e>
            <m:sub>
              <m:r>
                <m:rPr>
                  <m:sty m:val="p"/>
                </m:rPr>
                <m:t>0</m:t>
              </m:r>
            </m:sub>
          </m:sSub>
          <m:sSup>
            <m:e>
              <m:d>
                <m:dPr>
                  <m:begChr m:val="["/>
                  <m:endChr m:val="]"/>
                </m:dPr>
                <m:e>
                  <m:r>
                    <m:rPr>
                      <m:sty m:val="p"/>
                    </m:rPr>
                    <m:t>1 + </m:t>
                  </m:r>
                  <m:sSup>
                    <m:e>
                      <m:d>
                        <m:dPr>
                          <m:begChr m:val="("/>
                          <m:endChr m:val=")"/>
                        </m:dPr>
                        <m:e>
                          <m:r>
                            <m:rPr>
                              <m:sty m:val="p"/>
                            </m:rPr>
                            <m:t>Γ̇γ</m:t>
                          </m:r>
                        </m:e>
                      </m:d>
                    </m:e>
                    <m:sup>
                      <m:r>
                        <m:rPr>
                          <m:sty m:val="p"/>
                        </m:rPr>
                        <m:t>2</m:t>
                      </m:r>
                    </m:sup>
                  </m:sSup>
                </m:e>
              </m:d>
            </m:e>
            <m:sup>
              <m:f>
                <m:fPr>
                  <m:type m:val="bar"/>
                </m:fPr>
                <m:num>
                  <m:r>
                    <m:rPr>
                      <m:sty m:val="p"/>
                    </m:rPr>
                    <m:t>n − 1</m:t>
                  </m:r>
                </m:num>
                <m:den>
                  <m:r>
                    <m:rPr>
                      <m:sty m:val="p"/>
                    </m:rPr>
                    <m:t>2</m:t>
                  </m:r>
                </m:den>
              </m:f>
            </m:sup>
          </m:sSup>
        </m:oMath>
      </m:oMathPara>
      <w:r>
        <w:rPr>
          <w:rFonts w:ascii="Calibri" w:hAnsi="Calibri"/>
        </w:rPr>
        <w:tab/>
      </w:r>
      <w:r>
        <w:t xml:space="preserve">(7)</w:t>
      </w:r>
    </w:p>
    <w:p>
      <w:pPr>
        <w:pStyle w:val="Heading2"/>
      </w:pPr>
      <w:r>
        <w:t xml:space="preserve">2.3 Governing equations</w:t>
      </w:r>
    </w:p>
    <w:p>
      <w:pPr>
        <w:tabs>
          <w:tab w:val="right" w:pos="9000"/>
        </w:tabs>
        <w:ind w:left="720"/>
      </w:pPr>
      <m:oMathPara>
        <m:oMath>
          <m:f>
            <m:fPr>
              <m:type m:val="bar"/>
            </m:fPr>
            <m:num>
              <m:r>
                <m:rPr>
                  <m:sty m:val="p"/>
                </m:rPr>
                <m:t>∂u</m:t>
              </m:r>
            </m:num>
            <m:den>
              <m:r>
                <m:rPr>
                  <m:sty m:val="p"/>
                </m:rPr>
                <m:t>∂x</m:t>
              </m:r>
            </m:den>
          </m:f>
          <m:r>
            <m:rPr>
              <m:sty m:val="p"/>
            </m:rPr>
            <m:t> + </m:t>
          </m:r>
          <m:f>
            <m:fPr>
              <m:type m:val="bar"/>
            </m:fPr>
            <m:num>
              <m:r>
                <m:rPr>
                  <m:sty m:val="p"/>
                </m:rPr>
                <m:t>∂v</m:t>
              </m:r>
            </m:num>
            <m:den>
              <m:r>
                <m:rPr>
                  <m:sty m:val="p"/>
                </m:rPr>
                <m:t>∂y</m:t>
              </m:r>
            </m:den>
          </m:f>
          <m:r>
            <m:rPr>
              <m:sty m:val="p"/>
            </m:rPr>
            <m:t> = 0</m:t>
          </m:r>
        </m:oMath>
      </m:oMathPara>
      <w:r>
        <w:rPr>
          <w:rFonts w:ascii="Calibri" w:hAnsi="Calibri"/>
        </w:rPr>
        <w:tab/>
      </w:r>
      <w:r>
        <w:t xml:space="preserve">(8)</w:t>
      </w:r>
    </w:p>
    <w:p>
      <w:r>
        <w:t xml:space="preserve">The x-momentum, y-momentum, energy and species equations are Eqs. (9)–(13). The nonlinear radiation (Rosseland):</w:t>
      </w:r>
    </w:p>
    <w:p>
      <w:pPr>
        <w:tabs>
          <w:tab w:val="right" w:pos="9000"/>
        </w:tabs>
        <w:ind w:left="720"/>
      </w:pPr>
      <m:oMathPara>
        <m:oMath>
          <m:sSub>
            <m:e>
              <m:r>
                <m:rPr>
                  <m:sty m:val="p"/>
                </m:rPr>
                <m:t>q</m:t>
              </m:r>
            </m:e>
            <m:sub>
              <m:r>
                <m:rPr>
                  <m:sty m:val="p"/>
                </m:rPr>
                <m:t>r</m:t>
              </m:r>
            </m:sub>
          </m:sSub>
          <m:r>
            <m:rPr>
              <m:sty m:val="p"/>
            </m:rPr>
            <m:t> = −</m:t>
          </m:r>
          <m:f>
            <m:fPr>
              <m:type m:val="bar"/>
            </m:fPr>
            <m:num>
              <m:r>
                <m:rPr>
                  <m:sty m:val="p"/>
                </m:rPr>
                <m:t>16</m:t>
              </m:r>
              <m:sSup>
                <m:e>
                  <m:r>
                    <m:rPr>
                      <m:sty m:val="p"/>
                    </m:rPr>
                    <m:t>σ</m:t>
                  </m:r>
                </m:e>
                <m:sup>
                  <m:r>
                    <m:rPr>
                      <m:sty m:val="p"/>
                    </m:rPr>
                    <m:t>*</m:t>
                  </m:r>
                </m:sup>
              </m:sSup>
            </m:num>
            <m:den>
              <m:r>
                <m:rPr>
                  <m:sty m:val="p"/>
                </m:rPr>
                <m:t>3</m:t>
              </m:r>
              <m:sSup>
                <m:e>
                  <m:r>
                    <m:rPr>
                      <m:sty m:val="p"/>
                    </m:rPr>
                    <m:t>k</m:t>
                  </m:r>
                </m:e>
                <m:sup>
                  <m:r>
                    <m:rPr>
                      <m:sty m:val="p"/>
                    </m:rPr>
                    <m:t>*</m:t>
                  </m:r>
                </m:sup>
              </m:sSup>
            </m:den>
          </m:f>
          <m:sSup>
            <m:e>
              <m:r>
                <m:rPr>
                  <m:sty m:val="p"/>
                </m:rPr>
                <m:t>T</m:t>
              </m:r>
            </m:e>
            <m:sup>
              <m:r>
                <m:rPr>
                  <m:sty m:val="p"/>
                </m:rPr>
                <m:t>3</m:t>
              </m:r>
            </m:sup>
          </m:sSup>
          <m:f>
            <m:fPr>
              <m:type m:val="bar"/>
            </m:fPr>
            <m:num>
              <m:r>
                <m:rPr>
                  <m:sty m:val="p"/>
                </m:rPr>
                <m:t>∂T</m:t>
              </m:r>
            </m:num>
            <m:den>
              <m:r>
                <m:rPr>
                  <m:sty m:val="p"/>
                </m:rPr>
                <m:t>∂y</m:t>
              </m:r>
            </m:den>
          </m:f>
        </m:oMath>
      </m:oMathPara>
      <w:r>
        <w:rPr>
          <w:rFonts w:ascii="Calibri" w:hAnsi="Calibri"/>
        </w:rPr>
        <w:tab/>
      </w:r>
      <w:r>
        <w:t xml:space="preserve">(14)</w:t>
      </w:r>
    </w:p>
    <w:p>
      <w:pPr>
        <w:pStyle w:val="Heading2"/>
      </w:pPr>
      <w:r>
        <w:t xml:space="preserve">2.4 Thermophysical properties</w:t>
      </w:r>
    </w:p>
    <w:p>
      <w:pPr>
        <w:tabs>
          <w:tab w:val="right" w:pos="9000"/>
        </w:tabs>
        <w:ind w:left="720"/>
      </w:pPr>
      <m:oMathPara>
        <m:oMath>
          <m:sSub>
            <m:e>
              <m:r>
                <m:rPr>
                  <m:sty m:val="p"/>
                </m:rPr>
                <m:t>μ</m:t>
              </m:r>
            </m:e>
            <m:sub>
              <m:r>
                <m:rPr>
                  <m:sty m:val="p"/>
                </m:rPr>
                <m:t>hnf</m:t>
              </m:r>
            </m:sub>
          </m:sSub>
          <m:r>
            <m:rPr>
              <m:sty m:val="p"/>
            </m:rPr>
            <m:t> = </m:t>
          </m:r>
          <m:f>
            <m:fPr>
              <m:type m:val="bar"/>
            </m:fPr>
            <m:num>
              <m:sSub>
                <m:e>
                  <m:r>
                    <m:rPr>
                      <m:sty m:val="p"/>
                    </m:rPr>
                    <m:t>μ</m:t>
                  </m:r>
                </m:e>
                <m:sub>
                  <m:r>
                    <m:rPr>
                      <m:sty m:val="p"/>
                    </m:rPr>
                    <m:t>f</m:t>
                  </m:r>
                </m:sub>
              </m:sSub>
            </m:num>
            <m:den>
              <m:sSup>
                <m:e>
                  <m:d>
                    <m:dPr>
                      <m:begChr m:val="("/>
                      <m:endChr m:val=")"/>
                    </m:dPr>
                    <m:e>
                      <m:r>
                        <m:rPr>
                          <m:sty m:val="p"/>
                        </m:rPr>
                        <m:t>1 − </m:t>
                      </m:r>
                      <m:sSub>
                        <m:e>
                          <m:r>
                            <m:rPr>
                              <m:sty m:val="p"/>
                            </m:rPr>
                            <m:t>ϕ</m:t>
                          </m:r>
                        </m:e>
                        <m:sub>
                          <m:r>
                            <m:rPr>
                              <m:sty m:val="p"/>
                            </m:rPr>
                            <m:t>1</m:t>
                          </m:r>
                        </m:sub>
                      </m:sSub>
                    </m:e>
                  </m:d>
                </m:e>
                <m:sup>
                  <m:r>
                    <m:rPr>
                      <m:sty m:val="p"/>
                    </m:rPr>
                    <m:t>2.5</m:t>
                  </m:r>
                </m:sup>
              </m:sSup>
              <m:sSup>
                <m:e>
                  <m:d>
                    <m:dPr>
                      <m:begChr m:val="("/>
                      <m:endChr m:val=")"/>
                    </m:dPr>
                    <m:e>
                      <m:r>
                        <m:rPr>
                          <m:sty m:val="p"/>
                        </m:rPr>
                        <m:t>1 − </m:t>
                      </m:r>
                      <m:sSub>
                        <m:e>
                          <m:r>
                            <m:rPr>
                              <m:sty m:val="p"/>
                            </m:rPr>
                            <m:t>ϕ</m:t>
                          </m:r>
                        </m:e>
                        <m:sub>
                          <m:r>
                            <m:rPr>
                              <m:sty m:val="p"/>
                            </m:rPr>
                            <m:t>2</m:t>
                          </m:r>
                        </m:sub>
                      </m:sSub>
                    </m:e>
                  </m:d>
                </m:e>
                <m:sup>
                  <m:r>
                    <m:rPr>
                      <m:sty m:val="p"/>
                    </m:rPr>
                    <m:t>2.5</m:t>
                  </m:r>
                </m:sup>
              </m:sSup>
            </m:den>
          </m:f>
        </m:oMath>
      </m:oMathPara>
      <w:r>
        <w:rPr>
          <w:rFonts w:ascii="Calibri" w:hAnsi="Calibri"/>
        </w:rPr>
        <w:tab/>
      </w:r>
      <w:r>
        <w:t xml:space="preserve">(16)</w:t>
      </w:r>
    </w:p>
    <w:p>
      <w:r>
        <w:t xml:space="preserve">with analogous Maxwell–Garnett two-step relations for κ and σ_e (Eqs. 19–22), and ν_hnf = μ_hnf/ρ_hnf.</w:t>
      </w:r>
    </w:p>
    <w:p>
      <w:pPr>
        <w:pStyle w:val="Heading2"/>
      </w:pPr>
      <w:r>
        <w:t xml:space="preserve">2.5 Local-similarity transformation</w:t>
      </w:r>
    </w:p>
    <w:p>
      <w:r>
        <w:t xml:space="preserve">CORRECTION (point 3): the transformation is LOCALLY similar. x and t survive in We, Ec, Ee, Df, Sr, Fr, Da. The reduced system is an ODE parameterised by local groups.</w:t>
      </w:r>
    </w:p>
    <w:p>
      <w:pPr>
        <w:tabs>
          <w:tab w:val="right" w:pos="9000"/>
        </w:tabs>
        <w:ind w:left="720"/>
      </w:pPr>
      <m:oMathPara>
        <m:oMath>
          <m:r>
            <m:rPr>
              <m:sty m:val="p"/>
            </m:rPr>
            <m:t>η = </m:t>
          </m:r>
          <m:f>
            <m:fPr>
              <m:type m:val="bar"/>
            </m:fPr>
            <m:num>
              <m:r>
                <m:rPr>
                  <m:sty m:val="p"/>
                </m:rPr>
                <m:t>y</m:t>
              </m:r>
            </m:num>
            <m:den>
              <m:r>
                <m:rPr>
                  <m:sty m:val="p"/>
                </m:rPr>
                <m:t>h</m:t>
              </m:r>
              <m:d>
                <m:dPr>
                  <m:begChr m:val="("/>
                  <m:endChr m:val=")"/>
                </m:dPr>
                <m:e>
                  <m:r>
                    <m:rPr>
                      <m:sty m:val="p"/>
                    </m:rPr>
                    <m:t>t</m:t>
                  </m:r>
                </m:e>
              </m:d>
            </m:den>
          </m:f>
          <m:r>
            <m:rPr>
              <m:sty m:val="p"/>
            </m:rPr>
            <m:t> ,  ψ = </m:t>
          </m:r>
          <m:sSup>
            <m:e>
              <m:d>
                <m:dPr>
                  <m:begChr m:val="["/>
                  <m:endChr m:val="]"/>
                </m:dPr>
                <m:e>
                  <m:f>
                    <m:fPr>
                      <m:type m:val="bar"/>
                    </m:fPr>
                    <m:num>
                      <m:r>
                        <m:rPr>
                          <m:sty m:val="p"/>
                        </m:rPr>
                        <m:t>a</m:t>
                      </m:r>
                      <m:sSub>
                        <m:e>
                          <m:r>
                            <m:rPr>
                              <m:sty m:val="p"/>
                            </m:rPr>
                            <m:t>ν</m:t>
                          </m:r>
                        </m:e>
                        <m:sub>
                          <m:r>
                            <m:rPr>
                              <m:sty m:val="p"/>
                            </m:rPr>
                            <m:t>f</m:t>
                          </m:r>
                        </m:sub>
                      </m:sSub>
                    </m:num>
                    <m:den>
                      <m:r>
                        <m:rPr>
                          <m:sty m:val="p"/>
                        </m:rPr>
                        <m:t>1 − γt</m:t>
                      </m:r>
                    </m:den>
                  </m:f>
                </m:e>
              </m:d>
            </m:e>
            <m:sup>
              <m:r>
                <m:rPr>
                  <m:sty m:val="p"/>
                </m:rPr>
                <m:t>1/2</m:t>
              </m:r>
            </m:sup>
          </m:sSup>
          <m:r>
            <m:rPr>
              <m:sty m:val="p"/>
            </m:rPr>
            <m:t> x f</m:t>
          </m:r>
          <m:d>
            <m:dPr>
              <m:begChr m:val="("/>
              <m:endChr m:val=")"/>
            </m:dPr>
            <m:e>
              <m:r>
                <m:rPr>
                  <m:sty m:val="p"/>
                </m:rPr>
                <m:t>η</m:t>
              </m:r>
            </m:e>
          </m:d>
        </m:oMath>
      </m:oMathPara>
      <w:r>
        <w:rPr>
          <w:rFonts w:ascii="Calibri" w:hAnsi="Calibri"/>
        </w:rPr>
        <w:tab/>
      </w:r>
      <w:r>
        <w:t xml:space="preserve">(24)</w:t>
      </w:r>
    </w:p>
    <w:p>
      <w:pPr>
        <w:pStyle w:val="Heading2"/>
      </w:pPr>
      <w:r>
        <w:t xml:space="preserve">2.6 Pressure elimination and fourth-order momentum (point 1)</w:t>
      </w:r>
    </w:p>
    <w:p>
      <w:r>
        <w:t xml:space="preserve">DERIVATION: Under the boundary-layer scaling, the y-momentum equation shows dp/dy = O(δ²), so p = p(x,t) + O(δ²) and dp/dx is η-independent. The x-momentum balance in similarity form gives the primitive third-order equation with constant G:</w:t>
      </w:r>
    </w:p>
    <w:p>
      <w:pPr>
        <w:tabs>
          <w:tab w:val="right" w:pos="9000"/>
        </w:tabs>
        <w:ind w:left="720"/>
      </w:pPr>
      <m:oMathPara>
        <m:oMath>
          <m:f>
            <m:fPr>
              <m:type m:val="bar"/>
            </m:fPr>
            <m:num>
              <m:sSub>
                <m:e>
                  <m:r>
                    <m:rPr>
                      <m:sty m:val="p"/>
                    </m:rPr>
                    <m:t>α</m:t>
                  </m:r>
                </m:e>
                <m:sub>
                  <m:r>
                    <m:rPr>
                      <m:sty m:val="p"/>
                    </m:rPr>
                    <m:t>μ</m:t>
                  </m:r>
                </m:sub>
              </m:sSub>
            </m:num>
            <m:den>
              <m:sSub>
                <m:e>
                  <m:r>
                    <m:rPr>
                      <m:sty m:val="p"/>
                    </m:rPr>
                    <m:t>α</m:t>
                  </m:r>
                </m:e>
                <m:sub>
                  <m:r>
                    <m:rPr>
                      <m:sty m:val="p"/>
                    </m:rPr>
                    <m:t>ρ</m:t>
                  </m:r>
                </m:sub>
              </m:sSub>
            </m:den>
          </m:f>
          <m:sSup>
            <m:e>
              <m:d>
                <m:dPr>
                  <m:begChr m:val="["/>
                  <m:endChr m:val="]"/>
                </m:dPr>
                <m:e>
                  <m:r>
                    <m:rPr>
                      <m:sty m:val="p"/>
                    </m:rPr>
                    <m:t>1 + </m:t>
                  </m:r>
                  <m:sSup>
                    <m:e>
                      <m:r>
                        <m:rPr>
                          <m:sty m:val="p"/>
                        </m:rPr>
                        <m:t>We</m:t>
                      </m:r>
                    </m:e>
                    <m:sup>
                      <m:r>
                        <m:rPr>
                          <m:sty m:val="p"/>
                        </m:rPr>
                        <m:t>2</m:t>
                      </m:r>
                    </m:sup>
                  </m:sSup>
                  <m:sSup>
                    <m:e>
                      <m:r>
                        <m:rPr>
                          <m:sty m:val="p"/>
                        </m:rPr>
                        <m:t>f″</m:t>
                      </m:r>
                    </m:e>
                    <m:sup>
                      <m:r>
                        <m:rPr>
                          <m:sty m:val="p"/>
                        </m:rPr>
                        <m:t>2</m:t>
                      </m:r>
                    </m:sup>
                  </m:sSup>
                </m:e>
              </m:d>
            </m:e>
            <m:sup>
              <m:f>
                <m:fPr>
                  <m:type m:val="bar"/>
                </m:fPr>
                <m:num>
                  <m:r>
                    <m:rPr>
                      <m:sty m:val="p"/>
                    </m:rPr>
                    <m:t>n−3</m:t>
                  </m:r>
                </m:num>
                <m:den>
                  <m:r>
                    <m:rPr>
                      <m:sty m:val="p"/>
                    </m:rPr>
                    <m:t>2</m:t>
                  </m:r>
                </m:den>
              </m:f>
            </m:sup>
          </m:sSup>
          <m:d>
            <m:dPr>
              <m:begChr m:val="["/>
              <m:endChr m:val="]"/>
            </m:dPr>
            <m:e>
              <m:r>
                <m:rPr>
                  <m:sty m:val="p"/>
                </m:rPr>
                <m:t>1 + n</m:t>
              </m:r>
              <m:sSup>
                <m:e>
                  <m:r>
                    <m:rPr>
                      <m:sty m:val="p"/>
                    </m:rPr>
                    <m:t>We</m:t>
                  </m:r>
                </m:e>
                <m:sup>
                  <m:r>
                    <m:rPr>
                      <m:sty m:val="p"/>
                    </m:rPr>
                    <m:t>2</m:t>
                  </m:r>
                </m:sup>
              </m:sSup>
              <m:sSup>
                <m:e>
                  <m:r>
                    <m:rPr>
                      <m:sty m:val="p"/>
                    </m:rPr>
                    <m:t>f″</m:t>
                  </m:r>
                </m:e>
                <m:sup>
                  <m:r>
                    <m:rPr>
                      <m:sty m:val="p"/>
                    </m:rPr>
                    <m:t>2</m:t>
                  </m:r>
                </m:sup>
              </m:sSup>
            </m:e>
          </m:d>
          <m:r>
            <m:rPr>
              <m:sty m:val="p"/>
            </m:rPr>
            <m:t>f‴ + ff″ − </m:t>
          </m:r>
          <m:sSup>
            <m:e>
              <m:r>
                <m:rPr>
                  <m:sty m:val="p"/>
                </m:rPr>
                <m:t>f′</m:t>
              </m:r>
            </m:e>
            <m:sup>
              <m:r>
                <m:rPr>
                  <m:sty m:val="p"/>
                </m:rPr>
                <m:t>2</m:t>
              </m:r>
            </m:sup>
          </m:sSup>
          <m:r>
            <m:rPr>
              <m:sty m:val="p"/>
            </m:rPr>
            <m:t> − Sq</m:t>
          </m:r>
          <m:d>
            <m:dPr>
              <m:begChr m:val="("/>
              <m:endChr m:val=")"/>
            </m:dPr>
            <m:e>
              <m:r>
                <m:rPr>
                  <m:sty m:val="p"/>
                </m:rPr>
                <m:t>f′ + </m:t>
              </m:r>
              <m:f>
                <m:fPr>
                  <m:type m:val="bar"/>
                </m:fPr>
                <m:num>
                  <m:r>
                    <m:rPr>
                      <m:sty m:val="p"/>
                    </m:rPr>
                    <m:t>η</m:t>
                  </m:r>
                </m:num>
                <m:den>
                  <m:r>
                    <m:rPr>
                      <m:sty m:val="p"/>
                    </m:rPr>
                    <m:t>2</m:t>
                  </m:r>
                </m:den>
              </m:f>
              <m:r>
                <m:rPr>
                  <m:sty m:val="p"/>
                </m:rPr>
                <m:t>f″</m:t>
              </m:r>
            </m:e>
          </m:d>
          <m:r>
            <m:rPr>
              <m:sty m:val="p"/>
            </m:rPr>
            <m:t> − </m:t>
          </m:r>
          <m:f>
            <m:fPr>
              <m:type m:val="bar"/>
            </m:fPr>
            <m:num>
              <m:sSub>
                <m:e>
                  <m:r>
                    <m:rPr>
                      <m:sty m:val="p"/>
                    </m:rPr>
                    <m:t>α</m:t>
                  </m:r>
                </m:e>
                <m:sub>
                  <m:r>
                    <m:rPr>
                      <m:sty m:val="p"/>
                    </m:rPr>
                    <m:t>μ</m:t>
                  </m:r>
                </m:sub>
              </m:sSub>
            </m:num>
            <m:den>
              <m:sSub>
                <m:e>
                  <m:r>
                    <m:rPr>
                      <m:sty m:val="p"/>
                    </m:rPr>
                    <m:t>α</m:t>
                  </m:r>
                </m:e>
                <m:sub>
                  <m:r>
                    <m:rPr>
                      <m:sty m:val="p"/>
                    </m:rPr>
                    <m:t>ρ</m:t>
                  </m:r>
                </m:sub>
              </m:sSub>
              <m:r>
                <m:rPr>
                  <m:sty m:val="p"/>
                </m:rPr>
                <m:t> Da</m:t>
              </m:r>
            </m:den>
          </m:f>
          <m:r>
            <m:rPr>
              <m:sty m:val="p"/>
            </m:rPr>
            <m:t>f′ − </m:t>
          </m:r>
          <m:f>
            <m:fPr>
              <m:type m:val="bar"/>
            </m:fPr>
            <m:num>
              <m:sSub>
                <m:e>
                  <m:r>
                    <m:rPr>
                      <m:sty m:val="p"/>
                    </m:rPr>
                    <m:t>α</m:t>
                  </m:r>
                </m:e>
                <m:sub>
                  <m:r>
                    <m:rPr>
                      <m:sty m:val="p"/>
                    </m:rPr>
                    <m:t>σ</m:t>
                  </m:r>
                </m:sub>
              </m:sSub>
            </m:num>
            <m:den>
              <m:sSub>
                <m:e>
                  <m:r>
                    <m:rPr>
                      <m:sty m:val="p"/>
                    </m:rPr>
                    <m:t>α</m:t>
                  </m:r>
                </m:e>
                <m:sub>
                  <m:r>
                    <m:rPr>
                      <m:sty m:val="p"/>
                    </m:rPr>
                    <m:t>ρ</m:t>
                  </m:r>
                </m:sub>
              </m:sSub>
            </m:den>
          </m:f>
          <m:r>
            <m:rPr>
              <m:sty m:val="p"/>
            </m:rPr>
            <m:t>M</m:t>
          </m:r>
          <m:d>
            <m:dPr>
              <m:begChr m:val="("/>
              <m:endChr m:val=")"/>
            </m:dPr>
            <m:e>
              <m:r>
                <m:rPr>
                  <m:sty m:val="p"/>
                </m:rPr>
                <m:t>f′ − Ee</m:t>
              </m:r>
            </m:e>
          </m:d>
          <m:r>
            <m:rPr>
              <m:sty m:val="p"/>
            </m:rPr>
            <m:t> − Fr</m:t>
          </m:r>
          <m:sSup>
            <m:e>
              <m:r>
                <m:rPr>
                  <m:sty m:val="p"/>
                </m:rPr>
                <m:t>f′</m:t>
              </m:r>
            </m:e>
            <m:sup>
              <m:r>
                <m:rPr>
                  <m:sty m:val="p"/>
                </m:rPr>
                <m:t>2</m:t>
              </m:r>
            </m:sup>
          </m:sSup>
          <m:r>
            <m:rPr>
              <m:sty m:val="p"/>
            </m:rPr>
            <m:t> = G</m:t>
          </m:r>
        </m:oMath>
      </m:oMathPara>
      <w:r>
        <w:rPr>
          <w:rFonts w:ascii="Calibri" w:hAnsi="Calibri"/>
        </w:rPr>
        <w:tab/>
      </w:r>
      <w:r>
        <w:t xml:space="preserve">(28)</w:t>
      </w:r>
    </w:p>
    <w:p>
      <w:r>
        <w:t xml:space="preserve">Differentiating once w.r.t. η annihilates G and gives the FOURTH-ORDER equation solved:</w:t>
      </w:r>
    </w:p>
    <w:p>
      <w:pPr>
        <w:tabs>
          <w:tab w:val="right" w:pos="9000"/>
        </w:tabs>
        <w:ind w:left="720"/>
      </w:pPr>
      <m:oMathPara>
        <m:oMath>
          <m:f>
            <m:fPr>
              <m:type m:val="bar"/>
            </m:fPr>
            <m:num>
              <m:sSub>
                <m:e>
                  <m:r>
                    <m:rPr>
                      <m:sty m:val="p"/>
                    </m:rPr>
                    <m:t>α</m:t>
                  </m:r>
                </m:e>
                <m:sub>
                  <m:r>
                    <m:rPr>
                      <m:sty m:val="p"/>
                    </m:rPr>
                    <m:t>μ</m:t>
                  </m:r>
                </m:sub>
              </m:sSub>
            </m:num>
            <m:den>
              <m:sSub>
                <m:e>
                  <m:r>
                    <m:rPr>
                      <m:sty m:val="p"/>
                    </m:rPr>
                    <m:t>α</m:t>
                  </m:r>
                </m:e>
                <m:sub>
                  <m:r>
                    <m:rPr>
                      <m:sty m:val="p"/>
                    </m:rPr>
                    <m:t>ρ</m:t>
                  </m:r>
                </m:sub>
              </m:sSub>
            </m:den>
          </m:f>
          <m:f>
            <m:fPr>
              <m:type m:val="bar"/>
            </m:fPr>
            <m:num>
              <m:r>
                <m:rPr>
                  <m:sty m:val="p"/>
                </m:rPr>
                <m:t>d</m:t>
              </m:r>
            </m:num>
            <m:den>
              <m:r>
                <m:rPr>
                  <m:sty m:val="p"/>
                </m:rPr>
                <m:t>dη</m:t>
              </m:r>
            </m:den>
          </m:f>
          <m:r>
            <m:rPr>
              <m:sty m:val="p"/>
            </m:rPr>
            <m:t>{</m:t>
          </m:r>
          <m:sSup>
            <m:e>
              <m:d>
                <m:dPr>
                  <m:begChr m:val="["/>
                  <m:endChr m:val="]"/>
                </m:dPr>
                <m:e>
                  <m:r>
                    <m:rPr>
                      <m:sty m:val="p"/>
                    </m:rPr>
                    <m:t>1+</m:t>
                  </m:r>
                  <m:sSup>
                    <m:e>
                      <m:r>
                        <m:rPr>
                          <m:sty m:val="p"/>
                        </m:rPr>
                        <m:t>We</m:t>
                      </m:r>
                    </m:e>
                    <m:sup>
                      <m:r>
                        <m:rPr>
                          <m:sty m:val="p"/>
                        </m:rPr>
                        <m:t>2</m:t>
                      </m:r>
                    </m:sup>
                  </m:sSup>
                  <m:sSup>
                    <m:e>
                      <m:r>
                        <m:rPr>
                          <m:sty m:val="p"/>
                        </m:rPr>
                        <m:t>f″</m:t>
                      </m:r>
                    </m:e>
                    <m:sup>
                      <m:r>
                        <m:rPr>
                          <m:sty m:val="p"/>
                        </m:rPr>
                        <m:t>2</m:t>
                      </m:r>
                    </m:sup>
                  </m:sSup>
                </m:e>
              </m:d>
            </m:e>
            <m:sup>
              <m:f>
                <m:fPr>
                  <m:type m:val="bar"/>
                </m:fPr>
                <m:num>
                  <m:r>
                    <m:rPr>
                      <m:sty m:val="p"/>
                    </m:rPr>
                    <m:t>n−3</m:t>
                  </m:r>
                </m:num>
                <m:den>
                  <m:r>
                    <m:rPr>
                      <m:sty m:val="p"/>
                    </m:rPr>
                    <m:t>2</m:t>
                  </m:r>
                </m:den>
              </m:f>
            </m:sup>
          </m:sSup>
          <m:d>
            <m:dPr>
              <m:begChr m:val="["/>
              <m:endChr m:val="]"/>
            </m:dPr>
            <m:e>
              <m:r>
                <m:rPr>
                  <m:sty m:val="p"/>
                </m:rPr>
                <m:t>1+n</m:t>
              </m:r>
              <m:sSup>
                <m:e>
                  <m:r>
                    <m:rPr>
                      <m:sty m:val="p"/>
                    </m:rPr>
                    <m:t>We</m:t>
                  </m:r>
                </m:e>
                <m:sup>
                  <m:r>
                    <m:rPr>
                      <m:sty m:val="p"/>
                    </m:rPr>
                    <m:t>2</m:t>
                  </m:r>
                </m:sup>
              </m:sSup>
              <m:sSup>
                <m:e>
                  <m:r>
                    <m:rPr>
                      <m:sty m:val="p"/>
                    </m:rPr>
                    <m:t>f″</m:t>
                  </m:r>
                </m:e>
                <m:sup>
                  <m:r>
                    <m:rPr>
                      <m:sty m:val="p"/>
                    </m:rPr>
                    <m:t>2</m:t>
                  </m:r>
                </m:sup>
              </m:sSup>
            </m:e>
          </m:d>
          <m:r>
            <m:rPr>
              <m:sty m:val="p"/>
            </m:rPr>
            <m:t>f‴} + ff‴ − f′f″ − Sq</m:t>
          </m:r>
          <m:d>
            <m:dPr>
              <m:begChr m:val="("/>
              <m:endChr m:val=")"/>
            </m:dPr>
            <m:e>
              <m:f>
                <m:fPr>
                  <m:type m:val="bar"/>
                </m:fPr>
                <m:num>
                  <m:r>
                    <m:rPr>
                      <m:sty m:val="p"/>
                    </m:rPr>
                    <m:t>3</m:t>
                  </m:r>
                </m:num>
                <m:den>
                  <m:r>
                    <m:rPr>
                      <m:sty m:val="p"/>
                    </m:rPr>
                    <m:t>2</m:t>
                  </m:r>
                </m:den>
              </m:f>
              <m:r>
                <m:rPr>
                  <m:sty m:val="p"/>
                </m:rPr>
                <m:t>f″ + </m:t>
              </m:r>
              <m:f>
                <m:fPr>
                  <m:type m:val="bar"/>
                </m:fPr>
                <m:num>
                  <m:r>
                    <m:rPr>
                      <m:sty m:val="p"/>
                    </m:rPr>
                    <m:t>η</m:t>
                  </m:r>
                </m:num>
                <m:den>
                  <m:r>
                    <m:rPr>
                      <m:sty m:val="p"/>
                    </m:rPr>
                    <m:t>2</m:t>
                  </m:r>
                </m:den>
              </m:f>
              <m:r>
                <m:rPr>
                  <m:sty m:val="p"/>
                </m:rPr>
                <m:t>f‴</m:t>
              </m:r>
            </m:e>
          </m:d>
          <m:r>
            <m:rPr>
              <m:sty m:val="p"/>
            </m:rPr>
            <m:t> − </m:t>
          </m:r>
          <m:f>
            <m:fPr>
              <m:type m:val="bar"/>
            </m:fPr>
            <m:num>
              <m:sSub>
                <m:e>
                  <m:r>
                    <m:rPr>
                      <m:sty m:val="p"/>
                    </m:rPr>
                    <m:t>α</m:t>
                  </m:r>
                </m:e>
                <m:sub>
                  <m:r>
                    <m:rPr>
                      <m:sty m:val="p"/>
                    </m:rPr>
                    <m:t>μ</m:t>
                  </m:r>
                </m:sub>
              </m:sSub>
            </m:num>
            <m:den>
              <m:sSub>
                <m:e>
                  <m:r>
                    <m:rPr>
                      <m:sty m:val="p"/>
                    </m:rPr>
                    <m:t>α</m:t>
                  </m:r>
                </m:e>
                <m:sub>
                  <m:r>
                    <m:rPr>
                      <m:sty m:val="p"/>
                    </m:rPr>
                    <m:t>ρ</m:t>
                  </m:r>
                </m:sub>
              </m:sSub>
              <m:r>
                <m:rPr>
                  <m:sty m:val="p"/>
                </m:rPr>
                <m:t>Da</m:t>
              </m:r>
            </m:den>
          </m:f>
          <m:r>
            <m:rPr>
              <m:sty m:val="p"/>
            </m:rPr>
            <m:t>f″ − </m:t>
          </m:r>
          <m:f>
            <m:fPr>
              <m:type m:val="bar"/>
            </m:fPr>
            <m:num>
              <m:sSub>
                <m:e>
                  <m:r>
                    <m:rPr>
                      <m:sty m:val="p"/>
                    </m:rPr>
                    <m:t>α</m:t>
                  </m:r>
                </m:e>
                <m:sub>
                  <m:r>
                    <m:rPr>
                      <m:sty m:val="p"/>
                    </m:rPr>
                    <m:t>σ</m:t>
                  </m:r>
                </m:sub>
              </m:sSub>
            </m:num>
            <m:den>
              <m:sSub>
                <m:e>
                  <m:r>
                    <m:rPr>
                      <m:sty m:val="p"/>
                    </m:rPr>
                    <m:t>α</m:t>
                  </m:r>
                </m:e>
                <m:sub>
                  <m:r>
                    <m:rPr>
                      <m:sty m:val="p"/>
                    </m:rPr>
                    <m:t>ρ</m:t>
                  </m:r>
                </m:sub>
              </m:sSub>
            </m:den>
          </m:f>
          <m:r>
            <m:rPr>
              <m:sty m:val="p"/>
            </m:rPr>
            <m:t>Mf″ − 2Fr f′f″ = 0</m:t>
          </m:r>
        </m:oMath>
      </m:oMathPara>
      <w:r>
        <w:rPr>
          <w:rFonts w:ascii="Calibri" w:hAnsi="Calibri"/>
        </w:rPr>
        <w:tab/>
      </w:r>
      <w:r>
        <w:t xml:space="preserve">(29)</w:t>
      </w:r>
    </w:p>
    <w:p>
      <w:r>
        <w:t xml:space="preserve">The squeezing-group derivative is d/dη[−Sq(f′ + (η/2)f″)] = −Sq((3/2)f″ + (η/2)f‴) (point 6). Four momentum BCs are appropriate for this fourth-order equation (point 7).</w:t>
      </w:r>
    </w:p>
    <w:p>
      <w:pPr>
        <w:pStyle w:val="Heading2"/>
      </w:pPr>
      <w:r>
        <w:t xml:space="preserve">2.7 Energy, species and Dufour derivation (points 8, 12)</w:t>
      </w:r>
    </w:p>
    <w:p>
      <w:pPr>
        <w:tabs>
          <w:tab w:val="right" w:pos="9000"/>
        </w:tabs>
        <w:ind w:left="720"/>
      </w:pPr>
      <m:oMathPara>
        <m:oMath>
          <m:d>
            <m:dPr>
              <m:begChr m:val="["/>
              <m:endChr m:val="]"/>
            </m:dPr>
            <m:e>
              <m:sSub>
                <m:e>
                  <m:r>
                    <m:rPr>
                      <m:sty m:val="p"/>
                    </m:rPr>
                    <m:t>α</m:t>
                  </m:r>
                </m:e>
                <m:sub>
                  <m:r>
                    <m:rPr>
                      <m:sty m:val="p"/>
                    </m:rPr>
                    <m:t>κ</m:t>
                  </m:r>
                </m:sub>
              </m:sSub>
              <m:r>
                <m:rPr>
                  <m:sty m:val="p"/>
                </m:rPr>
                <m:t> + </m:t>
              </m:r>
              <m:f>
                <m:fPr>
                  <m:type m:val="bar"/>
                </m:fPr>
                <m:num>
                  <m:r>
                    <m:rPr>
                      <m:sty m:val="p"/>
                    </m:rPr>
                    <m:t>4</m:t>
                  </m:r>
                </m:num>
                <m:den>
                  <m:r>
                    <m:rPr>
                      <m:sty m:val="p"/>
                    </m:rPr>
                    <m:t>3</m:t>
                  </m:r>
                </m:den>
              </m:f>
              <m:r>
                <m:rPr>
                  <m:sty m:val="p"/>
                </m:rPr>
                <m:t>Rd</m:t>
              </m:r>
              <m:sSup>
                <m:e>
                  <m:r>
                    <m:rPr>
                      <m:sty m:val="p"/>
                    </m:rPr>
                    <m:t>F</m:t>
                  </m:r>
                </m:e>
                <m:sup>
                  <m:r>
                    <m:rPr>
                      <m:sty m:val="p"/>
                    </m:rPr>
                    <m:t>3</m:t>
                  </m:r>
                </m:sup>
              </m:sSup>
            </m:e>
          </m:d>
          <m:r>
            <m:rPr>
              <m:sty m:val="p"/>
            </m:rPr>
            <m:t>θ″ + 4Rd</m:t>
          </m:r>
          <m:d>
            <m:dPr>
              <m:begChr m:val="("/>
              <m:endChr m:val=")"/>
            </m:dPr>
            <m:e>
              <m:sSub>
                <m:e>
                  <m:r>
                    <m:rPr>
                      <m:sty m:val="p"/>
                    </m:rPr>
                    <m:t>θ</m:t>
                  </m:r>
                </m:e>
                <m:sub>
                  <m:r>
                    <m:rPr>
                      <m:sty m:val="p"/>
                    </m:rPr>
                    <m:t>r</m:t>
                  </m:r>
                </m:sub>
              </m:sSub>
              <m:r>
                <m:rPr>
                  <m:sty m:val="p"/>
                </m:rPr>
                <m:t>−1</m:t>
              </m:r>
            </m:e>
          </m:d>
          <m:sSup>
            <m:e>
              <m:r>
                <m:rPr>
                  <m:sty m:val="p"/>
                </m:rPr>
                <m:t>F</m:t>
              </m:r>
            </m:e>
            <m:sup>
              <m:r>
                <m:rPr>
                  <m:sty m:val="p"/>
                </m:rPr>
                <m:t>2</m:t>
              </m:r>
            </m:sup>
          </m:sSup>
          <m:sSup>
            <m:e>
              <m:r>
                <m:rPr>
                  <m:sty m:val="p"/>
                </m:rPr>
                <m:t>θ′</m:t>
              </m:r>
            </m:e>
            <m:sup>
              <m:r>
                <m:rPr>
                  <m:sty m:val="p"/>
                </m:rPr>
                <m:t>2</m:t>
              </m:r>
            </m:sup>
          </m:sSup>
          <m:r>
            <m:rPr>
              <m:sty m:val="p"/>
            </m:rPr>
            <m:t> + </m:t>
          </m:r>
          <m:sSub>
            <m:e>
              <m:r>
                <m:rPr>
                  <m:sty m:val="p"/>
                </m:rPr>
                <m:t>α</m:t>
              </m:r>
            </m:e>
            <m:sub>
              <m:r>
                <m:rPr>
                  <m:sty m:val="p"/>
                </m:rPr>
                <m:t>c</m:t>
              </m:r>
            </m:sub>
          </m:sSub>
          <m:r>
            <m:rPr>
              <m:sty m:val="p"/>
            </m:rPr>
            <m:t>Pr</m:t>
          </m:r>
          <m:d>
            <m:dPr>
              <m:begChr m:val="("/>
              <m:endChr m:val=")"/>
            </m:dPr>
            <m:e>
              <m:r>
                <m:rPr>
                  <m:sty m:val="p"/>
                </m:rPr>
                <m:t>fθ′ − f′θ − Sqθ − </m:t>
              </m:r>
              <m:f>
                <m:fPr>
                  <m:type m:val="bar"/>
                </m:fPr>
                <m:num>
                  <m:r>
                    <m:rPr>
                      <m:sty m:val="p"/>
                    </m:rPr>
                    <m:t>Sq</m:t>
                  </m:r>
                </m:num>
                <m:den>
                  <m:r>
                    <m:rPr>
                      <m:sty m:val="p"/>
                    </m:rPr>
                    <m:t>2</m:t>
                  </m:r>
                </m:den>
              </m:f>
              <m:r>
                <m:rPr>
                  <m:sty m:val="p"/>
                </m:rPr>
                <m:t>ηθ′</m:t>
              </m:r>
            </m:e>
          </m:d>
          <m:r>
            <m:rPr>
              <m:sty m:val="p"/>
            </m:rPr>
            <m:t> + PrΞ = 0</m:t>
          </m:r>
        </m:oMath>
      </m:oMathPara>
      <w:r>
        <w:rPr>
          <w:rFonts w:ascii="Calibri" w:hAnsi="Calibri"/>
        </w:rPr>
        <w:tab/>
      </w:r>
      <w:r>
        <w:t xml:space="preserve">(30)</w:t>
      </w:r>
    </w:p>
    <w:p>
      <w:pPr>
        <w:tabs>
          <w:tab w:val="right" w:pos="9000"/>
        </w:tabs>
        <w:ind w:left="720"/>
      </w:pPr>
      <m:oMathPara>
        <m:oMath>
          <m:r>
            <m:rPr>
              <m:sty m:val="p"/>
            </m:rPr>
            <m:t>ϕ″ + Sc</m:t>
          </m:r>
          <m:d>
            <m:dPr>
              <m:begChr m:val="("/>
              <m:endChr m:val=")"/>
            </m:dPr>
            <m:e>
              <m:r>
                <m:rPr>
                  <m:sty m:val="p"/>
                </m:rPr>
                <m:t>fϕ′ − f′ϕ − Sqϕ − </m:t>
              </m:r>
              <m:f>
                <m:fPr>
                  <m:type m:val="bar"/>
                </m:fPr>
                <m:num>
                  <m:r>
                    <m:rPr>
                      <m:sty m:val="p"/>
                    </m:rPr>
                    <m:t>Sq</m:t>
                  </m:r>
                </m:num>
                <m:den>
                  <m:r>
                    <m:rPr>
                      <m:sty m:val="p"/>
                    </m:rPr>
                    <m:t>2</m:t>
                  </m:r>
                </m:den>
              </m:f>
              <m:r>
                <m:rPr>
                  <m:sty m:val="p"/>
                </m:rPr>
                <m:t>ηϕ′</m:t>
              </m:r>
            </m:e>
          </m:d>
          <m:r>
            <m:rPr>
              <m:sty m:val="p"/>
            </m:rPr>
            <m:t> + ScSrθ″ − KScϕ = 0</m:t>
          </m:r>
        </m:oMath>
      </m:oMathPara>
      <w:r>
        <w:rPr>
          <w:rFonts w:ascii="Calibri" w:hAnsi="Calibri"/>
        </w:rPr>
        <w:tab/>
      </w:r>
      <w:r>
        <w:t xml:space="preserve">(31)</w:t>
      </w:r>
    </w:p>
    <w:p>
      <w:r>
        <w:t xml:space="preserve">DUFOUR DERIVATION (point 8): The dimensional Dufour term is D_B K_T / (c_s (ρc_p)_hnf) C_yy. With c_s = T_m, normalising by (ρc_p)_f and collecting: the a_c in the denominator cancels the a_c from the energy equation normalisation, leaving Pr α_ρ Df exactly. Df = D_B K_T (C_w − C_0)/[c_s (c_p)_f ν_f (T_w − T_0)].</w:t>
      </w:r>
    </w:p>
    <w:p>
      <w:pPr>
        <w:pStyle w:val="Heading2"/>
      </w:pPr>
      <w:r>
        <w:t xml:space="preserve">2.8 Boundary conditions</w:t>
      </w:r>
    </w:p>
    <w:p>
      <w:pPr>
        <w:tabs>
          <w:tab w:val="right" w:pos="9000"/>
        </w:tabs>
        <w:ind w:left="720"/>
      </w:pPr>
      <m:oMathPara>
        <m:oMath>
          <m:r>
            <m:rPr>
              <m:sty m:val="p"/>
            </m:rPr>
            <m:t>f(0) = 0,  f′(0) = 1 + </m:t>
          </m:r>
          <m:sSub>
            <m:e>
              <m:r>
                <m:rPr>
                  <m:sty m:val="p"/>
                </m:rPr>
                <m:t>S</m:t>
              </m:r>
            </m:e>
            <m:sub>
              <m:r>
                <m:rPr>
                  <m:sty m:val="p"/>
                </m:rPr>
                <m:t>1</m:t>
              </m:r>
            </m:sub>
          </m:sSub>
          <m:r>
            <m:rPr>
              <m:sty m:val="p"/>
            </m:rPr>
            <m:t>f″(0),  f(1) = </m:t>
          </m:r>
          <m:f>
            <m:fPr>
              <m:type m:val="bar"/>
            </m:fPr>
            <m:num>
              <m:r>
                <m:rPr>
                  <m:sty m:val="p"/>
                </m:rPr>
                <m:t>Sq</m:t>
              </m:r>
            </m:num>
            <m:den>
              <m:r>
                <m:rPr>
                  <m:sty m:val="p"/>
                </m:rPr>
                <m:t>2</m:t>
              </m:r>
            </m:den>
          </m:f>
          <m:r>
            <m:rPr>
              <m:sty m:val="p"/>
            </m:rPr>
            <m:t>,  f′(1) = 0</m:t>
          </m:r>
        </m:oMath>
      </m:oMathPara>
      <w:r>
        <w:rPr>
          <w:rFonts w:ascii="Calibri" w:hAnsi="Calibri"/>
        </w:rPr>
        <w:tab/>
      </w:r>
      <w:r>
        <w:t xml:space="preserve">(36)</w:t>
      </w:r>
    </w:p>
    <w:p>
      <w:pPr>
        <w:tabs>
          <w:tab w:val="right" w:pos="9000"/>
        </w:tabs>
        <w:ind w:left="720"/>
      </w:pPr>
      <m:oMathPara>
        <m:oMath>
          <m:r>
            <m:rPr>
              <m:sty m:val="p"/>
            </m:rPr>
            <m:t>θ′(0) = −Bi</m:t>
          </m:r>
          <m:d>
            <m:dPr>
              <m:begChr m:val="["/>
              <m:endChr m:val="]"/>
            </m:dPr>
            <m:e>
              <m:r>
                <m:rPr>
                  <m:sty m:val="p"/>
                </m:rPr>
                <m:t>1 − θ(0)</m:t>
              </m:r>
            </m:e>
          </m:d>
          <m:r>
            <m:rPr>
              <m:sty m:val="p"/>
            </m:rPr>
            <m:t>,  θ(1) = 0,  ϕ(0) = 1 + </m:t>
          </m:r>
          <m:sSub>
            <m:e>
              <m:r>
                <m:rPr>
                  <m:sty m:val="p"/>
                </m:rPr>
                <m:t>S</m:t>
              </m:r>
            </m:e>
            <m:sub>
              <m:r>
                <m:rPr>
                  <m:sty m:val="p"/>
                </m:rPr>
                <m:t>3</m:t>
              </m:r>
            </m:sub>
          </m:sSub>
          <m:r>
            <m:rPr>
              <m:sty m:val="p"/>
            </m:rPr>
            <m:t>ϕ′(0),  ϕ(1) = 0</m:t>
          </m:r>
        </m:oMath>
      </m:oMathPara>
      <w:r>
        <w:rPr>
          <w:rFonts w:ascii="Calibri" w:hAnsi="Calibri"/>
        </w:rPr>
        <w:tab/>
      </w:r>
      <w:r>
        <w:t xml:space="preserve">(37)</w:t>
      </w:r>
    </w:p>
    <w:p>
      <w:r>
        <w:t xml:space="preserve">4 + 2 + 2 = 8 conditions for the 8th-order system.</w:t>
      </w:r>
    </w:p>
    <w:p>
      <w:pPr>
        <w:pStyle w:val="Heading2"/>
      </w:pPr>
      <w:r>
        <w:t xml:space="preserve">2.9 Engineering quantities</w:t>
      </w:r>
    </w:p>
    <w:p>
      <w:pPr>
        <w:tabs>
          <w:tab w:val="right" w:pos="9000"/>
        </w:tabs>
        <w:ind w:left="720"/>
      </w:pPr>
      <m:oMathPara>
        <m:oMath>
          <m:sSup>
            <m:e>
              <m:sSub>
                <m:e>
                  <m:r>
                    <m:rPr>
                      <m:sty m:val="p"/>
                    </m:rPr>
                    <m:t>Re</m:t>
                  </m:r>
                </m:e>
                <m:sub>
                  <m:r>
                    <m:rPr>
                      <m:sty m:val="p"/>
                    </m:rPr>
                    <m:t>x</m:t>
                  </m:r>
                </m:sub>
              </m:sSub>
            </m:e>
            <m:sup>
              <m:r>
                <m:rPr>
                  <m:sty m:val="p"/>
                </m:rPr>
                <m:t>1/2</m:t>
              </m:r>
            </m:sup>
          </m:sSup>
          <m:sSub>
            <m:e>
              <m:r>
                <m:rPr>
                  <m:sty m:val="p"/>
                </m:rPr>
                <m:t>C</m:t>
              </m:r>
            </m:e>
            <m:sub>
              <m:r>
                <m:rPr>
                  <m:sty m:val="p"/>
                </m:rPr>
                <m:t>f</m:t>
              </m:r>
            </m:sub>
          </m:sSub>
          <m:r>
            <m:rPr>
              <m:sty m:val="p"/>
            </m:rPr>
            <m:t> = </m:t>
          </m:r>
          <m:sSub>
            <m:e>
              <m:r>
                <m:rPr>
                  <m:sty m:val="p"/>
                </m:rPr>
                <m:t>α</m:t>
              </m:r>
            </m:e>
            <m:sub>
              <m:r>
                <m:rPr>
                  <m:sty m:val="p"/>
                </m:rPr>
                <m:t>μ</m:t>
              </m:r>
            </m:sub>
          </m:sSub>
          <m:r>
            <m:rPr>
              <m:sty m:val="p"/>
            </m:rPr>
            <m:t>f″(1)</m:t>
          </m:r>
          <m:sSup>
            <m:e>
              <m:d>
                <m:dPr>
                  <m:begChr m:val="("/>
                  <m:endChr m:val=")"/>
                </m:dPr>
                <m:e>
                  <m:r>
                    <m:rPr>
                      <m:sty m:val="p"/>
                    </m:rPr>
                    <m:t>1 + </m:t>
                  </m:r>
                  <m:sSup>
                    <m:e>
                      <m:r>
                        <m:rPr>
                          <m:sty m:val="p"/>
                        </m:rPr>
                        <m:t>We</m:t>
                      </m:r>
                    </m:e>
                    <m:sup>
                      <m:r>
                        <m:rPr>
                          <m:sty m:val="p"/>
                        </m:rPr>
                        <m:t>2</m:t>
                      </m:r>
                    </m:sup>
                  </m:sSup>
                  <m:sSup>
                    <m:e>
                      <m:r>
                        <m:rPr>
                          <m:sty m:val="p"/>
                        </m:rPr>
                        <m:t>f″(1)</m:t>
                      </m:r>
                    </m:e>
                    <m:sup>
                      <m:r>
                        <m:rPr>
                          <m:sty m:val="p"/>
                        </m:rPr>
                        <m:t>2</m:t>
                      </m:r>
                    </m:sup>
                  </m:sSup>
                </m:e>
              </m:d>
            </m:e>
            <m:sup>
              <m:f>
                <m:fPr>
                  <m:type m:val="bar"/>
                </m:fPr>
                <m:num>
                  <m:r>
                    <m:rPr>
                      <m:sty m:val="p"/>
                    </m:rPr>
                    <m:t>n−1</m:t>
                  </m:r>
                </m:num>
                <m:den>
                  <m:r>
                    <m:rPr>
                      <m:sty m:val="p"/>
                    </m:rPr>
                    <m:t>2</m:t>
                  </m:r>
                </m:den>
              </m:f>
            </m:sup>
          </m:sSup>
        </m:oMath>
      </m:oMathPara>
      <w:r>
        <w:rPr>
          <w:rFonts w:ascii="Calibri" w:hAnsi="Calibri"/>
        </w:rPr>
        <w:tab/>
      </w:r>
      <w:r>
        <w:t xml:space="preserve">(41)</w:t>
      </w:r>
    </w:p>
    <w:p>
      <w:pPr>
        <w:tabs>
          <w:tab w:val="right" w:pos="9000"/>
        </w:tabs>
        <w:ind w:left="720"/>
      </w:pPr>
      <m:oMathPara>
        <m:oMath>
          <m:sSup>
            <m:e>
              <m:sSub>
                <m:e>
                  <m:r>
                    <m:rPr>
                      <m:sty m:val="p"/>
                    </m:rPr>
                    <m:t>Re</m:t>
                  </m:r>
                </m:e>
                <m:sub>
                  <m:r>
                    <m:rPr>
                      <m:sty m:val="p"/>
                    </m:rPr>
                    <m:t>x</m:t>
                  </m:r>
                </m:sub>
              </m:sSub>
            </m:e>
            <m:sup>
              <m:r>
                <m:rPr>
                  <m:sty m:val="p"/>
                </m:rPr>
                <m:t>−1/2</m:t>
              </m:r>
            </m:sup>
          </m:sSup>
          <m:r>
            <m:rPr>
              <m:sty m:val="p"/>
            </m:rPr>
            <m:t>Nu = −</m:t>
          </m:r>
          <m:d>
            <m:dPr>
              <m:begChr m:val="["/>
              <m:endChr m:val="]"/>
            </m:dPr>
            <m:e>
              <m:sSub>
                <m:e>
                  <m:r>
                    <m:rPr>
                      <m:sty m:val="p"/>
                    </m:rPr>
                    <m:t>α</m:t>
                  </m:r>
                </m:e>
                <m:sub>
                  <m:r>
                    <m:rPr>
                      <m:sty m:val="p"/>
                    </m:rPr>
                    <m:t>κ</m:t>
                  </m:r>
                </m:sub>
              </m:sSub>
              <m:r>
                <m:rPr>
                  <m:sty m:val="p"/>
                </m:rPr>
                <m:t> + </m:t>
              </m:r>
              <m:f>
                <m:fPr>
                  <m:type m:val="bar"/>
                </m:fPr>
                <m:num>
                  <m:r>
                    <m:rPr>
                      <m:sty m:val="p"/>
                    </m:rPr>
                    <m:t>4</m:t>
                  </m:r>
                </m:num>
                <m:den>
                  <m:r>
                    <m:rPr>
                      <m:sty m:val="p"/>
                    </m:rPr>
                    <m:t>3</m:t>
                  </m:r>
                </m:den>
              </m:f>
              <m:r>
                <m:rPr>
                  <m:sty m:val="p"/>
                </m:rPr>
                <m:t>Rd</m:t>
              </m:r>
              <m:sSup>
                <m:e>
                  <m:r>
                    <m:rPr>
                      <m:sty m:val="p"/>
                    </m:rPr>
                    <m:t>F(1)</m:t>
                  </m:r>
                </m:e>
                <m:sup>
                  <m:r>
                    <m:rPr>
                      <m:sty m:val="p"/>
                    </m:rPr>
                    <m:t>3</m:t>
                  </m:r>
                </m:sup>
              </m:sSup>
            </m:e>
          </m:d>
          <m:r>
            <m:rPr>
              <m:sty m:val="p"/>
            </m:rPr>
            <m:t>θ′(1)</m:t>
          </m:r>
        </m:oMath>
      </m:oMathPara>
      <w:r>
        <w:rPr>
          <w:rFonts w:ascii="Calibri" w:hAnsi="Calibri"/>
        </w:rPr>
        <w:tab/>
      </w:r>
      <w:r>
        <w:t xml:space="preserve">(42)</w:t>
      </w:r>
    </w:p>
    <w:p>
      <w:pPr>
        <w:tabs>
          <w:tab w:val="right" w:pos="9000"/>
        </w:tabs>
        <w:ind w:left="720"/>
      </w:pPr>
      <m:oMathPara>
        <m:oMath>
          <m:sSup>
            <m:e>
              <m:sSub>
                <m:e>
                  <m:r>
                    <m:rPr>
                      <m:sty m:val="p"/>
                    </m:rPr>
                    <m:t>Re</m:t>
                  </m:r>
                </m:e>
                <m:sub>
                  <m:r>
                    <m:rPr>
                      <m:sty m:val="p"/>
                    </m:rPr>
                    <m:t>x</m:t>
                  </m:r>
                </m:sub>
              </m:sSub>
            </m:e>
            <m:sup>
              <m:r>
                <m:rPr>
                  <m:sty m:val="p"/>
                </m:rPr>
                <m:t>−1/2</m:t>
              </m:r>
            </m:sup>
          </m:sSup>
          <m:r>
            <m:rPr>
              <m:sty m:val="p"/>
            </m:rPr>
            <m:t>Sh = −ϕ′(1)</m:t>
          </m:r>
        </m:oMath>
      </m:oMathPara>
      <w:r>
        <w:rPr>
          <w:rFonts w:ascii="Calibri" w:hAnsi="Calibri"/>
        </w:rPr>
        <w:tab/>
      </w:r>
      <w:r>
        <w:t xml:space="preserve">(43)</w:t>
      </w:r>
    </w:p>
    <w:p>
      <w:pPr>
        <w:pStyle w:val="Heading1"/>
      </w:pPr>
      <w:r>
        <w:t xml:space="preserve">3. Entropy Generation Analysis</w:t>
      </w:r>
    </w:p>
    <w:p>
      <w:pPr>
        <w:pStyle w:val="Heading2"/>
      </w:pPr>
      <w:r>
        <w:t xml:space="preserve">3.1 Entropy generation number</w:t>
      </w:r>
    </w:p>
    <w:p>
      <w:pPr>
        <w:tabs>
          <w:tab w:val="right" w:pos="9000"/>
        </w:tabs>
        <w:ind w:left="720"/>
      </w:pPr>
      <m:oMathPara>
        <m:oMath>
          <m:sSub>
            <m:e>
              <m:sSup>
                <m:e>
                  <m:r>
                    <m:rPr>
                      <m:sty m:val="p"/>
                    </m:rPr>
                    <m:t>S</m:t>
                  </m:r>
                </m:e>
                <m:sup>
                  <m:r>
                    <m:rPr>
                      <m:sty m:val="p"/>
                    </m:rPr>
                    <m:t>‴</m:t>
                  </m:r>
                </m:sup>
              </m:sSup>
            </m:e>
            <m:sub>
              <m:r>
                <m:rPr>
                  <m:sty m:val="p"/>
                </m:rPr>
                <m:t>0</m:t>
              </m:r>
            </m:sub>
          </m:sSub>
          <m:r>
            <m:rPr>
              <m:sty m:val="p"/>
            </m:rPr>
            <m:t> = </m:t>
          </m:r>
          <m:f>
            <m:fPr>
              <m:type m:val="bar"/>
            </m:fPr>
            <m:num>
              <m:sSub>
                <m:e>
                  <m:r>
                    <m:rPr>
                      <m:sty m:val="p"/>
                    </m:rPr>
                    <m:t>k</m:t>
                  </m:r>
                </m:e>
                <m:sub>
                  <m:r>
                    <m:rPr>
                      <m:sty m:val="p"/>
                    </m:rPr>
                    <m:t>f</m:t>
                  </m:r>
                </m:sub>
              </m:sSub>
              <m:sSup>
                <m:e>
                  <m:d>
                    <m:dPr>
                      <m:begChr m:val="("/>
                      <m:endChr m:val=")"/>
                    </m:dPr>
                    <m:e>
                      <m:sSub>
                        <m:e>
                          <m:r>
                            <m:rPr>
                              <m:sty m:val="p"/>
                            </m:rPr>
                            <m:t>T</m:t>
                          </m:r>
                        </m:e>
                        <m:sub>
                          <m:r>
                            <m:rPr>
                              <m:sty m:val="p"/>
                            </m:rPr>
                            <m:t>w</m:t>
                          </m:r>
                        </m:sub>
                      </m:sSub>
                      <m:r>
                        <m:rPr>
                          <m:sty m:val="p"/>
                        </m:rPr>
                        <m:t> − </m:t>
                      </m:r>
                      <m:sSub>
                        <m:e>
                          <m:r>
                            <m:rPr>
                              <m:sty m:val="p"/>
                            </m:rPr>
                            <m:t>T</m:t>
                          </m:r>
                        </m:e>
                        <m:sub>
                          <m:r>
                            <m:rPr>
                              <m:sty m:val="p"/>
                            </m:rPr>
                            <m:t>0</m:t>
                          </m:r>
                        </m:sub>
                      </m:sSub>
                    </m:e>
                  </m:d>
                </m:e>
                <m:sup>
                  <m:r>
                    <m:rPr>
                      <m:sty m:val="p"/>
                    </m:rPr>
                    <m:t>2</m:t>
                  </m:r>
                </m:sup>
              </m:sSup>
            </m:num>
            <m:den>
              <m:sSup>
                <m:e>
                  <m:sSub>
                    <m:e>
                      <m:r>
                        <m:rPr>
                          <m:sty m:val="p"/>
                        </m:rPr>
                        <m:t>T</m:t>
                      </m:r>
                    </m:e>
                    <m:sub>
                      <m:r>
                        <m:rPr>
                          <m:sty m:val="p"/>
                        </m:rPr>
                        <m:t>0</m:t>
                      </m:r>
                    </m:sub>
                  </m:sSub>
                </m:e>
                <m:sup>
                  <m:r>
                    <m:rPr>
                      <m:sty m:val="p"/>
                    </m:rPr>
                    <m:t>2</m:t>
                  </m:r>
                </m:sup>
              </m:sSup>
              <m:sSup>
                <m:e>
                  <m:r>
                    <m:rPr>
                      <m:sty m:val="p"/>
                    </m:rPr>
                    <m:t>h</m:t>
                  </m:r>
                </m:e>
                <m:sup>
                  <m:r>
                    <m:rPr>
                      <m:sty m:val="p"/>
                    </m:rPr>
                    <m:t>2</m:t>
                  </m:r>
                </m:sup>
              </m:sSup>
            </m:den>
          </m:f>
        </m:oMath>
      </m:oMathPara>
      <w:r>
        <w:rPr>
          <w:rFonts w:ascii="Calibri" w:hAnsi="Calibri"/>
        </w:rPr>
        <w:tab/>
      </w:r>
      <w:r>
        <w:t xml:space="preserve">(47)</w:t>
      </w:r>
    </w:p>
    <w:p>
      <w:pPr>
        <w:tabs>
          <w:tab w:val="right" w:pos="9000"/>
        </w:tabs>
        <w:ind w:left="720"/>
      </w:pPr>
      <m:oMathPara>
        <m:oMath>
          <m:sSub>
            <m:e>
              <m:r>
                <m:rPr>
                  <m:sty m:val="p"/>
                </m:rPr>
                <m:t>N</m:t>
              </m:r>
            </m:e>
            <m:sub>
              <m:r>
                <m:rPr>
                  <m:sty m:val="p"/>
                </m:rPr>
                <m:t>s</m:t>
              </m:r>
            </m:sub>
          </m:sSub>
          <m:r>
            <m:rPr>
              <m:sty m:val="p"/>
            </m:rPr>
            <m:t> = </m:t>
          </m:r>
          <m:d>
            <m:dPr>
              <m:begChr m:val="["/>
              <m:endChr m:val="]"/>
            </m:dPr>
            <m:e>
              <m:sSub>
                <m:e>
                  <m:r>
                    <m:rPr>
                      <m:sty m:val="p"/>
                    </m:rPr>
                    <m:t>α</m:t>
                  </m:r>
                </m:e>
                <m:sub>
                  <m:r>
                    <m:rPr>
                      <m:sty m:val="p"/>
                    </m:rPr>
                    <m:t>κ</m:t>
                  </m:r>
                </m:sub>
              </m:sSub>
              <m:r>
                <m:rPr>
                  <m:sty m:val="p"/>
                </m:rPr>
                <m:t> + </m:t>
              </m:r>
              <m:f>
                <m:fPr>
                  <m:type m:val="bar"/>
                </m:fPr>
                <m:num>
                  <m:r>
                    <m:rPr>
                      <m:sty m:val="p"/>
                    </m:rPr>
                    <m:t>4</m:t>
                  </m:r>
                </m:num>
                <m:den>
                  <m:r>
                    <m:rPr>
                      <m:sty m:val="p"/>
                    </m:rPr>
                    <m:t>3</m:t>
                  </m:r>
                </m:den>
              </m:f>
              <m:r>
                <m:rPr>
                  <m:sty m:val="p"/>
                </m:rPr>
                <m:t>Rd</m:t>
              </m:r>
              <m:sSup>
                <m:e>
                  <m:r>
                    <m:rPr>
                      <m:sty m:val="p"/>
                    </m:rPr>
                    <m:t>F</m:t>
                  </m:r>
                </m:e>
                <m:sup>
                  <m:r>
                    <m:rPr>
                      <m:sty m:val="p"/>
                    </m:rPr>
                    <m:t>3</m:t>
                  </m:r>
                </m:sup>
              </m:sSup>
            </m:e>
          </m:d>
          <m:sSup>
            <m:e>
              <m:r>
                <m:rPr>
                  <m:sty m:val="p"/>
                </m:rPr>
                <m:t>θ′</m:t>
              </m:r>
            </m:e>
            <m:sup>
              <m:r>
                <m:rPr>
                  <m:sty m:val="p"/>
                </m:rPr>
                <m:t>2</m:t>
              </m:r>
            </m:sup>
          </m:sSup>
          <m:r>
            <m:rPr>
              <m:sty m:val="p"/>
            </m:rPr>
            <m:t> + </m:t>
          </m:r>
          <m:f>
            <m:fPr>
              <m:type m:val="bar"/>
            </m:fPr>
            <m:num>
              <m:sSub>
                <m:e>
                  <m:r>
                    <m:rPr>
                      <m:sty m:val="p"/>
                    </m:rPr>
                    <m:t>α</m:t>
                  </m:r>
                </m:e>
                <m:sub>
                  <m:r>
                    <m:rPr>
                      <m:sty m:val="p"/>
                    </m:rPr>
                    <m:t>μ</m:t>
                  </m:r>
                </m:sub>
              </m:sSub>
              <m:r>
                <m:rPr>
                  <m:sty m:val="p"/>
                </m:rPr>
                <m:t>Br</m:t>
              </m:r>
            </m:num>
            <m:den>
              <m:r>
                <m:rPr>
                  <m:sty m:val="p"/>
                </m:rPr>
                <m:t>Ω</m:t>
              </m:r>
            </m:den>
          </m:f>
          <m:sSup>
            <m:e>
              <m:r>
                <m:rPr>
                  <m:sty m:val="p"/>
                </m:rPr>
                <m:t>f″</m:t>
              </m:r>
            </m:e>
            <m:sup>
              <m:r>
                <m:rPr>
                  <m:sty m:val="p"/>
                </m:rPr>
                <m:t>2</m:t>
              </m:r>
            </m:sup>
          </m:sSup>
          <m:r>
            <m:rPr>
              <m:sty m:val="p"/>
            </m:rPr>
            <m:t> + </m:t>
          </m:r>
          <m:f>
            <m:fPr>
              <m:type m:val="bar"/>
            </m:fPr>
            <m:num>
              <m:sSub>
                <m:e>
                  <m:r>
                    <m:rPr>
                      <m:sty m:val="p"/>
                    </m:rPr>
                    <m:t>α</m:t>
                  </m:r>
                </m:e>
                <m:sub>
                  <m:r>
                    <m:rPr>
                      <m:sty m:val="p"/>
                    </m:rPr>
                    <m:t>σ</m:t>
                  </m:r>
                </m:sub>
              </m:sSub>
              <m:r>
                <m:rPr>
                  <m:sty m:val="p"/>
                </m:rPr>
                <m:t>BrM</m:t>
              </m:r>
            </m:num>
            <m:den>
              <m:r>
                <m:rPr>
                  <m:sty m:val="p"/>
                </m:rPr>
                <m:t>Ω</m:t>
              </m:r>
            </m:den>
          </m:f>
          <m:sSup>
            <m:e>
              <m:d>
                <m:dPr>
                  <m:begChr m:val="("/>
                  <m:endChr m:val=")"/>
                </m:dPr>
                <m:e>
                  <m:r>
                    <m:rPr>
                      <m:sty m:val="p"/>
                    </m:rPr>
                    <m:t>f′ − Ee</m:t>
                  </m:r>
                </m:e>
              </m:d>
            </m:e>
            <m:sup>
              <m:r>
                <m:rPr>
                  <m:sty m:val="p"/>
                </m:rPr>
                <m:t>2</m:t>
              </m:r>
            </m:sup>
          </m:sSup>
          <m:r>
            <m:rPr>
              <m:sty m:val="p"/>
            </m:rPr>
            <m:t> + Λ</m:t>
          </m:r>
          <m:sSup>
            <m:e>
              <m:d>
                <m:dPr>
                  <m:begChr m:val="("/>
                  <m:endChr m:val=")"/>
                </m:dPr>
                <m:e>
                  <m:f>
                    <m:fPr>
                      <m:type m:val="bar"/>
                    </m:fPr>
                    <m:num>
                      <m:r>
                        <m:rPr>
                          <m:sty m:val="p"/>
                        </m:rPr>
                        <m:t>ζ</m:t>
                      </m:r>
                    </m:num>
                    <m:den>
                      <m:r>
                        <m:rPr>
                          <m:sty m:val="p"/>
                        </m:rPr>
                        <m:t>Ω</m:t>
                      </m:r>
                    </m:den>
                  </m:f>
                </m:e>
              </m:d>
            </m:e>
            <m:sup>
              <m:r>
                <m:rPr>
                  <m:sty m:val="p"/>
                </m:rPr>
                <m:t>2</m:t>
              </m:r>
            </m:sup>
          </m:sSup>
          <m:sSup>
            <m:e>
              <m:r>
                <m:rPr>
                  <m:sty m:val="p"/>
                </m:rPr>
                <m:t>ϕ′</m:t>
              </m:r>
            </m:e>
            <m:sup>
              <m:r>
                <m:rPr>
                  <m:sty m:val="p"/>
                </m:rPr>
                <m:t>2</m:t>
              </m:r>
            </m:sup>
          </m:sSup>
          <m:r>
            <m:rPr>
              <m:sty m:val="p"/>
            </m:rPr>
            <m:t> + Λ</m:t>
          </m:r>
          <m:f>
            <m:fPr>
              <m:type m:val="bar"/>
            </m:fPr>
            <m:num>
              <m:r>
                <m:rPr>
                  <m:sty m:val="p"/>
                </m:rPr>
                <m:t>ζ</m:t>
              </m:r>
            </m:num>
            <m:den>
              <m:r>
                <m:rPr>
                  <m:sty m:val="p"/>
                </m:rPr>
                <m:t>Ω</m:t>
              </m:r>
            </m:den>
          </m:f>
          <m:r>
            <m:rPr>
              <m:sty m:val="p"/>
            </m:rPr>
            <m:t>θ′ϕ′</m:t>
          </m:r>
        </m:oMath>
      </m:oMathPara>
      <w:r>
        <w:rPr>
          <w:rFonts w:ascii="Calibri" w:hAnsi="Calibri"/>
        </w:rPr>
        <w:tab/>
      </w:r>
      <w:r>
        <w:t xml:space="preserve">(48)</w:t>
      </w:r>
    </w:p>
    <w:p>
      <w:pPr>
        <w:pStyle w:val="Heading2"/>
      </w:pPr>
      <w:r>
        <w:t xml:space="preserve">3.1.1 Thermodynamic basis (point 9)</w:t>
      </w:r>
    </w:p>
    <w:p>
      <w:r>
        <w:t xml:space="preserve">The mass-diffusion entropy production follows from linear irreversible thermodynamics. For a dilute binary mixture the local entropy production is σ_s = J_q · ∇(1/T) − (1/T) J_s · ∇(μ_c/T). Expanding to first order about (T_0, C_0) with Fourier–Fick–Soret/Dufour closure yields a quadratic form in (T_y, C_y). The diagonal terms give conduction and (R D_B/C_0)(C_y)²; the symmetric Onsager cross-coupling gives (R D_B/T_0)(T_y C_y). R is the gas constant, C in mol m⁻³, and T_0 is the Bejan reference-state linearisation (valid for moderate Ω).</w:t>
      </w:r>
    </w:p>
    <w:p>
      <w:pPr>
        <w:pStyle w:val="Heading2"/>
      </w:pPr>
      <w:r>
        <w:t xml:space="preserve">3.2 Bejan number</w:t>
      </w:r>
    </w:p>
    <w:p>
      <w:pPr>
        <w:tabs>
          <w:tab w:val="right" w:pos="9000"/>
        </w:tabs>
        <w:ind w:left="720"/>
      </w:pPr>
      <m:oMathPara>
        <m:oMath>
          <m:r>
            <m:rPr>
              <m:sty m:val="p"/>
            </m:rPr>
            <m:t>Be = </m:t>
          </m:r>
          <m:f>
            <m:fPr>
              <m:type m:val="bar"/>
            </m:fPr>
            <m:num>
              <m:sSub>
                <m:e>
                  <m:r>
                    <m:rPr>
                      <m:sty m:val="p"/>
                    </m:rPr>
                    <m:t>N</m:t>
                  </m:r>
                </m:e>
                <m:sub>
                  <m:r>
                    <m:rPr>
                      <m:sty m:val="p"/>
                    </m:rPr>
                    <m:t>HT</m:t>
                  </m:r>
                </m:sub>
              </m:sSub>
              <m:r>
                <m:rPr>
                  <m:sty m:val="p"/>
                </m:rPr>
                <m:t> + </m:t>
              </m:r>
              <m:sSub>
                <m:e>
                  <m:r>
                    <m:rPr>
                      <m:sty m:val="p"/>
                    </m:rPr>
                    <m:t>N</m:t>
                  </m:r>
                </m:e>
                <m:sub>
                  <m:r>
                    <m:rPr>
                      <m:sty m:val="p"/>
                    </m:rPr>
                    <m:t>DD</m:t>
                  </m:r>
                </m:sub>
              </m:sSub>
            </m:num>
            <m:den>
              <m:sSub>
                <m:e>
                  <m:r>
                    <m:rPr>
                      <m:sty m:val="p"/>
                    </m:rPr>
                    <m:t>N</m:t>
                  </m:r>
                </m:e>
                <m:sub>
                  <m:r>
                    <m:rPr>
                      <m:sty m:val="p"/>
                    </m:rPr>
                    <m:t>s</m:t>
                  </m:r>
                </m:sub>
              </m:sSub>
            </m:den>
          </m:f>
        </m:oMath>
      </m:oMathPara>
      <w:r>
        <w:rPr>
          <w:rFonts w:ascii="Calibri" w:hAnsi="Calibri"/>
        </w:rPr>
        <w:tab/>
      </w:r>
      <w:r>
        <w:t xml:space="preserve">(55)</w:t>
      </w:r>
    </w:p>
    <w:p>
      <w:r>
        <w:t xml:space="preserve">Positive semidefiniteness of the (θ′, ϕ′) quadratic form requires Λ ≤ 4[α_κ + (4/3)Rd F³], verified numerically.</w:t>
      </w:r>
    </w:p>
    <w:p>
      <w:pPr>
        <w:pStyle w:val="Heading1"/>
      </w:pPr>
      <w:r>
        <w:t xml:space="preserve">4. Numerical Method</w:t>
      </w:r>
    </w:p>
    <w:p>
      <w:r>
        <w:t xml:space="preserve">MATLAB bvp4c (Lobatto IIIa, fourth-order). State vector: [f, f′, f″, f‴, θ, θ′, ϕ, ϕ′]. Energy/species solved simultaneously from a 2×2 system (Eq. 61).</w:t>
      </w:r>
    </w:p>
    <w:p>
      <w:pPr>
        <w:pStyle w:val="Heading2"/>
      </w:pPr>
      <w:r>
        <w:t xml:space="preserve">4.1 Grid convergence (point 11 — claim softened)</w:t>
      </w:r>
    </w:p>
    <w:p>
      <w:r>
        <w:t xml:space="preserve">The displayed values of f″(1) are identical to seven decimal places across N = 100, 200, 400. We therefore state: the solution is mesh-independent to the reported numerical precision, consistent with but not a direct demonstration of the fourth-order scheme. A genuine order-of-accuracy study would require additional significant digits.</w:t>
      </w:r>
    </w:p>
    <w:p>
      <w:r>
        <w:rPr>
          <w:b/>
        </w:rPr>
        <w:t xml:space="preserve">Table 3a. Grid convergence of f″(1).</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b/>
              </w:rPr>
              <w:t xml:space="preserve">N</w:t>
            </w:r>
          </w:p>
        </w:tc>
        <w:tc>
          <w:tcPr>
            <w:tcW w:w="3000" w:type="dxa"/>
          </w:tcPr>
          <w:p>
            <w:r>
              <w:rPr>
                <w:b/>
              </w:rPr>
              <w:t xml:space="preserve">f″(1)</w:t>
            </w:r>
          </w:p>
        </w:tc>
        <w:tc>
          <w:tcPr>
            <w:tcW w:w="3000" w:type="dxa"/>
          </w:tcPr>
          <w:p>
            <w:r>
              <w:rPr>
                <w:b/>
              </w:rPr>
              <w:t xml:space="preserve">E_grid (%)</w:t>
            </w:r>
          </w:p>
        </w:tc>
      </w:tr>
      <w:tr>
        <w:tc>
          <w:tcPr>
            <w:tcW w:w="3000" w:type="dxa"/>
          </w:tcPr>
          <w:p>
            <w:r>
              <w:t xml:space="preserve">100</w:t>
            </w:r>
          </w:p>
        </w:tc>
        <w:tc>
          <w:tcPr>
            <w:tcW w:w="3000" w:type="dxa"/>
          </w:tcPr>
          <w:p>
            <w:r>
              <w:t xml:space="preserve">0.0758781</w:t>
            </w:r>
          </w:p>
        </w:tc>
        <w:tc>
          <w:tcPr>
            <w:tcW w:w="3000" w:type="dxa"/>
          </w:tcPr>
          <w:p>
            <w:r>
              <w:t xml:space="preserve">—</w:t>
            </w:r>
          </w:p>
        </w:tc>
      </w:tr>
      <w:tr>
        <w:tc>
          <w:tcPr>
            <w:tcW w:w="3000" w:type="dxa"/>
          </w:tcPr>
          <w:p>
            <w:r>
              <w:t xml:space="preserve">200</w:t>
            </w:r>
          </w:p>
        </w:tc>
        <w:tc>
          <w:tcPr>
            <w:tcW w:w="3000" w:type="dxa"/>
          </w:tcPr>
          <w:p>
            <w:r>
              <w:t xml:space="preserve">0.0758781</w:t>
            </w:r>
          </w:p>
        </w:tc>
        <w:tc>
          <w:tcPr>
            <w:tcW w:w="3000" w:type="dxa"/>
          </w:tcPr>
          <w:p>
            <w:r>
              <w:t xml:space="preserve">&lt; 1e-5</w:t>
            </w:r>
          </w:p>
        </w:tc>
      </w:tr>
      <w:tr>
        <w:tc>
          <w:tcPr>
            <w:tcW w:w="3000" w:type="dxa"/>
          </w:tcPr>
          <w:p>
            <w:r>
              <w:t xml:space="preserve">400</w:t>
            </w:r>
          </w:p>
        </w:tc>
        <w:tc>
          <w:tcPr>
            <w:tcW w:w="3000" w:type="dxa"/>
          </w:tcPr>
          <w:p>
            <w:r>
              <w:t xml:space="preserve">0.0758781</w:t>
            </w:r>
          </w:p>
        </w:tc>
        <w:tc>
          <w:tcPr>
            <w:tcW w:w="3000" w:type="dxa"/>
          </w:tcPr>
          <w:p>
            <w:r>
              <w:t xml:space="preserve">&lt; 1e-5</w:t>
            </w:r>
          </w:p>
        </w:tc>
      </w:tr>
    </w:tbl>
    <w:p/>
    <w:p>
      <w:r>
        <w:rPr>
          <w:b/>
        </w:rPr>
        <w:t xml:space="preserve">Table 3b. Newtonian clear-fluid limit.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b/>
              </w:rPr>
              <w:t xml:space="preserve">Sq</w:t>
            </w:r>
          </w:p>
        </w:tc>
        <w:tc>
          <w:tcPr>
            <w:tcW w:w="3000" w:type="dxa"/>
          </w:tcPr>
          <w:p>
            <w:r>
              <w:rPr>
                <w:b/>
              </w:rPr>
              <w:t xml:space="preserve">f″(1)</w:t>
            </w:r>
          </w:p>
        </w:tc>
        <w:tc>
          <w:tcPr>
            <w:tcW w:w="3000" w:type="dxa"/>
          </w:tcPr>
          <w:p>
            <w:r>
              <w:rPr>
                <w:b/>
              </w:rPr>
              <w:t xml:space="preserve">−θ′(1)</w:t>
            </w:r>
          </w:p>
        </w:tc>
      </w:tr>
      <w:tr>
        <w:tc>
          <w:tcPr>
            <w:tcW w:w="3000" w:type="dxa"/>
          </w:tcPr>
          <w:p>
            <w:r>
              <w:t xml:space="preserve">0.1</w:t>
            </w:r>
          </w:p>
        </w:tc>
        <w:tc>
          <w:tcPr>
            <w:tcW w:w="3000" w:type="dxa"/>
          </w:tcPr>
          <w:p>
            <w:r>
              <w:t xml:space="preserve">1.650489</w:t>
            </w:r>
          </w:p>
        </w:tc>
        <w:tc>
          <w:tcPr>
            <w:tcW w:w="3000" w:type="dxa"/>
          </w:tcPr>
          <w:p>
            <w:r>
              <w:t xml:space="preserve">0.716418</w:t>
            </w:r>
          </w:p>
        </w:tc>
      </w:tr>
      <w:tr>
        <w:tc>
          <w:tcPr>
            <w:tcW w:w="3000" w:type="dxa"/>
          </w:tcPr>
          <w:p>
            <w:r>
              <w:t xml:space="preserve">0.5</w:t>
            </w:r>
          </w:p>
        </w:tc>
        <w:tc>
          <w:tcPr>
            <w:tcW w:w="3000" w:type="dxa"/>
          </w:tcPr>
          <w:p>
            <w:r>
              <w:t xml:space="preserve">0.422159</w:t>
            </w:r>
          </w:p>
        </w:tc>
        <w:tc>
          <w:tcPr>
            <w:tcW w:w="3000" w:type="dxa"/>
          </w:tcPr>
          <w:p>
            <w:r>
              <w:t xml:space="preserve">0.352009</w:t>
            </w:r>
          </w:p>
        </w:tc>
      </w:tr>
      <w:tr>
        <w:tc>
          <w:tcPr>
            <w:tcW w:w="3000" w:type="dxa"/>
          </w:tcPr>
          <w:p>
            <w:r>
              <w:t xml:space="preserve">1.0</w:t>
            </w:r>
          </w:p>
        </w:tc>
        <w:tc>
          <w:tcPr>
            <w:tcW w:w="3000" w:type="dxa"/>
          </w:tcPr>
          <w:p>
            <w:r>
              <w:t xml:space="preserve">−1.152174</w:t>
            </w:r>
          </w:p>
        </w:tc>
        <w:tc>
          <w:tcPr>
            <w:tcW w:w="3000" w:type="dxa"/>
          </w:tcPr>
          <w:p>
            <w:r>
              <w:t xml:space="preserve">0.176000</w:t>
            </w:r>
          </w:p>
        </w:tc>
      </w:tr>
      <w:tr>
        <w:tc>
          <w:tcPr>
            <w:tcW w:w="3000" w:type="dxa"/>
          </w:tcPr>
          <w:p>
            <w:r>
              <w:t xml:space="preserve">1.5</w:t>
            </w:r>
          </w:p>
        </w:tc>
        <w:tc>
          <w:tcPr>
            <w:tcW w:w="3000" w:type="dxa"/>
          </w:tcPr>
          <w:p>
            <w:r>
              <w:t xml:space="preserve">−2.768838</w:t>
            </w:r>
          </w:p>
        </w:tc>
        <w:tc>
          <w:tcPr>
            <w:tcW w:w="3000" w:type="dxa"/>
          </w:tcPr>
          <w:p>
            <w:r>
              <w:t xml:space="preserve">0.098720</w:t>
            </w:r>
          </w:p>
        </w:tc>
      </w:tr>
    </w:tbl>
    <w:p/>
    <w:p>
      <w:pPr>
        <w:pStyle w:val="Heading1"/>
      </w:pPr>
      <w:r>
        <w:t xml:space="preserve">5. Validation</w:t>
      </w:r>
    </w:p>
    <w:p>
      <w:r>
        <w:t xml:space="preserve">Grid convergence (Table 3a) confirms mesh independence. The Newtonian limit recovers the Wang squeezing form (Table 3b). The Carreau Newtonian limit does NOT reproduce the Casson model of [23]; comparison is restricted to a common Newtonian limit.</w:t>
      </w:r>
    </w:p>
    <w:p>
      <w:pPr>
        <w:pStyle w:val="Heading1"/>
      </w:pPr>
      <w:r>
        <w:t xml:space="preserve">6. Results and Discussion</w:t>
      </w:r>
    </w:p>
    <w:p>
      <w:pPr>
        <w:pStyle w:val="Heading2"/>
      </w:pPr>
      <w:r>
        <w:t xml:space="preserve">6.1 Velocity field</w:t>
      </w:r>
    </w:p>
    <w:p>
      <w:pPr>
        <w:jc w:val="center"/>
      </w:pPr>
      <w:r>
        <w:drawing>
          <wp:inline xmlns:wp="http://schemas.openxmlformats.org/drawingml/2006/wordprocessingDrawing" distT="0" distB="0" distL="0" distR="0">
            <wp:extent cx="5000000" cy="3421052"/>
            <wp:docPr id="17" name="fig1.png"/>
            <a:graphic xmlns:a="http://schemas.openxmlformats.org/drawingml/2006/main">
              <a:graphicData uri="http://schemas.openxmlformats.org/drawingml/2006/picture">
                <pic:pic xmlns:pic="http://schemas.openxmlformats.org/drawingml/2006/picture">
                  <pic:nvPicPr>
                    <pic:cNvPr id="0" name="fig1.png"/>
                    <pic:cNvPicPr/>
                  </pic:nvPicPr>
                  <pic:blipFill>
                    <a:blip xmlns:r="http://schemas.openxmlformats.org/officeDocument/2006/relationships" r:embed="rId11"/>
                    <a:stretch>
                      <a:fillRect/>
                    </a:stretch>
                  </pic:blipFill>
                  <pic:spPr>
                    <a:xfrm>
                      <a:off x="0" y="0"/>
                      <a:ext cx="5000000" cy="3421052"/>
                    </a:xfrm>
                    <a:prstGeom prst="rect">
                      <a:avLst/>
                    </a:prstGeom>
                  </pic:spPr>
                </pic:pic>
              </a:graphicData>
            </a:graphic>
          </wp:inline>
        </w:drawing>
      </w:r>
    </w:p>
    <w:p>
      <w:pPr>
        <w:jc w:val="center"/>
      </w:pPr>
      <w:r>
        <w:rPr>
          <w:i/>
        </w:rPr>
        <w:t xml:space="preserve">Figure 1. Schematic of the unsteady squeezing flow of the AA7072–AA7075/methanol Carreau hybrid nanofluid between parallel porous plates under aligned electric and transverse magnetic fields.</w:t>
      </w:r>
    </w:p>
    <w:p>
      <w:r>
        <w:t xml:space="preserve">Figure 1 shows the physical configuration. The lower plate stretches at U_e = ax/(1−γt); the upper plate moves down with the squeezing velocity v_h. A transverse magnetic field B(t) and aligned electric field E(t) are applied. The gap is filled with a Carreau hybrid nanofluid in a Darcy–Forchheimer porous medium.</w:t>
      </w:r>
    </w:p>
    <w:p/>
    <w:p>
      <w:pPr>
        <w:jc w:val="center"/>
      </w:pPr>
      <w:r>
        <w:drawing>
          <wp:inline xmlns:wp="http://schemas.openxmlformats.org/drawingml/2006/wordprocessingDrawing" distT="0" distB="0" distL="0" distR="0">
            <wp:extent cx="5000000" cy="3421052"/>
            <wp:docPr id="17" name="fig2.png"/>
            <a:graphic xmlns:a="http://schemas.openxmlformats.org/drawingml/2006/main">
              <a:graphicData uri="http://schemas.openxmlformats.org/drawingml/2006/picture">
                <pic:pic xmlns:pic="http://schemas.openxmlformats.org/drawingml/2006/picture">
                  <pic:nvPicPr>
                    <pic:cNvPr id="0" name="fig2.png"/>
                    <pic:cNvPicPr/>
                  </pic:nvPicPr>
                  <pic:blipFill>
                    <a:blip xmlns:r="http://schemas.openxmlformats.org/officeDocument/2006/relationships" r:embed="rId12"/>
                    <a:stretch>
                      <a:fillRect/>
                    </a:stretch>
                  </pic:blipFill>
                  <pic:spPr>
                    <a:xfrm>
                      <a:off x="0" y="0"/>
                      <a:ext cx="5000000" cy="3421052"/>
                    </a:xfrm>
                    <a:prstGeom prst="rect">
                      <a:avLst/>
                    </a:prstGeom>
                  </pic:spPr>
                </pic:pic>
              </a:graphicData>
            </a:graphic>
          </wp:inline>
        </w:drawing>
      </w:r>
    </w:p>
    <w:p>
      <w:pPr>
        <w:jc w:val="center"/>
      </w:pPr>
      <w:r>
        <w:rPr>
          <w:i/>
        </w:rPr>
        <w:t xml:space="preserve">Figure 2. Effect of the squeezing parameter Sq on the velocity profile f′(η). Data computed by the present solver.</w:t>
      </w:r>
    </w:p>
    <w:p>
      <w:r>
        <w:t xml:space="preserve">Figure 2 shows the axial velocity f′(η) for Sq = 0.2, 0.4, 0.6, 0.8. As the squeezing parameter increases, the near-wall velocity at η = 0 decreases while the core flow is redistributed — higher Sq drives more fluid toward the exit, creating the characteristic crossover. All curves satisfy f′(1) = 0 (no-slip at the upper plate) and f′(0) = 1 + S_1 f″(0) (velocity slip at the lower plate). The crossover position shifts toward the lower plate for stronger squeezing, consistent with the classical Stefan–Grimm viscous-film analysis [18, 19].</w:t>
      </w:r>
    </w:p>
    <w:p/>
    <w:p>
      <w:pPr>
        <w:jc w:val="center"/>
      </w:pPr>
      <w:r>
        <w:drawing>
          <wp:inline xmlns:wp="http://schemas.openxmlformats.org/drawingml/2006/wordprocessingDrawing" distT="0" distB="0" distL="0" distR="0">
            <wp:extent cx="5000000" cy="3421052"/>
            <wp:docPr id="17" name="fig3.png"/>
            <a:graphic xmlns:a="http://schemas.openxmlformats.org/drawingml/2006/main">
              <a:graphicData uri="http://schemas.openxmlformats.org/drawingml/2006/picture">
                <pic:pic xmlns:pic="http://schemas.openxmlformats.org/drawingml/2006/picture">
                  <pic:nvPicPr>
                    <pic:cNvPr id="0" name="fig3.png"/>
                    <pic:cNvPicPr/>
                  </pic:nvPicPr>
                  <pic:blipFill>
                    <a:blip xmlns:r="http://schemas.openxmlformats.org/officeDocument/2006/relationships" r:embed="rId13"/>
                    <a:stretch>
                      <a:fillRect/>
                    </a:stretch>
                  </pic:blipFill>
                  <pic:spPr>
                    <a:xfrm>
                      <a:off x="0" y="0"/>
                      <a:ext cx="5000000" cy="3421052"/>
                    </a:xfrm>
                    <a:prstGeom prst="rect">
                      <a:avLst/>
                    </a:prstGeom>
                  </pic:spPr>
                </pic:pic>
              </a:graphicData>
            </a:graphic>
          </wp:inline>
        </w:drawing>
      </w:r>
    </w:p>
    <w:p>
      <w:pPr>
        <w:jc w:val="center"/>
      </w:pPr>
      <w:r>
        <w:rPr>
          <w:i/>
        </w:rPr>
        <w:t xml:space="preserve">Figure 3. Effect of the Weissenberg number We and magnetic parameter M on f′(η). Data computed by the present solver.</w:t>
      </w:r>
    </w:p>
    <w:p>
      <w:r>
        <w:t xml:space="preserve">Figure 3 illustrates the combined influence of We and M. For the shear-thickening index n = 1.5, larger We thickens the momentum layer and raises the axial velocity: the increased effective viscosity at high shear rates resists the squeezing deformation. Conversely, stronger M retards the flow through the Lorentz force (f′ − Ee grouping), lowering the velocity profile. The M = 2 curve shows appreciably reduced flow compared to the baseline M = 1. These trends match Wahab et al. [14] and Mkhatshwa and Khumalo [15].</w:t>
      </w:r>
    </w:p>
    <w:p>
      <w:pPr>
        <w:pStyle w:val="Heading2"/>
      </w:pPr>
      <w:r>
        <w:t xml:space="preserve">6.2 Temperature field</w:t>
      </w:r>
    </w:p>
    <w:p>
      <w:pPr>
        <w:jc w:val="center"/>
      </w:pPr>
      <w:r>
        <w:drawing>
          <wp:inline xmlns:wp="http://schemas.openxmlformats.org/drawingml/2006/wordprocessingDrawing" distT="0" distB="0" distL="0" distR="0">
            <wp:extent cx="5000000" cy="3421052"/>
            <wp:docPr id="17" name="fig4.png"/>
            <a:graphic xmlns:a="http://schemas.openxmlformats.org/drawingml/2006/main">
              <a:graphicData uri="http://schemas.openxmlformats.org/drawingml/2006/picture">
                <pic:pic xmlns:pic="http://schemas.openxmlformats.org/drawingml/2006/picture">
                  <pic:nvPicPr>
                    <pic:cNvPr id="0" name="fig4.png"/>
                    <pic:cNvPicPr/>
                  </pic:nvPicPr>
                  <pic:blipFill>
                    <a:blip xmlns:r="http://schemas.openxmlformats.org/officeDocument/2006/relationships" r:embed="rId14"/>
                    <a:stretch>
                      <a:fillRect/>
                    </a:stretch>
                  </pic:blipFill>
                  <pic:spPr>
                    <a:xfrm>
                      <a:off x="0" y="0"/>
                      <a:ext cx="5000000" cy="3421052"/>
                    </a:xfrm>
                    <a:prstGeom prst="rect">
                      <a:avLst/>
                    </a:prstGeom>
                  </pic:spPr>
                </pic:pic>
              </a:graphicData>
            </a:graphic>
          </wp:inline>
        </w:drawing>
      </w:r>
    </w:p>
    <w:p>
      <w:pPr>
        <w:jc w:val="center"/>
      </w:pPr>
      <w:r>
        <w:rPr>
          <w:i/>
        </w:rPr>
        <w:t xml:space="preserve">Figure 4. Effect of Rd and Ec on the temperature profile θ(η). Data computed by the present solver.</w:t>
      </w:r>
    </w:p>
    <w:p>
      <w:r>
        <w:t xml:space="preserve">Figure 4 shows the temperature profiles. Higher Ec raises θ through viscous dissipation and Joule heating. With the corrected radiation grouping [α_κ + (4/3)Rd F³]θ″, an increase in Rd raises the effective conductivity, flattening and moderating the dissipation-driven peak — the physically correct behaviour for a base-fluid-referenced Rd. CORRECTION (point 12): consistent with Table 4, Re^(−1/2) Nu increases from 1.3509 at Rd = 0.2 to 2.3466 at Rd = 1.0 (about a 74% radiative enhancement), replacing the earlier incorrect statement of 3.19 → 3.90.</w:t>
      </w:r>
    </w:p>
    <w:p>
      <w:pPr>
        <w:pStyle w:val="Heading2"/>
      </w:pPr>
      <w:r>
        <w:t xml:space="preserve">6.3 Concentration field</w:t>
      </w:r>
    </w:p>
    <w:p>
      <w:r>
        <w:t xml:space="preserve">The concentration ϕ(η) decreases monotonically from the lower to the upper plate. Larger Sc thins the solutal layer; K &gt; 0 depletes species. The Soret and Dufour numbers act reciprocally on temperature and concentration [23, 26–28].</w:t>
      </w:r>
    </w:p>
    <w:p>
      <w:pPr>
        <w:pStyle w:val="Heading2"/>
      </w:pPr>
      <w:r>
        <w:t xml:space="preserve">6.4 Entropy generation</w:t>
      </w:r>
    </w:p>
    <w:p>
      <w:pPr>
        <w:jc w:val="center"/>
      </w:pPr>
      <w:r>
        <w:drawing>
          <wp:inline xmlns:wp="http://schemas.openxmlformats.org/drawingml/2006/wordprocessingDrawing" distT="0" distB="0" distL="0" distR="0">
            <wp:extent cx="5000000" cy="3421052"/>
            <wp:docPr id="17" name="fig5.png"/>
            <a:graphic xmlns:a="http://schemas.openxmlformats.org/drawingml/2006/main">
              <a:graphicData uri="http://schemas.openxmlformats.org/drawingml/2006/picture">
                <pic:pic xmlns:pic="http://schemas.openxmlformats.org/drawingml/2006/picture">
                  <pic:nvPicPr>
                    <pic:cNvPr id="0" name="fig5.png"/>
                    <pic:cNvPicPr/>
                  </pic:nvPicPr>
                  <pic:blipFill>
                    <a:blip xmlns:r="http://schemas.openxmlformats.org/officeDocument/2006/relationships" r:embed="rId15"/>
                    <a:stretch>
                      <a:fillRect/>
                    </a:stretch>
                  </pic:blipFill>
                  <pic:spPr>
                    <a:xfrm>
                      <a:off x="0" y="0"/>
                      <a:ext cx="5000000" cy="3421052"/>
                    </a:xfrm>
                    <a:prstGeom prst="rect">
                      <a:avLst/>
                    </a:prstGeom>
                  </pic:spPr>
                </pic:pic>
              </a:graphicData>
            </a:graphic>
          </wp:inline>
        </w:drawing>
      </w:r>
    </w:p>
    <w:p>
      <w:pPr>
        <w:jc w:val="center"/>
      </w:pPr>
      <w:r>
        <w:rPr>
          <w:i/>
        </w:rPr>
        <w:t xml:space="preserve">Figure 5. Entropy generation number N_s(η) versus Br and M. Data computed by the present solver.</w:t>
      </w:r>
    </w:p>
    <w:p>
      <w:r>
        <w:t xml:space="preserve">Figure 5 shows the entropy-generation profiles. N_s(η) peaks at the walls where velocity and temperature gradients are largest, and falls toward the core — the classical Bejan signature [34, 35]. Increasing Br amplifies N_s dramatically: N_s(0) rises from 4.4484 (Br = 0.5) to 10.7492 (Br = 1.5), about 142%. Stronger M adds Joule irreversibility (N_s(0) = 8.2714 at M = 2.0 vs 7.5988 at M = 1.0). CORRECTION (point 13): N_s(0) = 3.5495 at Ω = 2.0, consistent with Table 5 (not 3.46 as previously stated).</w:t>
      </w:r>
    </w:p>
    <w:p>
      <w:pPr>
        <w:pStyle w:val="Heading2"/>
      </w:pPr>
      <w:r>
        <w:t xml:space="preserve">6.5 Bejan number</w:t>
      </w:r>
    </w:p>
    <w:p>
      <w:pPr>
        <w:jc w:val="center"/>
      </w:pPr>
      <w:r>
        <w:drawing>
          <wp:inline xmlns:wp="http://schemas.openxmlformats.org/drawingml/2006/wordprocessingDrawing" distT="0" distB="0" distL="0" distR="0">
            <wp:extent cx="5000000" cy="3421052"/>
            <wp:docPr id="17" name="fig6.png"/>
            <a:graphic xmlns:a="http://schemas.openxmlformats.org/drawingml/2006/main">
              <a:graphicData uri="http://schemas.openxmlformats.org/drawingml/2006/picture">
                <pic:pic xmlns:pic="http://schemas.openxmlformats.org/drawingml/2006/picture">
                  <pic:nvPicPr>
                    <pic:cNvPr id="0" name="fig6.png"/>
                    <pic:cNvPicPr/>
                  </pic:nvPicPr>
                  <pic:blipFill>
                    <a:blip xmlns:r="http://schemas.openxmlformats.org/officeDocument/2006/relationships" r:embed="rId16"/>
                    <a:stretch>
                      <a:fillRect/>
                    </a:stretch>
                  </pic:blipFill>
                  <pic:spPr>
                    <a:xfrm>
                      <a:off x="0" y="0"/>
                      <a:ext cx="5000000" cy="3421052"/>
                    </a:xfrm>
                    <a:prstGeom prst="rect">
                      <a:avLst/>
                    </a:prstGeom>
                  </pic:spPr>
                </pic:pic>
              </a:graphicData>
            </a:graphic>
          </wp:inline>
        </w:drawing>
      </w:r>
    </w:p>
    <w:p>
      <w:pPr>
        <w:jc w:val="center"/>
      </w:pPr>
      <w:r>
        <w:rPr>
          <w:i/>
        </w:rPr>
        <w:t xml:space="preserve">Figure 6. Bejan number Be(η) versus Rd and Br. Data computed by the present solver.</w:t>
      </w:r>
    </w:p>
    <w:p>
      <w:r>
        <w:t xml:space="preserve">Figure 6 shows the Bejan number. Be is bounded in [0, 1] at every η: thermal and diffusive irreversibilities dominate near the walls (high Be), while friction and Joule irreversibilities dominate in the core (low Be). Larger Rd raises Be (more thermal share); larger Br lowers it (more friction share). Be(0) falls from 0.2918 to 0.1207 as Br rises 0.5 → 1.5 (Table 5). The spatial transition is consistent with Yadav and Kumar [42] and Ali et al. [41].</w:t>
      </w:r>
    </w:p>
    <w:p>
      <w:pPr>
        <w:pStyle w:val="Heading2"/>
      </w:pPr>
      <w:r>
        <w:t xml:space="preserve">6.6 Engineering quantities</w:t>
      </w:r>
    </w:p>
    <w:p>
      <w:pPr>
        <w:jc w:val="center"/>
      </w:pPr>
      <w:r>
        <w:drawing>
          <wp:inline xmlns:wp="http://schemas.openxmlformats.org/drawingml/2006/wordprocessingDrawing" distT="0" distB="0" distL="0" distR="0">
            <wp:extent cx="5000000" cy="3421052"/>
            <wp:docPr id="17" name="fig7.png"/>
            <a:graphic xmlns:a="http://schemas.openxmlformats.org/drawingml/2006/main">
              <a:graphicData uri="http://schemas.openxmlformats.org/drawingml/2006/picture">
                <pic:pic xmlns:pic="http://schemas.openxmlformats.org/drawingml/2006/picture">
                  <pic:nvPicPr>
                    <pic:cNvPr id="0" name="fig7.png"/>
                    <pic:cNvPicPr/>
                  </pic:nvPicPr>
                  <pic:blipFill>
                    <a:blip xmlns:r="http://schemas.openxmlformats.org/officeDocument/2006/relationships" r:embed="rId17"/>
                    <a:stretch>
                      <a:fillRect/>
                    </a:stretch>
                  </pic:blipFill>
                  <pic:spPr>
                    <a:xfrm>
                      <a:off x="0" y="0"/>
                      <a:ext cx="5000000" cy="3421052"/>
                    </a:xfrm>
                    <a:prstGeom prst="rect">
                      <a:avLst/>
                    </a:prstGeom>
                  </pic:spPr>
                </pic:pic>
              </a:graphicData>
            </a:graphic>
          </wp:inline>
        </w:drawing>
      </w:r>
    </w:p>
    <w:p>
      <w:pPr>
        <w:jc w:val="center"/>
      </w:pPr>
      <w:r>
        <w:rPr>
          <w:i/>
        </w:rPr>
        <w:t xml:space="preserve">Figure 7. Reduced skin friction, Nusselt number and Sherwood number versus nanoparticle volume fraction ϕ. Data computed by the present solver.</w:t>
      </w:r>
    </w:p>
    <w:p>
      <w:r>
        <w:t xml:space="preserve">Figure 7 shows the engineering quantities versus hybrid loading. The Nusselt number rises monotonically (1.43 at ϕ = 0 to 2.01 at ϕ = 0.05, ~41%), reproducing the AA7072–AA7075/methanol enhancement of Tlili et al. [8]. Skin friction varies modestly; Sherwood number is nearly flat. The identical C_f = 0.0885 across Rd, Df, Sr and K rows in Table 4 is physical: these parameters enter only the energy/species equations and do NOT feed back into the momentum equation in the present one-way-coupled model (point 15).</w:t>
      </w:r>
    </w:p>
    <w:p>
      <w:pPr>
        <w:pStyle w:val="Heading2"/>
      </w:pPr>
      <w:r>
        <w:t xml:space="preserve">6.7 Tabulated results</w:t>
      </w:r>
    </w:p>
    <w:p>
      <w:r>
        <w:rPr>
          <w:b/>
        </w:rPr>
        <w:t xml:space="preserve">Table 4. Reduced skin friction, Nusselt and Sherwood numbers.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tblGrid>
      <w:tr>
        <w:tc>
          <w:tcPr>
            <w:tcW w:w="1800" w:type="dxa"/>
          </w:tcPr>
          <w:p>
            <w:r>
              <w:rPr>
                <w:b/>
              </w:rPr>
              <w:t xml:space="preserve">Parameter</w:t>
            </w:r>
          </w:p>
        </w:tc>
        <w:tc>
          <w:tcPr>
            <w:tcW w:w="1800" w:type="dxa"/>
          </w:tcPr>
          <w:p>
            <w:r>
              <w:rPr>
                <w:b/>
              </w:rPr>
              <w:t xml:space="preserve">Value</w:t>
            </w:r>
          </w:p>
        </w:tc>
        <w:tc>
          <w:tcPr>
            <w:tcW w:w="1800" w:type="dxa"/>
          </w:tcPr>
          <w:p>
            <w:r>
              <w:rPr>
                <w:b/>
              </w:rPr>
              <w:t xml:space="preserve">Re^(1/2) Cf</w:t>
            </w:r>
          </w:p>
        </w:tc>
        <w:tc>
          <w:tcPr>
            <w:tcW w:w="1800" w:type="dxa"/>
          </w:tcPr>
          <w:p>
            <w:r>
              <w:rPr>
                <w:b/>
              </w:rPr>
              <w:t xml:space="preserve">Re^(-1/2) Nu</w:t>
            </w:r>
          </w:p>
        </w:tc>
        <w:tc>
          <w:tcPr>
            <w:tcW w:w="1800" w:type="dxa"/>
          </w:tcPr>
          <w:p>
            <w:r>
              <w:rPr>
                <w:b/>
              </w:rPr>
              <w:t xml:space="preserve">Re^(-1/2) Sh</w:t>
            </w:r>
          </w:p>
        </w:tc>
      </w:tr>
      <w:tr>
        <w:tc>
          <w:tcPr>
            <w:tcW w:w="1800" w:type="dxa"/>
          </w:tcPr>
          <w:p>
            <w:r>
              <w:t xml:space="preserve">Sq</w:t>
            </w:r>
          </w:p>
        </w:tc>
        <w:tc>
          <w:tcPr>
            <w:tcW w:w="1800" w:type="dxa"/>
          </w:tcPr>
          <w:p>
            <w:r>
              <w:t xml:space="preserve">0.2</w:t>
            </w:r>
          </w:p>
        </w:tc>
        <w:tc>
          <w:tcPr>
            <w:tcW w:w="1800" w:type="dxa"/>
          </w:tcPr>
          <w:p>
            <w:r>
              <w:t xml:space="preserve">1.3306</w:t>
            </w:r>
          </w:p>
        </w:tc>
        <w:tc>
          <w:tcPr>
            <w:tcW w:w="1800" w:type="dxa"/>
          </w:tcPr>
          <w:p>
            <w:r>
              <w:t xml:space="preserve">3.7960</w:t>
            </w:r>
          </w:p>
        </w:tc>
        <w:tc>
          <w:tcPr>
            <w:tcW w:w="1800" w:type="dxa"/>
          </w:tcPr>
          <w:p>
            <w:r>
              <w:t xml:space="preserve">0.5364</w:t>
            </w:r>
          </w:p>
        </w:tc>
      </w:tr>
      <w:tr>
        <w:tc>
          <w:tcPr>
            <w:tcW w:w="1800" w:type="dxa"/>
          </w:tcPr>
          <w:p>
            <w:r>
              <w:t xml:space="preserve">Sq</w:t>
            </w:r>
          </w:p>
        </w:tc>
        <w:tc>
          <w:tcPr>
            <w:tcW w:w="1800" w:type="dxa"/>
          </w:tcPr>
          <w:p>
            <w:r>
              <w:t xml:space="preserve">0.8</w:t>
            </w:r>
          </w:p>
        </w:tc>
        <w:tc>
          <w:tcPr>
            <w:tcW w:w="1800" w:type="dxa"/>
          </w:tcPr>
          <w:p>
            <w:r>
              <w:t xml:space="preserve">−1.1816</w:t>
            </w:r>
          </w:p>
        </w:tc>
        <w:tc>
          <w:tcPr>
            <w:tcW w:w="1800" w:type="dxa"/>
          </w:tcPr>
          <w:p>
            <w:r>
              <w:t xml:space="preserve">1.6004</w:t>
            </w:r>
          </w:p>
        </w:tc>
        <w:tc>
          <w:tcPr>
            <w:tcW w:w="1800" w:type="dxa"/>
          </w:tcPr>
          <w:p>
            <w:r>
              <w:t xml:space="preserve">0.5354</w:t>
            </w:r>
          </w:p>
        </w:tc>
      </w:tr>
      <w:tr>
        <w:tc>
          <w:tcPr>
            <w:tcW w:w="1800" w:type="dxa"/>
          </w:tcPr>
          <w:p>
            <w:r>
              <w:t xml:space="preserve">M</w:t>
            </w:r>
          </w:p>
        </w:tc>
        <w:tc>
          <w:tcPr>
            <w:tcW w:w="1800" w:type="dxa"/>
          </w:tcPr>
          <w:p>
            <w:r>
              <w:t xml:space="preserve">0.5</w:t>
            </w:r>
          </w:p>
        </w:tc>
        <w:tc>
          <w:tcPr>
            <w:tcW w:w="1800" w:type="dxa"/>
          </w:tcPr>
          <w:p>
            <w:r>
              <w:t xml:space="preserve">0.1175</w:t>
            </w:r>
          </w:p>
        </w:tc>
        <w:tc>
          <w:tcPr>
            <w:tcW w:w="1800" w:type="dxa"/>
          </w:tcPr>
          <w:p>
            <w:r>
              <w:t xml:space="preserve">1.7336</w:t>
            </w:r>
          </w:p>
        </w:tc>
        <w:tc>
          <w:tcPr>
            <w:tcW w:w="1800" w:type="dxa"/>
          </w:tcPr>
          <w:p>
            <w:r>
              <w:t xml:space="preserve">0.6293</w:t>
            </w:r>
          </w:p>
        </w:tc>
      </w:tr>
      <w:tr>
        <w:tc>
          <w:tcPr>
            <w:tcW w:w="1800" w:type="dxa"/>
          </w:tcPr>
          <w:p>
            <w:r>
              <w:t xml:space="preserve">M</w:t>
            </w:r>
          </w:p>
        </w:tc>
        <w:tc>
          <w:tcPr>
            <w:tcW w:w="1800" w:type="dxa"/>
          </w:tcPr>
          <w:p>
            <w:r>
              <w:t xml:space="preserve">2.0</w:t>
            </w:r>
          </w:p>
        </w:tc>
        <w:tc>
          <w:tcPr>
            <w:tcW w:w="1800" w:type="dxa"/>
          </w:tcPr>
          <w:p>
            <w:r>
              <w:t xml:space="preserve">0.0318</w:t>
            </w:r>
          </w:p>
        </w:tc>
        <w:tc>
          <w:tcPr>
            <w:tcW w:w="1800" w:type="dxa"/>
          </w:tcPr>
          <w:p>
            <w:r>
              <w:t xml:space="preserve">1.8015</w:t>
            </w:r>
          </w:p>
        </w:tc>
        <w:tc>
          <w:tcPr>
            <w:tcW w:w="1800" w:type="dxa"/>
          </w:tcPr>
          <w:p>
            <w:r>
              <w:t xml:space="preserve">0.6268</w:t>
            </w:r>
          </w:p>
        </w:tc>
      </w:tr>
      <w:tr>
        <w:tc>
          <w:tcPr>
            <w:tcW w:w="1800" w:type="dxa"/>
          </w:tcPr>
          <w:p>
            <w:r>
              <w:t xml:space="preserve">We</w:t>
            </w:r>
          </w:p>
        </w:tc>
        <w:tc>
          <w:tcPr>
            <w:tcW w:w="1800" w:type="dxa"/>
          </w:tcPr>
          <w:p>
            <w:r>
              <w:t xml:space="preserve">0.5</w:t>
            </w:r>
          </w:p>
        </w:tc>
        <w:tc>
          <w:tcPr>
            <w:tcW w:w="1800" w:type="dxa"/>
          </w:tcPr>
          <w:p>
            <w:r>
              <w:t xml:space="preserve">−0.0380</w:t>
            </w:r>
          </w:p>
        </w:tc>
        <w:tc>
          <w:tcPr>
            <w:tcW w:w="1800" w:type="dxa"/>
          </w:tcPr>
          <w:p>
            <w:r>
              <w:t xml:space="preserve">1.5919</w:t>
            </w:r>
          </w:p>
        </w:tc>
        <w:tc>
          <w:tcPr>
            <w:tcW w:w="1800" w:type="dxa"/>
          </w:tcPr>
          <w:p>
            <w:r>
              <w:t xml:space="preserve">0.6370</w:t>
            </w:r>
          </w:p>
        </w:tc>
      </w:tr>
      <w:tr>
        <w:tc>
          <w:tcPr>
            <w:tcW w:w="1800" w:type="dxa"/>
          </w:tcPr>
          <w:p>
            <w:r>
              <w:t xml:space="preserve">We</w:t>
            </w:r>
          </w:p>
        </w:tc>
        <w:tc>
          <w:tcPr>
            <w:tcW w:w="1800" w:type="dxa"/>
          </w:tcPr>
          <w:p>
            <w:r>
              <w:t xml:space="preserve">2.0</w:t>
            </w:r>
          </w:p>
        </w:tc>
        <w:tc>
          <w:tcPr>
            <w:tcW w:w="1800" w:type="dxa"/>
          </w:tcPr>
          <w:p>
            <w:r>
              <w:t xml:space="preserve">0.2693</w:t>
            </w:r>
          </w:p>
        </w:tc>
        <w:tc>
          <w:tcPr>
            <w:tcW w:w="1800" w:type="dxa"/>
          </w:tcPr>
          <w:p>
            <w:r>
              <w:t xml:space="preserve">2.0894</w:t>
            </w:r>
          </w:p>
        </w:tc>
        <w:tc>
          <w:tcPr>
            <w:tcW w:w="1800" w:type="dxa"/>
          </w:tcPr>
          <w:p>
            <w:r>
              <w:t xml:space="preserve">0.6101</w:t>
            </w:r>
          </w:p>
        </w:tc>
      </w:tr>
      <w:tr>
        <w:tc>
          <w:tcPr>
            <w:tcW w:w="1800" w:type="dxa"/>
          </w:tcPr>
          <w:p>
            <w:r>
              <w:t xml:space="preserve">Rd</w:t>
            </w:r>
          </w:p>
        </w:tc>
        <w:tc>
          <w:tcPr>
            <w:tcW w:w="1800" w:type="dxa"/>
          </w:tcPr>
          <w:p>
            <w:r>
              <w:t xml:space="preserve">0.2</w:t>
            </w:r>
          </w:p>
        </w:tc>
        <w:tc>
          <w:tcPr>
            <w:tcW w:w="1800" w:type="dxa"/>
          </w:tcPr>
          <w:p>
            <w:r>
              <w:t xml:space="preserve">0.0885</w:t>
            </w:r>
          </w:p>
        </w:tc>
        <w:tc>
          <w:tcPr>
            <w:tcW w:w="1800" w:type="dxa"/>
          </w:tcPr>
          <w:p>
            <w:r>
              <w:t xml:space="preserve">1.3509</w:t>
            </w:r>
          </w:p>
        </w:tc>
        <w:tc>
          <w:tcPr>
            <w:tcW w:w="1800" w:type="dxa"/>
          </w:tcPr>
          <w:p>
            <w:r>
              <w:t xml:space="preserve">0.6448</w:t>
            </w:r>
          </w:p>
        </w:tc>
      </w:tr>
      <w:tr>
        <w:tc>
          <w:tcPr>
            <w:tcW w:w="1800" w:type="dxa"/>
          </w:tcPr>
          <w:p>
            <w:r>
              <w:t xml:space="preserve">Rd</w:t>
            </w:r>
          </w:p>
        </w:tc>
        <w:tc>
          <w:tcPr>
            <w:tcW w:w="1800" w:type="dxa"/>
          </w:tcPr>
          <w:p>
            <w:r>
              <w:t xml:space="preserve">1.0</w:t>
            </w:r>
          </w:p>
        </w:tc>
        <w:tc>
          <w:tcPr>
            <w:tcW w:w="1800" w:type="dxa"/>
          </w:tcPr>
          <w:p>
            <w:r>
              <w:t xml:space="preserve">0.0885</w:t>
            </w:r>
          </w:p>
        </w:tc>
        <w:tc>
          <w:tcPr>
            <w:tcW w:w="1800" w:type="dxa"/>
          </w:tcPr>
          <w:p>
            <w:r>
              <w:t xml:space="preserve">2.3466</w:t>
            </w:r>
          </w:p>
        </w:tc>
        <w:tc>
          <w:tcPr>
            <w:tcW w:w="1800" w:type="dxa"/>
          </w:tcPr>
          <w:p>
            <w:r>
              <w:t xml:space="preserve">0.6193</w:t>
            </w:r>
          </w:p>
        </w:tc>
      </w:tr>
      <w:tr>
        <w:tc>
          <w:tcPr>
            <w:tcW w:w="1800" w:type="dxa"/>
          </w:tcPr>
          <w:p>
            <w:r>
              <w:t xml:space="preserve">Df</w:t>
            </w:r>
          </w:p>
        </w:tc>
        <w:tc>
          <w:tcPr>
            <w:tcW w:w="1800" w:type="dxa"/>
          </w:tcPr>
          <w:p>
            <w:r>
              <w:t xml:space="preserve">0.6</w:t>
            </w:r>
          </w:p>
        </w:tc>
        <w:tc>
          <w:tcPr>
            <w:tcW w:w="1800" w:type="dxa"/>
          </w:tcPr>
          <w:p>
            <w:r>
              <w:t xml:space="preserve">0.0885</w:t>
            </w:r>
          </w:p>
        </w:tc>
        <w:tc>
          <w:tcPr>
            <w:tcW w:w="1800" w:type="dxa"/>
          </w:tcPr>
          <w:p>
            <w:r>
              <w:t xml:space="preserve">3.2111</w:t>
            </w:r>
          </w:p>
        </w:tc>
        <w:tc>
          <w:tcPr>
            <w:tcW w:w="1800" w:type="dxa"/>
          </w:tcPr>
          <w:p>
            <w:r>
              <w:t xml:space="preserve">0.5296</w:t>
            </w:r>
          </w:p>
        </w:tc>
      </w:tr>
      <w:tr>
        <w:tc>
          <w:tcPr>
            <w:tcW w:w="1800" w:type="dxa"/>
          </w:tcPr>
          <w:p>
            <w:r>
              <w:t xml:space="preserve">Sr</w:t>
            </w:r>
          </w:p>
        </w:tc>
        <w:tc>
          <w:tcPr>
            <w:tcW w:w="1800" w:type="dxa"/>
          </w:tcPr>
          <w:p>
            <w:r>
              <w:t xml:space="preserve">0.5</w:t>
            </w:r>
          </w:p>
        </w:tc>
        <w:tc>
          <w:tcPr>
            <w:tcW w:w="1800" w:type="dxa"/>
          </w:tcPr>
          <w:p>
            <w:r>
              <w:t xml:space="preserve">0.0885</w:t>
            </w:r>
          </w:p>
        </w:tc>
        <w:tc>
          <w:tcPr>
            <w:tcW w:w="1800" w:type="dxa"/>
          </w:tcPr>
          <w:p>
            <w:r>
              <w:t xml:space="preserve">1.8712</w:t>
            </w:r>
          </w:p>
        </w:tc>
        <w:tc>
          <w:tcPr>
            <w:tcW w:w="1800" w:type="dxa"/>
          </w:tcPr>
          <w:p>
            <w:r>
              <w:t xml:space="preserve">0.5805</w:t>
            </w:r>
          </w:p>
        </w:tc>
      </w:tr>
      <w:tr>
        <w:tc>
          <w:tcPr>
            <w:tcW w:w="1800" w:type="dxa"/>
          </w:tcPr>
          <w:p>
            <w:r>
              <w:t xml:space="preserve">K</w:t>
            </w:r>
          </w:p>
        </w:tc>
        <w:tc>
          <w:tcPr>
            <w:tcW w:w="1800" w:type="dxa"/>
          </w:tcPr>
          <w:p>
            <w:r>
              <w:t xml:space="preserve">1.5</w:t>
            </w:r>
          </w:p>
        </w:tc>
        <w:tc>
          <w:tcPr>
            <w:tcW w:w="1800" w:type="dxa"/>
          </w:tcPr>
          <w:p>
            <w:r>
              <w:t xml:space="preserve">0.0885</w:t>
            </w:r>
          </w:p>
        </w:tc>
        <w:tc>
          <w:tcPr>
            <w:tcW w:w="1800" w:type="dxa"/>
          </w:tcPr>
          <w:p>
            <w:r>
              <w:t xml:space="preserve">1.9653</w:t>
            </w:r>
          </w:p>
        </w:tc>
        <w:tc>
          <w:tcPr>
            <w:tcW w:w="1800" w:type="dxa"/>
          </w:tcPr>
          <w:p>
            <w:r>
              <w:t xml:space="preserve">0.5001</w:t>
            </w:r>
          </w:p>
        </w:tc>
      </w:tr>
    </w:tbl>
    <w:p/>
    <w:p>
      <w:r>
        <w:rPr>
          <w:b/>
        </w:rPr>
        <w:t xml:space="preserve">Table 5. N_s and Be at η = 0.</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1500"/>
        <w:gridCol w:w="1500"/>
        <w:gridCol w:w="1500"/>
        <w:gridCol w:w="1500"/>
        <w:gridCol w:w="1500"/>
      </w:tblGrid>
      <w:tr>
        <w:tc>
          <w:tcPr>
            <w:tcW w:w="1500" w:type="dxa"/>
          </w:tcPr>
          <w:p>
            <w:r>
              <w:rPr>
                <w:b/>
              </w:rPr>
              <w:t xml:space="preserve">Br</w:t>
            </w:r>
          </w:p>
        </w:tc>
        <w:tc>
          <w:tcPr>
            <w:tcW w:w="1500" w:type="dxa"/>
          </w:tcPr>
          <w:p>
            <w:r>
              <w:rPr>
                <w:b/>
              </w:rPr>
              <w:t xml:space="preserve">M</w:t>
            </w:r>
          </w:p>
        </w:tc>
        <w:tc>
          <w:tcPr>
            <w:tcW w:w="1500" w:type="dxa"/>
          </w:tcPr>
          <w:p>
            <w:r>
              <w:rPr>
                <w:b/>
              </w:rPr>
              <w:t xml:space="preserve">Rd</w:t>
            </w:r>
          </w:p>
        </w:tc>
        <w:tc>
          <w:tcPr>
            <w:tcW w:w="1500" w:type="dxa"/>
          </w:tcPr>
          <w:p>
            <w:r>
              <w:rPr>
                <w:b/>
              </w:rPr>
              <w:t xml:space="preserve">Ω</w:t>
            </w:r>
          </w:p>
        </w:tc>
        <w:tc>
          <w:tcPr>
            <w:tcW w:w="1500" w:type="dxa"/>
          </w:tcPr>
          <w:p>
            <w:r>
              <w:rPr>
                <w:b/>
              </w:rPr>
              <w:t xml:space="preserve">Ns(0)</w:t>
            </w:r>
          </w:p>
        </w:tc>
        <w:tc>
          <w:tcPr>
            <w:tcW w:w="1500" w:type="dxa"/>
          </w:tcPr>
          <w:p>
            <w:r>
              <w:rPr>
                <w:b/>
              </w:rPr>
              <w:t xml:space="preserve">Be(0)</w:t>
            </w:r>
          </w:p>
        </w:tc>
      </w:tr>
      <w:tr>
        <w:tc>
          <w:tcPr>
            <w:tcW w:w="1500" w:type="dxa"/>
          </w:tcPr>
          <w:p>
            <w:r>
              <w:t xml:space="preserve">0.5</w:t>
            </w:r>
          </w:p>
        </w:tc>
        <w:tc>
          <w:tcPr>
            <w:tcW w:w="1500" w:type="dxa"/>
          </w:tcPr>
          <w:p>
            <w:r>
              <w:t xml:space="preserve">1.0</w:t>
            </w:r>
          </w:p>
        </w:tc>
        <w:tc>
          <w:tcPr>
            <w:tcW w:w="1500" w:type="dxa"/>
          </w:tcPr>
          <w:p>
            <w:r>
              <w:t xml:space="preserve">0.5</w:t>
            </w:r>
          </w:p>
        </w:tc>
        <w:tc>
          <w:tcPr>
            <w:tcW w:w="1500" w:type="dxa"/>
          </w:tcPr>
          <w:p>
            <w:r>
              <w:t xml:space="preserve">1.0</w:t>
            </w:r>
          </w:p>
        </w:tc>
        <w:tc>
          <w:tcPr>
            <w:tcW w:w="1500" w:type="dxa"/>
          </w:tcPr>
          <w:p>
            <w:r>
              <w:t xml:space="preserve">4.4484</w:t>
            </w:r>
          </w:p>
        </w:tc>
        <w:tc>
          <w:tcPr>
            <w:tcW w:w="1500" w:type="dxa"/>
          </w:tcPr>
          <w:p>
            <w:r>
              <w:t xml:space="preserve">0.2918</w:t>
            </w:r>
          </w:p>
        </w:tc>
      </w:tr>
      <w:tr>
        <w:tc>
          <w:tcPr>
            <w:tcW w:w="1500" w:type="dxa"/>
          </w:tcPr>
          <w:p>
            <w:r>
              <w:t xml:space="preserve">1.0</w:t>
            </w:r>
          </w:p>
        </w:tc>
        <w:tc>
          <w:tcPr>
            <w:tcW w:w="1500" w:type="dxa"/>
          </w:tcPr>
          <w:p>
            <w:r>
              <w:t xml:space="preserve">1.0</w:t>
            </w:r>
          </w:p>
        </w:tc>
        <w:tc>
          <w:tcPr>
            <w:tcW w:w="1500" w:type="dxa"/>
          </w:tcPr>
          <w:p>
            <w:r>
              <w:t xml:space="preserve">0.5</w:t>
            </w:r>
          </w:p>
        </w:tc>
        <w:tc>
          <w:tcPr>
            <w:tcW w:w="1500" w:type="dxa"/>
          </w:tcPr>
          <w:p>
            <w:r>
              <w:t xml:space="preserve">1.0</w:t>
            </w:r>
          </w:p>
        </w:tc>
        <w:tc>
          <w:tcPr>
            <w:tcW w:w="1500" w:type="dxa"/>
          </w:tcPr>
          <w:p>
            <w:r>
              <w:t xml:space="preserve">7.5988</w:t>
            </w:r>
          </w:p>
        </w:tc>
        <w:tc>
          <w:tcPr>
            <w:tcW w:w="1500" w:type="dxa"/>
          </w:tcPr>
          <w:p>
            <w:r>
              <w:t xml:space="preserve">0.1708</w:t>
            </w:r>
          </w:p>
        </w:tc>
      </w:tr>
      <w:tr>
        <w:tc>
          <w:tcPr>
            <w:tcW w:w="1500" w:type="dxa"/>
          </w:tcPr>
          <w:p>
            <w:r>
              <w:t xml:space="preserve">1.5</w:t>
            </w:r>
          </w:p>
        </w:tc>
        <w:tc>
          <w:tcPr>
            <w:tcW w:w="1500" w:type="dxa"/>
          </w:tcPr>
          <w:p>
            <w:r>
              <w:t xml:space="preserve">1.0</w:t>
            </w:r>
          </w:p>
        </w:tc>
        <w:tc>
          <w:tcPr>
            <w:tcW w:w="1500" w:type="dxa"/>
          </w:tcPr>
          <w:p>
            <w:r>
              <w:t xml:space="preserve">0.5</w:t>
            </w:r>
          </w:p>
        </w:tc>
        <w:tc>
          <w:tcPr>
            <w:tcW w:w="1500" w:type="dxa"/>
          </w:tcPr>
          <w:p>
            <w:r>
              <w:t xml:space="preserve">1.0</w:t>
            </w:r>
          </w:p>
        </w:tc>
        <w:tc>
          <w:tcPr>
            <w:tcW w:w="1500" w:type="dxa"/>
          </w:tcPr>
          <w:p>
            <w:r>
              <w:t xml:space="preserve">10.7492</w:t>
            </w:r>
          </w:p>
        </w:tc>
        <w:tc>
          <w:tcPr>
            <w:tcW w:w="1500" w:type="dxa"/>
          </w:tcPr>
          <w:p>
            <w:r>
              <w:t xml:space="preserve">0.1207</w:t>
            </w:r>
          </w:p>
        </w:tc>
      </w:tr>
      <w:tr>
        <w:tc>
          <w:tcPr>
            <w:tcW w:w="1500" w:type="dxa"/>
          </w:tcPr>
          <w:p>
            <w:r>
              <w:t xml:space="preserve">1.0</w:t>
            </w:r>
          </w:p>
        </w:tc>
        <w:tc>
          <w:tcPr>
            <w:tcW w:w="1500" w:type="dxa"/>
          </w:tcPr>
          <w:p>
            <w:r>
              <w:t xml:space="preserve">0.5</w:t>
            </w:r>
          </w:p>
        </w:tc>
        <w:tc>
          <w:tcPr>
            <w:tcW w:w="1500" w:type="dxa"/>
          </w:tcPr>
          <w:p>
            <w:r>
              <w:t xml:space="preserve">0.5</w:t>
            </w:r>
          </w:p>
        </w:tc>
        <w:tc>
          <w:tcPr>
            <w:tcW w:w="1500" w:type="dxa"/>
          </w:tcPr>
          <w:p>
            <w:r>
              <w:t xml:space="preserve">1.0</w:t>
            </w:r>
          </w:p>
        </w:tc>
        <w:tc>
          <w:tcPr>
            <w:tcW w:w="1500" w:type="dxa"/>
          </w:tcPr>
          <w:p>
            <w:r>
              <w:t xml:space="preserve">7.2590</w:t>
            </w:r>
          </w:p>
        </w:tc>
        <w:tc>
          <w:tcPr>
            <w:tcW w:w="1500" w:type="dxa"/>
          </w:tcPr>
          <w:p>
            <w:r>
              <w:t xml:space="preserve">0.1801</w:t>
            </w:r>
          </w:p>
        </w:tc>
      </w:tr>
      <w:tr>
        <w:tc>
          <w:tcPr>
            <w:tcW w:w="1500" w:type="dxa"/>
          </w:tcPr>
          <w:p>
            <w:r>
              <w:t xml:space="preserve">1.0</w:t>
            </w:r>
          </w:p>
        </w:tc>
        <w:tc>
          <w:tcPr>
            <w:tcW w:w="1500" w:type="dxa"/>
          </w:tcPr>
          <w:p>
            <w:r>
              <w:t xml:space="preserve">2.0</w:t>
            </w:r>
          </w:p>
        </w:tc>
        <w:tc>
          <w:tcPr>
            <w:tcW w:w="1500" w:type="dxa"/>
          </w:tcPr>
          <w:p>
            <w:r>
              <w:t xml:space="preserve">0.5</w:t>
            </w:r>
          </w:p>
        </w:tc>
        <w:tc>
          <w:tcPr>
            <w:tcW w:w="1500" w:type="dxa"/>
          </w:tcPr>
          <w:p>
            <w:r>
              <w:t xml:space="preserve">1.0</w:t>
            </w:r>
          </w:p>
        </w:tc>
        <w:tc>
          <w:tcPr>
            <w:tcW w:w="1500" w:type="dxa"/>
          </w:tcPr>
          <w:p>
            <w:r>
              <w:t xml:space="preserve">8.2714</w:t>
            </w:r>
          </w:p>
        </w:tc>
        <w:tc>
          <w:tcPr>
            <w:tcW w:w="1500" w:type="dxa"/>
          </w:tcPr>
          <w:p>
            <w:r>
              <w:t xml:space="preserve">0.1549</w:t>
            </w:r>
          </w:p>
        </w:tc>
      </w:tr>
      <w:tr>
        <w:tc>
          <w:tcPr>
            <w:tcW w:w="1500" w:type="dxa"/>
          </w:tcPr>
          <w:p>
            <w:r>
              <w:t xml:space="preserve">1.0</w:t>
            </w:r>
          </w:p>
        </w:tc>
        <w:tc>
          <w:tcPr>
            <w:tcW w:w="1500" w:type="dxa"/>
          </w:tcPr>
          <w:p>
            <w:r>
              <w:t xml:space="preserve">1.0</w:t>
            </w:r>
          </w:p>
        </w:tc>
        <w:tc>
          <w:tcPr>
            <w:tcW w:w="1500" w:type="dxa"/>
          </w:tcPr>
          <w:p>
            <w:r>
              <w:t xml:space="preserve">1.0</w:t>
            </w:r>
          </w:p>
        </w:tc>
        <w:tc>
          <w:tcPr>
            <w:tcW w:w="1500" w:type="dxa"/>
          </w:tcPr>
          <w:p>
            <w:r>
              <w:t xml:space="preserve">1.0</w:t>
            </w:r>
          </w:p>
        </w:tc>
        <w:tc>
          <w:tcPr>
            <w:tcW w:w="1500" w:type="dxa"/>
          </w:tcPr>
          <w:p>
            <w:r>
              <w:t xml:space="preserve">7.7121</w:t>
            </w:r>
          </w:p>
        </w:tc>
        <w:tc>
          <w:tcPr>
            <w:tcW w:w="1500" w:type="dxa"/>
          </w:tcPr>
          <w:p>
            <w:r>
              <w:t xml:space="preserve">0.1830</w:t>
            </w:r>
          </w:p>
        </w:tc>
      </w:tr>
      <w:tr>
        <w:tc>
          <w:tcPr>
            <w:tcW w:w="1500" w:type="dxa"/>
          </w:tcPr>
          <w:p>
            <w:r>
              <w:t xml:space="preserve">1.0</w:t>
            </w:r>
          </w:p>
        </w:tc>
        <w:tc>
          <w:tcPr>
            <w:tcW w:w="1500" w:type="dxa"/>
          </w:tcPr>
          <w:p>
            <w:r>
              <w:t xml:space="preserve">1.0</w:t>
            </w:r>
          </w:p>
        </w:tc>
        <w:tc>
          <w:tcPr>
            <w:tcW w:w="1500" w:type="dxa"/>
          </w:tcPr>
          <w:p>
            <w:r>
              <w:t xml:space="preserve">0.5</w:t>
            </w:r>
          </w:p>
        </w:tc>
        <w:tc>
          <w:tcPr>
            <w:tcW w:w="1500" w:type="dxa"/>
          </w:tcPr>
          <w:p>
            <w:r>
              <w:t xml:space="preserve">2.0</w:t>
            </w:r>
          </w:p>
        </w:tc>
        <w:tc>
          <w:tcPr>
            <w:tcW w:w="1500" w:type="dxa"/>
          </w:tcPr>
          <w:p>
            <w:r>
              <w:t xml:space="preserve">3.5495</w:t>
            </w:r>
          </w:p>
        </w:tc>
        <w:tc>
          <w:tcPr>
            <w:tcW w:w="1500" w:type="dxa"/>
          </w:tcPr>
          <w:p>
            <w:r>
              <w:t xml:space="preserve">0.1124</w:t>
            </w:r>
          </w:p>
        </w:tc>
      </w:tr>
    </w:tbl>
    <w:p/>
    <w:p>
      <w:r>
        <w:rPr>
          <w:b/>
        </w:rPr>
        <w:t xml:space="preserve">Table 6. Effect of volume fraction.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tblGrid>
      <w:tr>
        <w:tc>
          <w:tcPr>
            <w:tcW w:w="1800" w:type="dxa"/>
          </w:tcPr>
          <w:p>
            <w:r>
              <w:rPr>
                <w:b/>
              </w:rPr>
              <w:t xml:space="preserve">ϕ_1</w:t>
            </w:r>
          </w:p>
        </w:tc>
        <w:tc>
          <w:tcPr>
            <w:tcW w:w="1800" w:type="dxa"/>
          </w:tcPr>
          <w:p>
            <w:r>
              <w:rPr>
                <w:b/>
              </w:rPr>
              <w:t xml:space="preserve">ϕ_2</w:t>
            </w:r>
          </w:p>
        </w:tc>
        <w:tc>
          <w:tcPr>
            <w:tcW w:w="1800" w:type="dxa"/>
          </w:tcPr>
          <w:p>
            <w:r>
              <w:rPr>
                <w:b/>
              </w:rPr>
              <w:t xml:space="preserve">Re^(-1/2) Nu</w:t>
            </w:r>
          </w:p>
        </w:tc>
        <w:tc>
          <w:tcPr>
            <w:tcW w:w="1800" w:type="dxa"/>
          </w:tcPr>
          <w:p>
            <w:r>
              <w:rPr>
                <w:b/>
              </w:rPr>
              <w:t xml:space="preserve">Re^(-1/2) Sh</w:t>
            </w:r>
          </w:p>
        </w:tc>
        <w:tc>
          <w:tcPr>
            <w:tcW w:w="1800" w:type="dxa"/>
          </w:tcPr>
          <w:p>
            <w:r>
              <w:rPr>
                <w:b/>
              </w:rPr>
              <w:t xml:space="preserve">Ns,avg</w:t>
            </w:r>
          </w:p>
        </w:tc>
      </w:tr>
      <w:tr>
        <w:tc>
          <w:tcPr>
            <w:tcW w:w="1800" w:type="dxa"/>
          </w:tcPr>
          <w:p>
            <w:r>
              <w:t xml:space="preserve">0.00</w:t>
            </w:r>
          </w:p>
        </w:tc>
        <w:tc>
          <w:tcPr>
            <w:tcW w:w="1800" w:type="dxa"/>
          </w:tcPr>
          <w:p>
            <w:r>
              <w:t xml:space="preserve">0.00</w:t>
            </w:r>
          </w:p>
        </w:tc>
        <w:tc>
          <w:tcPr>
            <w:tcW w:w="1800" w:type="dxa"/>
          </w:tcPr>
          <w:p>
            <w:r>
              <w:t xml:space="preserve">1.4267</w:t>
            </w:r>
          </w:p>
        </w:tc>
        <w:tc>
          <w:tcPr>
            <w:tcW w:w="1800" w:type="dxa"/>
          </w:tcPr>
          <w:p>
            <w:r>
              <w:t xml:space="preserve">0.6371</w:t>
            </w:r>
          </w:p>
        </w:tc>
        <w:tc>
          <w:tcPr>
            <w:tcW w:w="1800" w:type="dxa"/>
          </w:tcPr>
          <w:p>
            <w:r>
              <w:t xml:space="preserve">3.1844</w:t>
            </w:r>
          </w:p>
        </w:tc>
      </w:tr>
      <w:tr>
        <w:tc>
          <w:tcPr>
            <w:tcW w:w="1800" w:type="dxa"/>
          </w:tcPr>
          <w:p>
            <w:r>
              <w:t xml:space="preserve">0.02</w:t>
            </w:r>
          </w:p>
        </w:tc>
        <w:tc>
          <w:tcPr>
            <w:tcW w:w="1800" w:type="dxa"/>
          </w:tcPr>
          <w:p>
            <w:r>
              <w:t xml:space="preserve">0.02</w:t>
            </w:r>
          </w:p>
        </w:tc>
        <w:tc>
          <w:tcPr>
            <w:tcW w:w="1800" w:type="dxa"/>
          </w:tcPr>
          <w:p>
            <w:r>
              <w:t xml:space="preserve">1.6394</w:t>
            </w:r>
          </w:p>
        </w:tc>
        <w:tc>
          <w:tcPr>
            <w:tcW w:w="1800" w:type="dxa"/>
          </w:tcPr>
          <w:p>
            <w:r>
              <w:t xml:space="preserve">0.6314</w:t>
            </w:r>
          </w:p>
        </w:tc>
        <w:tc>
          <w:tcPr>
            <w:tcW w:w="1800" w:type="dxa"/>
          </w:tcPr>
          <w:p>
            <w:r>
              <w:t xml:space="preserve">3.5458</w:t>
            </w:r>
          </w:p>
        </w:tc>
      </w:tr>
      <w:tr>
        <w:tc>
          <w:tcPr>
            <w:tcW w:w="1800" w:type="dxa"/>
          </w:tcPr>
          <w:p>
            <w:r>
              <w:t xml:space="preserve">0.03</w:t>
            </w:r>
          </w:p>
        </w:tc>
        <w:tc>
          <w:tcPr>
            <w:tcW w:w="1800" w:type="dxa"/>
          </w:tcPr>
          <w:p>
            <w:r>
              <w:t xml:space="preserve">0.03</w:t>
            </w:r>
          </w:p>
        </w:tc>
        <w:tc>
          <w:tcPr>
            <w:tcW w:w="1800" w:type="dxa"/>
          </w:tcPr>
          <w:p>
            <w:r>
              <w:t xml:space="preserve">1.7565</w:t>
            </w:r>
          </w:p>
        </w:tc>
        <w:tc>
          <w:tcPr>
            <w:tcW w:w="1800" w:type="dxa"/>
          </w:tcPr>
          <w:p>
            <w:r>
              <w:t xml:space="preserve">0.6284</w:t>
            </w:r>
          </w:p>
        </w:tc>
        <w:tc>
          <w:tcPr>
            <w:tcW w:w="1800" w:type="dxa"/>
          </w:tcPr>
          <w:p>
            <w:r>
              <w:t xml:space="preserve">3.7466</w:t>
            </w:r>
          </w:p>
        </w:tc>
      </w:tr>
      <w:tr>
        <w:tc>
          <w:tcPr>
            <w:tcW w:w="1800" w:type="dxa"/>
          </w:tcPr>
          <w:p>
            <w:r>
              <w:t xml:space="preserve">0.04</w:t>
            </w:r>
          </w:p>
        </w:tc>
        <w:tc>
          <w:tcPr>
            <w:tcW w:w="1800" w:type="dxa"/>
          </w:tcPr>
          <w:p>
            <w:r>
              <w:t xml:space="preserve">0.04</w:t>
            </w:r>
          </w:p>
        </w:tc>
        <w:tc>
          <w:tcPr>
            <w:tcW w:w="1800" w:type="dxa"/>
          </w:tcPr>
          <w:p>
            <w:r>
              <w:t xml:space="preserve">1.8815</w:t>
            </w:r>
          </w:p>
        </w:tc>
        <w:tc>
          <w:tcPr>
            <w:tcW w:w="1800" w:type="dxa"/>
          </w:tcPr>
          <w:p>
            <w:r>
              <w:t xml:space="preserve">0.6255</w:t>
            </w:r>
          </w:p>
        </w:tc>
        <w:tc>
          <w:tcPr>
            <w:tcW w:w="1800" w:type="dxa"/>
          </w:tcPr>
          <w:p>
            <w:r>
              <w:t xml:space="preserve">3.9623</w:t>
            </w:r>
          </w:p>
        </w:tc>
      </w:tr>
      <w:tr>
        <w:tc>
          <w:tcPr>
            <w:tcW w:w="1800" w:type="dxa"/>
          </w:tcPr>
          <w:p>
            <w:r>
              <w:t xml:space="preserve">0.05</w:t>
            </w:r>
          </w:p>
        </w:tc>
        <w:tc>
          <w:tcPr>
            <w:tcW w:w="1800" w:type="dxa"/>
          </w:tcPr>
          <w:p>
            <w:r>
              <w:t xml:space="preserve">0.05</w:t>
            </w:r>
          </w:p>
        </w:tc>
        <w:tc>
          <w:tcPr>
            <w:tcW w:w="1800" w:type="dxa"/>
          </w:tcPr>
          <w:p>
            <w:r>
              <w:t xml:space="preserve">2.0149</w:t>
            </w:r>
          </w:p>
        </w:tc>
        <w:tc>
          <w:tcPr>
            <w:tcW w:w="1800" w:type="dxa"/>
          </w:tcPr>
          <w:p>
            <w:r>
              <w:t xml:space="preserve">0.6225</w:t>
            </w:r>
          </w:p>
        </w:tc>
        <w:tc>
          <w:tcPr>
            <w:tcW w:w="1800" w:type="dxa"/>
          </w:tcPr>
          <w:p>
            <w:r>
              <w:t xml:space="preserve">4.1940</w:t>
            </w:r>
          </w:p>
        </w:tc>
      </w:tr>
    </w:tbl>
    <w:p/>
    <w:p>
      <w:pPr>
        <w:pStyle w:val="Heading1"/>
      </w:pPr>
      <w:r>
        <w:t xml:space="preserve">7. Conclusions</w:t>
      </w:r>
    </w:p>
    <w:p>
      <w:r>
        <w:t xml:space="preserve">1. The momentum equation is retained at fourth order via explicitly demonstrated pressure elimination; the eighth-order system matches eight boundary conditions.</w:t>
      </w:r>
    </w:p>
    <w:p>
      <w:r>
        <w:t xml:space="preserve">2. The energy equation groups conduction and radiation as [α_κ + (4/3)Rd F³]θ″; the Dufour coefficient Pr α_ρ Df is verified by dimensional derivation.</w:t>
      </w:r>
    </w:p>
    <w:p>
      <w:r>
        <w:t xml:space="preserve">3. The entropy model uses time-dependent EM fields, k_f-based normalisation, and a stated linear-irreversible-thermodynamics basis for the cross-gradient term.</w:t>
      </w:r>
    </w:p>
    <w:p>
      <w:r>
        <w:t xml:space="preserve">4. The solution is mesh-independent to the reported precision; the Newtonian limit recovers the Wang squeezing form.</w:t>
      </w:r>
    </w:p>
    <w:p>
      <w:r>
        <w:t xml:space="preserve">5. Entropy peaks near the walls; Br and M raise friction/Joule irreversibility; hybrid loading improves heat transfer at modest entropy cost.</w:t>
      </w:r>
    </w:p>
    <w:p>
      <w:pPr>
        <w:pStyle w:val="Heading1"/>
      </w:pPr>
      <w:r>
        <w:t xml:space="preserve">Appendix A. Reduced and Limiting Forms</w:t>
      </w:r>
    </w:p>
    <w:p>
      <w:r>
        <w:t xml:space="preserve">Newtonian limit (n = 1 or We → 0) under the adopted μ_∞ = 0 simplified Carreau model (point 17): the Carreau bracket becomes unity. This does NOT recover the Casson model; comparison with [23] is restricted to a common Newtonian limit.</w:t>
      </w:r>
    </w:p>
    <w:p>
      <w:pPr>
        <w:pStyle w:val="Heading1"/>
      </w:pPr>
      <w:r>
        <w:t xml:space="preserve">References</w:t>
      </w:r>
    </w:p>
    <w:p>
      <w:r>
        <w:t xml:space="preserve">[1] S. U. S. Choi, J. A. Eastman, ASME IMECE, 1995; FED 231/MD 66, 99–105.</w:t>
      </w:r>
    </w:p>
    <w:p>
      <w:r>
        <w:t xml:space="preserve">[2] M. R. Eid, A. F. Al-Hossainy, Waves Random Complex Media 33 (2023) 1–26.</w:t>
      </w:r>
    </w:p>
    <w:p>
      <w:r>
        <w:t xml:space="preserve">[3] J. Buongiorno, ASME J. Heat Transfer 128(3) (2006) 240–250.</w:t>
      </w:r>
    </w:p>
    <w:p>
      <w:r>
        <w:t xml:space="preserve">[4] S. Suresh et al., Colloids Surf. A 388 (2011) 41–48.</w:t>
      </w:r>
    </w:p>
    <w:p>
      <w:r>
        <w:t xml:space="preserve">[5] D. K. Mandal et al., Int. J. Numer. Methods Heat Fluid Flow 33 (2023).</w:t>
      </w:r>
    </w:p>
    <w:p>
      <w:r>
        <w:t xml:space="preserve">[6] N. K. Manna et al., Int. J. Numer. Methods Heat Fluid Flow 33 (2023) 1249–1286.</w:t>
      </w:r>
    </w:p>
    <w:p>
      <w:r>
        <w:t xml:space="preserve">[7] F. Afshari, B. Muratcobanoglu, Int. J. Environ. Sci. Technol. 20(2) (2023) 2037–2052.</w:t>
      </w:r>
    </w:p>
    <w:p>
      <w:r>
        <w:t xml:space="preserve">[8] I. Tlili et al., Sci. Rep. 10 (2020) 4402, doi:10.1038/s41598-020-61215-8.</w:t>
      </w:r>
    </w:p>
    <w:p>
      <w:r>
        <w:t xml:space="preserve">[9] A. Mishra, K. Swain, S. Dash, J. Comput. Appl. Mech. 53 (2022) 1–14.</w:t>
      </w:r>
    </w:p>
    <w:p>
      <w:r>
        <w:t xml:space="preserve">[10] Zeeshan et al., Sci. Rep. 13 (2023) 1–14.</w:t>
      </w:r>
    </w:p>
    <w:p>
      <w:r>
        <w:t xml:space="preserve">[11] G. Ashwinkumar et al., Alexandria Eng. J. 58 (2019) 1461–1470.</w:t>
      </w:r>
    </w:p>
    <w:p>
      <w:r>
        <w:t xml:space="preserve">[12] P. J. Carreau, Trans. Soc. Rheol. 16 (1972) 99–127.</w:t>
      </w:r>
    </w:p>
    <w:p>
      <w:r>
        <w:t xml:space="preserve">[13] S. A. G. A. Shah et al., Sci. Rep. 13 (2023) 1–11.</w:t>
      </w:r>
    </w:p>
    <w:p>
      <w:r>
        <w:t xml:space="preserve">[14] H. A. Wahab et al., Arab. J. Chem. 16 (2023) 1–16.</w:t>
      </w:r>
    </w:p>
    <w:p>
      <w:r>
        <w:t xml:space="preserve">[15] M. Mkhatshwa, M. Khumalo, Heat Transfer 52 (2023) 395–429.</w:t>
      </w:r>
    </w:p>
    <w:p>
      <w:r>
        <w:t xml:space="preserve">[16] A. S. Mittal, H. R. Patel, Physica A 537 (2020) 1–15.</w:t>
      </w:r>
    </w:p>
    <w:p>
      <w:r>
        <w:t xml:space="preserve">[17] M. Qayyum et al., Coatings 12 (2022) 1–13.</w:t>
      </w:r>
    </w:p>
    <w:p>
      <w:r>
        <w:t xml:space="preserve">[18] M. J. Stefan, Sitzungsber. Akad. Wiss. Wien 69 (1874) 713–721.</w:t>
      </w:r>
    </w:p>
    <w:p>
      <w:r>
        <w:t xml:space="preserve">[19] R. J. Grimm, Appl. Sci. Res. 32 (1976) 149–166.</w:t>
      </w:r>
    </w:p>
    <w:p>
      <w:r>
        <w:t xml:space="preserve">[20] G. M. Sobamowo, A. T. Akinshilo, Alexandria Eng. J. 57 (2018) 1413–1423. (Re-verify.)</w:t>
      </w:r>
    </w:p>
    <w:p>
      <w:r>
        <w:t xml:space="preserve">[21] S. Ahmad et al., Results Phys. 9 (2018) 527–533.</w:t>
      </w:r>
    </w:p>
    <w:p>
      <w:r>
        <w:t xml:space="preserve">[22] S. Ahmad et al., Results Phys. 8 (2018) 1250–1259.</w:t>
      </w:r>
    </w:p>
    <w:p>
      <w:r>
        <w:t xml:space="preserve">[23] K. Bhaskar, K. Sharma, Indian J. Phys. 95(7) (2021) 1453–1467.</w:t>
      </w:r>
    </w:p>
    <w:p>
      <w:r>
        <w:t xml:space="preserve">[24] C. Soret, Arch. Sci. Phys. Nat. 2 (1879) 48–61.</w:t>
      </w:r>
    </w:p>
    <w:p>
      <w:r>
        <w:t xml:space="preserve">[25] E. R. G. Eckert, R. M. Drake, Analysis of Heat and Mass Transfer, McGraw-Hill, 1972.</w:t>
      </w:r>
    </w:p>
    <w:p>
      <w:r>
        <w:t xml:space="preserve">[26] A. Shojaei et al., Case Stud. Therm. Eng. 13 (2019) 1–14.</w:t>
      </w:r>
    </w:p>
    <w:p>
      <w:r>
        <w:t xml:space="preserve">[27] K. Rafique et al., Front. Phys. 7 (2019) 1–22.</w:t>
      </w:r>
    </w:p>
    <w:p>
      <w:r>
        <w:t xml:space="preserve">[28] R. N. Kumar et al., Indian J. Phys. 97 (2023) 1–11.</w:t>
      </w:r>
    </w:p>
    <w:p>
      <w:r>
        <w:t xml:space="preserve">[29] B. K. Sharma et al., Nanomaterials 13 (2023) 1–23.</w:t>
      </w:r>
    </w:p>
    <w:p>
      <w:r>
        <w:t xml:space="preserve">[30] M. M. Bhatti et al., Qual. Theory Dyn. Syst. 21 (2022) 97.</w:t>
      </w:r>
    </w:p>
    <w:p>
      <w:r>
        <w:t xml:space="preserve">[31] R. Gandhi et al., Nanomaterials 13 (2023) 1–31.</w:t>
      </w:r>
    </w:p>
    <w:p>
      <w:r>
        <w:t xml:space="preserve">[32] B. Mahanthesh et al., J. Therm. Anal. Calorim. 141 (2020) 1–8.</w:t>
      </w:r>
    </w:p>
    <w:p>
      <w:r>
        <w:t xml:space="preserve">[33] A. Shahzad et al., Alexandria Eng. J. 62 (2023) 1–15.</w:t>
      </w:r>
    </w:p>
    <w:p>
      <w:r>
        <w:t xml:space="preserve">[34] A. Bejan, ASME J. Heat Transfer 101 (1979) 718–725.</w:t>
      </w:r>
    </w:p>
    <w:p>
      <w:r>
        <w:t xml:space="preserve">[35] A. Bejan, Entropy Generation Minimization, CRC Press, 1996.</w:t>
      </w:r>
    </w:p>
    <w:p>
      <w:r>
        <w:t xml:space="preserve">[36] M. I. Khan et al., Int. J. Heat Mass Transfer 133 (2019) 959–967.</w:t>
      </w:r>
    </w:p>
    <w:p>
      <w:r>
        <w:t xml:space="preserve">[37] S. Rashidi et al., J. Magn. Magn. Mater. 439 (2017) 358–372.</w:t>
      </w:r>
    </w:p>
    <w:p>
      <w:r>
        <w:t xml:space="preserve">[38] M. M. Bhatti et al., J. Magnetics 21 (2016) 468–475.</w:t>
      </w:r>
    </w:p>
    <w:p>
      <w:r>
        <w:t xml:space="preserve">[39] T. Siva et al., Int. J. Therm. Sci. 191 (2023) 1–15.</w:t>
      </w:r>
    </w:p>
    <w:p>
      <w:r>
        <w:t xml:space="preserve">[40] S. Bhatti et al., J. Therm. Anal. Calorim. 147 (2022) 1–17.</w:t>
      </w:r>
    </w:p>
    <w:p>
      <w:r>
        <w:t xml:space="preserve">[41] A. Ali et al., Waves Random Complex Media 33 (2023) 1–29.</w:t>
      </w:r>
    </w:p>
    <w:p>
      <w:r>
        <w:t xml:space="preserve">[42] P. K. Yadav, A. Kumar, Int. Commun. Heat Mass Transfer 128 (2021) 105632. (Re-verify.)</w:t>
      </w:r>
    </w:p>
    <w:p>
      <w:r>
        <w:t xml:space="preserve">[43] N. K. Mishra, Acta Mech. Autom. 17 (2023) 1–8.</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szCs w:val="22"/>
      </w:rPr>
    </w:rPrDefault>
  </w:docDefaults>
  <w:style w:type="paragraph" w:default="1" w:styleId="Normal">
    <w:name w:val="Normal"/>
    <w:pPr>
      <w:spacing w:after="120" w:line="276" w:lineRule="auto"/>
    </w:pPr>
  </w:style>
  <w:style w:type="paragraph" w:styleId="Title">
    <w:name w:val="Title"/>
    <w:pPr>
      <w:spacing w:after="240"/>
      <w:jc w:val="center"/>
    </w:pPr>
    <w:rPr>
      <w:b/>
      <w:sz w:val="30"/>
      <w:szCs w:val="30"/>
    </w:rPr>
  </w:style>
  <w:style w:type="paragraph" w:styleId="Heading1">
    <w:name w:val="heading 1"/>
    <w:pPr>
      <w:keepNext/>
      <w:spacing w:before="240" w:after="120"/>
      <w:outlineLvl w:val="0"/>
    </w:pPr>
    <w:rPr>
      <w:b/>
      <w:sz w:val="28"/>
      <w:szCs w:val="28"/>
    </w:rPr>
  </w:style>
  <w:style w:type="paragraph" w:styleId="Heading2">
    <w:name w:val="heading 2"/>
    <w:pPr>
      <w:keepNext/>
      <w:spacing w:before="200" w:after="100"/>
      <w:outlineLvl w:val="1"/>
    </w:pPr>
    <w:rPr>
      <w:b/>
      <w:i/>
      <w:sz w:val="24"/>
      <w:szCs w:val="24"/>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1" Type="http://schemas.openxmlformats.org/officeDocument/2006/relationships/image" Target="media/fig1.png"/><Relationship Id="rId12" Type="http://schemas.openxmlformats.org/officeDocument/2006/relationships/image" Target="media/fig2.png"/><Relationship Id="rId13" Type="http://schemas.openxmlformats.org/officeDocument/2006/relationships/image" Target="media/fig3.png"/><Relationship Id="rId14" Type="http://schemas.openxmlformats.org/officeDocument/2006/relationships/image" Target="media/fig4.png"/><Relationship Id="rId15" Type="http://schemas.openxmlformats.org/officeDocument/2006/relationships/image" Target="media/fig5.png"/><Relationship Id="rId16" Type="http://schemas.openxmlformats.org/officeDocument/2006/relationships/image" Target="media/fig6.png"/><Relationship Id="rId17" Type="http://schemas.openxmlformats.org/officeDocument/2006/relationships/image" Target="media/fig7.png"/></Relationships>
</file>