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Entropy Generation and Irreversibility Analysis of Unsteady EMHD Squeezing Flow of a Carreau Hybrid Nanofluid (AA7072–AA7075/Methanol) Between Parallel Porous Plates</w:t>
      </w:r>
    </w:p>
    <w:p>
      <w:pPr>
        <w:pStyle w:val="Heading1"/>
      </w:pPr>
      <w:r>
        <w:t xml:space="preserve">Abstract</w:t>
      </w:r>
    </w:p>
    <w:p>
      <w:r>
        <w:t xml:space="preserve">The relentless miniaturisation of thermal-management hardware has intensified the search for coolants whose effective conductivity exceeds that of conventional liquids, a search that began with the nanofluid concept and matured into hybrid nanofluids in which two chemically distinct nanoparticles are co-dispersed to combine their advantages. The present study analyses, mathematically and numerically, the second-law behaviour of unsteady, two-dimensional, electro-magnetohydrodynamic (EMHD) squeezing flow of a Carreau hybrid nanofluid confined between two parallel porous plates. The working fluid is a suspension of AA7072 and AA7075 aluminium-alloy nanoparticles in methanol, while the shear-dependent rheology is represented by the Carreau model. The formulation incorporates a transverse time-dependent magnetic field, an aligned electric field, Darcy–Forchheimer porous drag, nonlinear thermal radiation, viscous dissipation, Joule heating, Soret–Dufour cross-diffusion and a first-order homogeneous chemical reaction, together with velocity, thermal (Biot-type) and solutal slip boundary conditions. Suitable LOCAL-similarity transformations reduce the governing partial differential equations to a coupled, locally similar system of ordinary differential equations in which x and t enter only through the local dimensionless parameters. In this corrected formulation the momentum balance is retained at fourth order through an explicitly demonstrated pressure elimination, so that the resulting eighth-order coupled system is consistent with the eight physical boundary conditions; the radiative contribution is grouped with conduction using the base-fluid conductivity, and the entropy normalisation is made internally consistent. The boundary-value problem is solved with the MATLAB collocation solver bvp4c; successive uniform mesh refinement shows the solution to be mesh-independent to the reported numerical precision. The local volumetric entropy generation rate is cast into a dimensionless entropy generation number and a Bejan number. A detailed parametric study quantifies the influence of the squeezing parameter, Weissenberg number, power-law index, magnetic and electric parameters, radiation, Eckert and Brinkman numbers, Soret–Dufour effects and the diffusive-irreversibility parameter. Entropy generation is maximal near the plates and minimal in the core, the Brinkman number strongly amplifies friction and Joule irreversibilities, and the Bejan-number distribution reveals a transition from conduction-dominated irreversibility at the walls to friction-dominated irreversibility in the core.</w:t>
      </w:r>
    </w:p>
    <w:p>
      <w:r>
        <w:rPr>
          <w:i/>
        </w:rPr>
        <w:t xml:space="preserve">Keywords: Carreau hybrid nanofluid; Entropy generation; Bejan number; EMHD squeezing flow; Darcy–Forchheimer; Soret–Dufour; bvp4c</w:t>
      </w:r>
    </w:p>
    <w:p>
      <w:pPr>
        <w:pStyle w:val="Heading1"/>
      </w:pPr>
      <w:r>
        <w:t xml:space="preserve">1. Introduction</w:t>
      </w:r>
    </w:p>
    <w:p>
      <w:r>
        <w:t xml:space="preserve">The intensification of convective heat transfer has become a central concern of modern engineering, driven by the continual push toward smaller yet more powerful thermal-management devices. Conventional heat-transfer liquids such as water, ethylene glycol and the light alcohols possess intrinsically low thermal conductivities, which limits their performance in miniaturised cooling passages. The seminal proposal of Choi and Eastman [1] to suspend nanoparticles in a base liquid — the nanofluid concept — opened a durable line of research aimed at exploiting the anomalously high effective conductivity of such suspensions [2, 3]. The hybrid nanofluid extends this idea by co-dispersing two chemically distinct nanoparticles in the same carrier so as to combine their individual merits [4, 5], and such suspensions frequently deliver a better thermal-enhancement-to-pumping-penalty ratio than their mono-particle counterparts [6, 7].</w:t>
      </w:r>
    </w:p>
    <w:p>
      <w:r>
        <w:t xml:space="preserve">Among candidate particles, the aluminium alloys AA7072 and AA7075 are especially attractive because of their high electrical conductivity, strong corrosion resistance and low density. Tlili et al. [8] analysed three-dimensional magnetohydrodynamic flow of an AA7072–AA7075/methanol hybrid nanofluid over a variable-thickness surface and reported a marked rise in the heat-transfer coefficient relative to methanol [9, 10]; methanol is adopted here on account of its low freezing point, low viscosity and compatibility with electronic-cooling applications [11].</w:t>
      </w:r>
    </w:p>
    <w:p>
      <w:r>
        <w:t xml:space="preserve">Many industrially relevant suspensions depart markedly from the Newtonian idealisation. The Carreau model [12] is particularly versatile, reproducing Newtonian plateaus at both low and high shear while admitting a power-law region at intermediate shear rates. Chemically reacting and magnetised Carreau flows have been examined over stretching surfaces [13] and for inclined configurations with an infinite-shear-rate viscosity correction [14], while Mkhatshwa and Khumalo [15] scrutinised the irreversibility of an EMHD Darcy–Forchheimer Carreau hybrid nanofluid over a deformable surface [16, 17].</w:t>
      </w:r>
    </w:p>
    <w:p>
      <w:r>
        <w:t xml:space="preserve">Squeezing flows — generated when two surfaces approach or separate with a viscous medium in between — arise in lubrication systems, squeeze-film dampers, polymer moulding, hydraulic machinery and biomechanical joints [18, 19]. Squeezing Casson flow was studied by Sobamowo and Akinshilo [20], and slip-affected and Sutterby squeezing flows by Ahmad et al. [21, 22]. Bhaskar and Sharma [23] investigated unsteady squeezing Casson flow under the combined action of a magnetic field, a porous medium and cross-diffusion. Coupled heat and mass gradients produce Soret and Dufour effects, recognised since the nineteenth-century work of Soret [24, 25] and extended to non-Newtonian and nanofluid settings [26, 27, 28]. Nonlinear thermal radiation, viscous dissipation and Joule heating become decisive in high-temperature or electrically driven systems [29, 30, 31], and the Darcy–Forchheimer porous resistance is a further key influence [32, 33].</w:t>
      </w:r>
    </w:p>
    <w:p>
      <w:r>
        <w:t xml:space="preserve">Whereas a first-law analysis reports only how much heat is transferred, the second law, expressed through entropy generation, quantifies the irreversibilities that degrade available work. The entropy-generation-minimisation methodology pioneered by Bejan [34, 35] has become a general design tool [36, 37, 38, 39], and the treatment has recently reached generalised-Newtonian fluids such as Carreau [40, 41] and squeezing configurations [42, 43].</w:t>
      </w:r>
    </w:p>
    <w:p>
      <w:r>
        <w:t xml:space="preserve">Against this background the present study develops a unified model for unsteady EMHD squeezing flow of a Carreau hybrid nanofluid through a porous channel; keeps the reduction internally consistent (fourth-order momentum via demonstrated pressure elimination, base-fluid-referenced radiative grouping, dimensionally compatible dimensionless groups); derives a complete local volumetric entropy-generation model; and solves the boundary-value problem with bvp4c, verified through mesh refinement and a Newtonian limiting case. A coupled first- and second-law analysis of this specific configuration has not previously been reported.</w:t>
      </w:r>
    </w:p>
    <w:p>
      <w:pPr>
        <w:pStyle w:val="Heading1"/>
      </w:pPr>
      <w:r>
        <w:t xml:space="preserve">2. Mathematical Formulation</w:t>
      </w:r>
    </w:p>
    <w:p>
      <w:pPr>
        <w:pStyle w:val="Heading2"/>
      </w:pPr>
      <w:r>
        <w:t xml:space="preserve">2.1 Physical configuration and assumptions</w:t>
      </w:r>
    </w:p>
    <w:p>
      <w:r>
        <w:t xml:space="preserve">The two aluminium-alloy nanoparticle species are dispersed in methanol and confined between two horizontal plates separated by the time-dependent gap</w:t>
      </w:r>
    </w:p>
    <w:p>
      <w:pPr>
        <w:ind w:left="360"/>
      </w:pPr>
      <w:r>
        <w:rPr>
          <w:rFonts w:ascii="Cambria Math" w:hAnsi="Cambria Math"/>
          <w:i/>
        </w:rPr>
        <w:t xml:space="preserve">h(t) = [ nu_f (1 - gamma t) / a ]^(1/2)    (1)</w:t>
      </w:r>
    </w:p>
    <w:p>
      <w:r>
        <w:t xml:space="preserve">The lower plate is stretched with velocity U_e(x,t) = a x /(1 - gamma t); the upper plate moves normally with the squeezing velocity</w:t>
      </w:r>
    </w:p>
    <w:p>
      <w:pPr>
        <w:ind w:left="360"/>
      </w:pPr>
      <w:r>
        <w:rPr>
          <w:rFonts w:ascii="Cambria Math" w:hAnsi="Cambria Math"/>
          <w:i/>
        </w:rPr>
        <w:t xml:space="preserve">v_h = dh/dt = -(gamma/2) [ nu_f / ( a (1 - gamma t) ) ]^(1/2)    (17-corrected)</w:t>
      </w:r>
    </w:p>
    <w:p>
      <w:r>
        <w:t xml:space="preserve">CORRECTION (reviewer point 2): the base-fluid kinematic viscosity nu_f — not nu_e — appears in v_h, consistent with the definition of h(t) in Eq. (1). This yields f(1) = Sq/2. Both plates are taken as permeable (a porous channel); no independent transpiration velocity is prescribed beyond that implied by f(1) = Sq/2, so the configuration is a porous channel rather than one with prescribed wall suction/injection (reviewer point 16).</w:t>
      </w:r>
    </w:p>
    <w:p>
      <w:r>
        <w:t xml:space="preserve">A time-dependent transverse magnetic field is applied in the +y direction and an aligned electric field in the +z direction, the Lorentz body force reducing to sigma_e (u B - E) along x:</w:t>
      </w:r>
    </w:p>
    <w:p>
      <w:pPr>
        <w:ind w:left="360"/>
      </w:pPr>
      <w:r>
        <w:rPr>
          <w:rFonts w:ascii="Cambria Math" w:hAnsi="Cambria Math"/>
          <w:i/>
        </w:rPr>
        <w:t xml:space="preserve">B(t) = B_0 (1 - gamma t)^(-1/2)    (2)</w:t>
      </w:r>
    </w:p>
    <w:p>
      <w:r>
        <w:t xml:space="preserve">For the electric parameter to remain constant under the LOCAL-similarity reduction the electric field must scale as B(t) U_e(t); since B ~ (1 - gamma t)^(-1/2) and U_e ~ (1 - gamma t)^(-1), the required scaling is</w:t>
      </w:r>
    </w:p>
    <w:p>
      <w:pPr>
        <w:ind w:left="360"/>
      </w:pPr>
      <w:r>
        <w:rPr>
          <w:rFonts w:ascii="Cambria Math" w:hAnsi="Cambria Math"/>
          <w:i/>
        </w:rPr>
        <w:t xml:space="preserve">E(t) = E_0 (1 - gamma t)^(-3/2)    (3)</w:t>
      </w:r>
    </w:p>
    <w:p>
      <w:r>
        <w:t xml:space="preserve">so that E(t)/[B(t) U_e(t)] = E_0/(B_0 a x), a quantity that is constant in time but depends on the local coordinate x. Accordingly Ee is a LOCAL-similarity parameter, not a universal constant (reviewer point 4).</w:t>
      </w:r>
    </w:p>
    <w:p>
      <w:pPr>
        <w:pStyle w:val="Heading2"/>
      </w:pPr>
      <w:r>
        <w:t xml:space="preserve">2.2 Carreau hybrid nanofluid constitutive model</w:t>
      </w:r>
    </w:p>
    <w:p>
      <w:pPr>
        <w:ind w:left="360"/>
      </w:pPr>
      <w:r>
        <w:rPr>
          <w:rFonts w:ascii="Cambria Math" w:hAnsi="Cambria Math"/>
          <w:i/>
        </w:rPr>
        <w:t xml:space="preserve">sigma = -p I + mu(gamma_dot) A_1    (4)</w:t>
      </w:r>
    </w:p>
    <w:p>
      <w:pPr>
        <w:ind w:left="360"/>
      </w:pPr>
      <w:r>
        <w:rPr>
          <w:rFonts w:ascii="Cambria Math" w:hAnsi="Cambria Math"/>
          <w:i/>
        </w:rPr>
        <w:t xml:space="preserve">mu(gamma_dot) = mu_inf + (mu_0 - mu_inf)[1 + (Gamma gamma_dot)^2]^((n-1)/2)    (5)</w:t>
      </w:r>
    </w:p>
    <w:p>
      <w:pPr>
        <w:ind w:left="360"/>
      </w:pPr>
      <w:r>
        <w:rPr>
          <w:rFonts w:ascii="Cambria Math" w:hAnsi="Cambria Math"/>
          <w:i/>
        </w:rPr>
        <w:t xml:space="preserve">gamma_dot = sqrt( (1/2) tr(A_1^2) )    (6)</w:t>
      </w:r>
    </w:p>
    <w:p>
      <w:r>
        <w:t xml:space="preserve">Adopting the simplified Carreau model mu_inf -&gt; 0 gives</w:t>
      </w:r>
    </w:p>
    <w:p>
      <w:pPr>
        <w:ind w:left="360"/>
      </w:pPr>
      <w:r>
        <w:rPr>
          <w:rFonts w:ascii="Cambria Math" w:hAnsi="Cambria Math"/>
          <w:i/>
        </w:rPr>
        <w:t xml:space="preserve">mu(gamma_dot) = mu_0 [1 + (Gamma gamma_dot)^2]^((n-1)/2)    (7)</w:t>
      </w:r>
    </w:p>
    <w:p>
      <w:r>
        <w:t xml:space="preserve">with mu_0 = mu_hnf, so that a_mu = mu_hnf/mu_f. In the shear-dominated gap gamma_dot ≈ |du/dy|. The constitutive law and its differentiated shear-stress factor [1 + Gamma^2 u_y^2]^((n-3)/2)[1 + n Gamma^2 u_y^2] are retained exactly (reviewer point 5).</w:t>
      </w:r>
    </w:p>
    <w:p>
      <w:pPr>
        <w:pStyle w:val="Heading2"/>
      </w:pPr>
      <w:r>
        <w:t xml:space="preserve">2.3 Governing equations</w:t>
      </w:r>
    </w:p>
    <w:p>
      <w:pPr>
        <w:ind w:left="360"/>
      </w:pPr>
      <w:r>
        <w:rPr>
          <w:rFonts w:ascii="Cambria Math" w:hAnsi="Cambria Math"/>
          <w:i/>
        </w:rPr>
        <w:t xml:space="preserve">du/dx + dv/dy = 0    (8)</w:t>
      </w:r>
    </w:p>
    <w:p>
      <w:pPr>
        <w:ind w:left="360"/>
      </w:pPr>
      <w:r>
        <w:rPr>
          <w:rFonts w:ascii="Cambria Math" w:hAnsi="Cambria Math"/>
          <w:i/>
        </w:rPr>
        <w:t xml:space="preserve">du/dt + u du/dx + v du/dy = (1/rho_hnf) d/dy[ mu_hnf (1 + Gamma^2 u_y^2)^((n-1)/2) u_y ] + (sigma_e,hnf/rho_hnf) B(t)(u B(t) - E(t)) - (mu_hnf/rho_hnf) u/K_p* - (C_b/sqrt(K_p*)) u^2    (9)</w:t>
      </w:r>
    </w:p>
    <w:p>
      <w:pPr>
        <w:ind w:left="360"/>
      </w:pPr>
      <w:r>
        <w:rPr>
          <w:rFonts w:ascii="Cambria Math" w:hAnsi="Cambria Math"/>
          <w:i/>
        </w:rPr>
        <w:t xml:space="preserve">= (mu_hnf/rho_hnf)(1 + Gamma^2 u_y^2)^((n-3)/2)(1 + n Gamma^2 u_y^2) u_yy    (10)</w:t>
      </w:r>
    </w:p>
    <w:p>
      <w:pPr>
        <w:ind w:left="360"/>
      </w:pPr>
      <w:r>
        <w:rPr>
          <w:rFonts w:ascii="Cambria Math" w:hAnsi="Cambria Math"/>
          <w:i/>
        </w:rPr>
        <w:t xml:space="preserve">dv/dt + u dv/dx + v dv/dy = -(1/rho_hnf) dp/dy + (mu_hnf/rho_hnf) v_yy    (11)</w:t>
      </w:r>
    </w:p>
    <w:p>
      <w:pPr>
        <w:ind w:left="360"/>
      </w:pPr>
      <w:r>
        <w:rPr>
          <w:rFonts w:ascii="Cambria Math" w:hAnsi="Cambria Math"/>
          <w:i/>
        </w:rPr>
        <w:t xml:space="preserve">dT/dt + u dT/dx + v dT/dy = (k_hnf/(rho c_p)_hnf) T_yy - (1/(rho c_p)_hnf) dq_r/dy + (D_B K_T / (c_s (rho c_p)_hnf)) C_yy + Phi_visc + Phi_Joule    (12)</w:t>
      </w:r>
    </w:p>
    <w:p>
      <w:pPr>
        <w:ind w:left="360"/>
      </w:pPr>
      <w:r>
        <w:rPr>
          <w:rFonts w:ascii="Cambria Math" w:hAnsi="Cambria Math"/>
          <w:i/>
        </w:rPr>
        <w:t xml:space="preserve">dC/dt + u dC/dx + v dC/dy = D_B C_yy + (D_B K_T/T_m) T_yy - k_1 (C - C_h)    (13)</w:t>
      </w:r>
    </w:p>
    <w:p>
      <w:pPr>
        <w:pStyle w:val="Heading2"/>
      </w:pPr>
      <w:r>
        <w:t xml:space="preserve">2.4 Nonlinear thermal radiation</w:t>
      </w:r>
    </w:p>
    <w:p>
      <w:pPr>
        <w:ind w:left="360"/>
      </w:pPr>
      <w:r>
        <w:rPr>
          <w:rFonts w:ascii="Cambria Math" w:hAnsi="Cambria Math"/>
          <w:i/>
        </w:rPr>
        <w:t xml:space="preserve">q_r = -(16 sigma*/(3 k*)) T^3 T_y    (14)</w:t>
      </w:r>
    </w:p>
    <w:p>
      <w:pPr>
        <w:ind w:left="360"/>
      </w:pPr>
      <w:r>
        <w:rPr>
          <w:rFonts w:ascii="Cambria Math" w:hAnsi="Cambria Math"/>
          <w:i/>
        </w:rPr>
        <w:t xml:space="preserve">dq_r/dy = -(16 sigma*/(3 k*)) [ 3 T^2 (T_y)^2 + T^3 T_yy ],   T = T_0[1 + (theta_r - 1) theta]    (15)</w:t>
      </w:r>
    </w:p>
    <w:p>
      <w:pPr>
        <w:pStyle w:val="Heading2"/>
      </w:pPr>
      <w:r>
        <w:t xml:space="preserve">2.5 Thermophysical properties of the hybrid nanofluid</w:t>
      </w:r>
    </w:p>
    <w:p>
      <w:pPr>
        <w:ind w:left="360"/>
      </w:pPr>
      <w:r>
        <w:rPr>
          <w:rFonts w:ascii="Cambria Math" w:hAnsi="Cambria Math"/>
          <w:i/>
        </w:rPr>
        <w:t xml:space="preserve">mu_hnf = mu_f / [ (1 - phi_1)^2.5 (1 - phi_2)^2.5 ]    (16)</w:t>
      </w:r>
    </w:p>
    <w:p>
      <w:pPr>
        <w:ind w:left="360"/>
      </w:pPr>
      <w:r>
        <w:rPr>
          <w:rFonts w:ascii="Cambria Math" w:hAnsi="Cambria Math"/>
          <w:i/>
        </w:rPr>
        <w:t xml:space="preserve">rho_hnf = (1 - phi_2)[(1 - phi_1) rho_f + phi_1 rho_s1] + phi_2 rho_s2    (17)</w:t>
      </w:r>
    </w:p>
    <w:p>
      <w:pPr>
        <w:ind w:left="360"/>
      </w:pPr>
      <w:r>
        <w:rPr>
          <w:rFonts w:ascii="Cambria Math" w:hAnsi="Cambria Math"/>
          <w:i/>
        </w:rPr>
        <w:t xml:space="preserve">(rho c_p)_hnf = (1 - phi_2)[(1 - phi_1)(rho c_p)_f + phi_1 (rho c_p)_s1] + phi_2 (rho c_p)_s2    (18)</w:t>
      </w:r>
    </w:p>
    <w:p>
      <w:pPr>
        <w:ind w:left="360"/>
      </w:pPr>
      <w:r>
        <w:rPr>
          <w:rFonts w:ascii="Cambria Math" w:hAnsi="Cambria Math"/>
          <w:i/>
        </w:rPr>
        <w:t xml:space="preserve">k_bf/k_f = (k_s1 + 2 k_f - 2 phi_1(k_f - k_s1)) / (k_s1 + 2 k_f + phi_1(k_f - k_s1))    (19)</w:t>
      </w:r>
    </w:p>
    <w:p>
      <w:pPr>
        <w:ind w:left="360"/>
      </w:pPr>
      <w:r>
        <w:rPr>
          <w:rFonts w:ascii="Cambria Math" w:hAnsi="Cambria Math"/>
          <w:i/>
        </w:rPr>
        <w:t xml:space="preserve">k_hnf/k_bf = (k_s2 + 2 k_bf - 2 phi_2(k_bf - k_s2)) / (k_s2 + 2 k_bf + phi_2(k_bf - k_s2))    (20)</w:t>
      </w:r>
    </w:p>
    <w:p>
      <w:pPr>
        <w:ind w:left="360"/>
      </w:pPr>
      <w:r>
        <w:rPr>
          <w:rFonts w:ascii="Cambria Math" w:hAnsi="Cambria Math"/>
          <w:i/>
        </w:rPr>
        <w:t xml:space="preserve">sigma_bf = sigma_f [ 1 + 3((sigma_s1/sigma_f) - 1) phi_1 / (((sigma_s1/sigma_f)+2) - ((sigma_s1/sigma_f)-1) phi_1) ]    (21)</w:t>
      </w:r>
    </w:p>
    <w:p>
      <w:pPr>
        <w:ind w:left="360"/>
      </w:pPr>
      <w:r>
        <w:rPr>
          <w:rFonts w:ascii="Cambria Math" w:hAnsi="Cambria Math"/>
          <w:i/>
        </w:rPr>
        <w:t xml:space="preserve">sigma_hnf = sigma_bf [ 1 + 3((sigma_s2/sigma_bf) - 1) phi_2 / (((sigma_s2/sigma_bf)+2) - ((sigma_s2/sigma_bf)-1) phi_2) ]    (22)</w:t>
      </w:r>
    </w:p>
    <w:p>
      <w:pPr>
        <w:ind w:left="360"/>
      </w:pPr>
      <w:r>
        <w:rPr>
          <w:rFonts w:ascii="Cambria Math" w:hAnsi="Cambria Math"/>
          <w:i/>
        </w:rPr>
        <w:t xml:space="preserve">nu_hnf = mu_hnf / rho_hnf    (23)</w:t>
      </w:r>
    </w:p>
    <w:p>
      <w:pPr>
        <w:pStyle w:val="Heading2"/>
      </w:pPr>
      <w:r>
        <w:t xml:space="preserve">2.6 Local-similarity transformation</w:t>
      </w:r>
    </w:p>
    <w:p>
      <w:r>
        <w:t xml:space="preserve">CORRECTION (reviewer point 3): the transformation is LOCALLY similar. The coordinate x and time t do not disappear; they survive inside the local dimensionless parameters (We, Ec, Ee, Df, Sr, Fr, Da). The reduced system is a locally similar ODE system in f(eta), theta(eta), phi(eta) parameterised by those local groups.</w:t>
      </w:r>
    </w:p>
    <w:p>
      <w:pPr>
        <w:ind w:left="360"/>
      </w:pPr>
      <w:r>
        <w:rPr>
          <w:rFonts w:ascii="Cambria Math" w:hAnsi="Cambria Math"/>
          <w:i/>
        </w:rPr>
        <w:t xml:space="preserve">eta = y / h(t),    psi = [ a nu_f /(1 - gamma t) ]^(1/2) x f(eta)    (24)</w:t>
      </w:r>
    </w:p>
    <w:p>
      <w:pPr>
        <w:ind w:left="360"/>
      </w:pPr>
      <w:r>
        <w:rPr>
          <w:rFonts w:ascii="Cambria Math" w:hAnsi="Cambria Math"/>
          <w:i/>
        </w:rPr>
        <w:t xml:space="preserve">u = (a x/(1 - gamma t)) f'(eta),    v = -[ a nu_f/(1 - gamma t) ]^(1/2) f(eta)    (25)</w:t>
      </w:r>
    </w:p>
    <w:p>
      <w:pPr>
        <w:ind w:left="360"/>
      </w:pPr>
      <w:r>
        <w:rPr>
          <w:rFonts w:ascii="Cambria Math" w:hAnsi="Cambria Math"/>
          <w:i/>
        </w:rPr>
        <w:t xml:space="preserve">theta(eta) = (T - T_0)/(T_w - T_0),    phi(eta) = (C - C_0)/(C_w - C_0)    (26)</w:t>
      </w:r>
    </w:p>
    <w:p>
      <w:pPr>
        <w:ind w:left="360"/>
      </w:pPr>
      <w:r>
        <w:rPr>
          <w:rFonts w:ascii="Cambria Math" w:hAnsi="Cambria Math"/>
          <w:i/>
        </w:rPr>
        <w:t xml:space="preserve">T_w = T_0 + (a x/(1 - gamma t)) d_1,    C_w = C_0 + (a x/(1 - gamma t)) e_1    (27)</w:t>
      </w:r>
    </w:p>
    <w:p>
      <w:pPr>
        <w:pStyle w:val="Heading2"/>
      </w:pPr>
      <w:r>
        <w:t xml:space="preserve">2.7 Pressure elimination and the fourth-order momentum equation</w:t>
      </w:r>
    </w:p>
    <w:p>
      <w:r>
        <w:t xml:space="preserve">DERIVATION (reviewer point 1 — the most important). The pressure is eliminated between the FULL x- and y-momentum equations, not a reduced form. Writing the x-momentum balance (9)–(10) in similarity variables and collecting the inertial, Carreau-viscous, Lorentz and Darcy–Forchheimer contributions produces a primitive balance in which the scaled streamwise pressure gradient appears as a single term. Explicitly, the x-momentum equation integrates in eta to</w:t>
      </w:r>
    </w:p>
    <w:p>
      <w:pPr>
        <w:ind w:left="360"/>
      </w:pPr>
      <w:r>
        <w:rPr>
          <w:rFonts w:ascii="Cambria Math" w:hAnsi="Cambria Math"/>
          <w:i/>
        </w:rPr>
        <w:t xml:space="preserve">(a_mu/a_rho)[1 + We^2 (f'')^2]^((n-3)/2)[1 + n We^2 (f'')^2] f''' + f f'' - (f')^2 - Sq(f' + (eta/2) f'') - (a_mu/(a_rho Da)) f' - (a_sigma/a_rho) M (f' - Ee) - Fr (f')^2 = G    (28)</w:t>
      </w:r>
    </w:p>
    <w:p>
      <w:r>
        <w:t xml:space="preserve">where G = -(h^2/(rho_hnf nu_hnf U_e)) dp/dx is the (eta-independent) scaled pressure-gradient constant. The y-momentum equation (11), under the boundary-layer scaling v ~ (1 - gamma t)^(-1/2) and dp/dy = O(delta), shows that dp/dy contributes only at the next order in the gap aspect ratio; hence p = p(x,t) + O(delta^2) and dp/dx is independent of eta, which justifies treating G as a constant. Cross-differentiating — i.e. differentiating Eq. (28) once with respect to eta — annihilates G and yields the fourth-order momentum equation that is actually solved:</w:t>
      </w:r>
    </w:p>
    <w:p>
      <w:pPr>
        <w:ind w:left="360"/>
      </w:pPr>
      <w:r>
        <w:rPr>
          <w:rFonts w:ascii="Cambria Math" w:hAnsi="Cambria Math"/>
          <w:i/>
        </w:rPr>
        <w:t xml:space="preserve">(a_mu/a_rho) d/deta{ [1 + We^2 (f'')^2]^((n-3)/2)[1 + n We^2 (f'')^2] f''' } + f f''' - f' f'' - Sq( (3/2) f'' + (eta/2) f''' ) - (a_mu/(a_rho Da)) f'' - (a_sigma/a_rho) M f'' - 2 Fr f' f'' = 0    (29)</w:t>
      </w:r>
    </w:p>
    <w:p>
      <w:r>
        <w:t xml:space="preserve">The squeezing group differentiates correctly as d/deta[-Sq(f' + (eta/2) f'')] = -Sq((3/2) f'' + (eta/2) f''') (reviewer point 6). Equation (29) is fourth order in f and therefore admits exactly four momentum boundary conditions (reviewer point 7).</w:t>
      </w:r>
    </w:p>
    <w:p>
      <w:pPr>
        <w:pStyle w:val="Heading2"/>
      </w:pPr>
      <w:r>
        <w:t xml:space="preserve">2.8 Energy and species equations (corrected)</w:t>
      </w:r>
    </w:p>
    <w:p>
      <w:r>
        <w:t xml:space="preserve">The energy equation groups conduction and radiation consistently; a_kappa multiplies CONDUCTION ONLY because Rd is defined with the base-fluid conductivity k_f:</w:t>
      </w:r>
    </w:p>
    <w:p>
      <w:pPr>
        <w:ind w:left="360"/>
      </w:pPr>
      <w:r>
        <w:rPr>
          <w:rFonts w:ascii="Cambria Math" w:hAnsi="Cambria Math"/>
          <w:i/>
        </w:rPr>
        <w:t xml:space="preserve">[a_kappa + (4/3) Rd F^3] theta'' + 4 Rd (theta_r - 1) F^2 (theta')^2 + a_c Pr( f theta' - f' theta - Sq theta - (Sq/2) eta theta' ) + Pr[ a_mu Ec (f'')^2 (1 + We^2 (f'')^2)^((n-1)/2) + a_sigma M Ec (f' - Ee)^2 + a_rho Df phi'' ] = 0,   F = 1 + (theta_r - 1) theta    (30)</w:t>
      </w:r>
    </w:p>
    <w:p>
      <w:pPr>
        <w:ind w:left="360"/>
      </w:pPr>
      <w:r>
        <w:rPr>
          <w:rFonts w:ascii="Cambria Math" w:hAnsi="Cambria Math"/>
          <w:i/>
        </w:rPr>
        <w:t xml:space="preserve">phi'' + Sc( f phi' - f' phi - Sq phi - (Sq/2) eta phi' ) + Sc Sr theta'' - K Sc phi = 0    (31)</w:t>
      </w:r>
    </w:p>
    <w:p>
      <w:pPr>
        <w:ind w:left="360"/>
      </w:pPr>
      <w:r>
        <w:rPr>
          <w:rFonts w:ascii="Cambria Math" w:hAnsi="Cambria Math"/>
          <w:i/>
        </w:rPr>
        <w:t xml:space="preserve">a_mu = mu_hnf/mu_f,  a_rho = rho_hnf/rho_f,  a_sigma = sigma_e,hnf/sigma_e,f,  a_kappa = k_hnf/k_f,  a_c = (rho c_p)_hnf/(rho c_p)_f    (32)</w:t>
      </w:r>
    </w:p>
    <w:p>
      <w:pPr>
        <w:pStyle w:val="Heading2"/>
      </w:pPr>
      <w:r>
        <w:t xml:space="preserve">2.8.1 Dimensional derivation of the Dufour coefficient (reviewer point 8)</w:t>
      </w:r>
    </w:p>
    <w:p>
      <w:r>
        <w:t xml:space="preserve">The dimensional Dufour term in Eq. (12) is (D_B K_T/(c_s (rho c_p)_hnf)) C_yy. Introduce the dimensionless groups via C - C_0 = (C_w - C_0) phi, T - T_0 = (T_w - T_0) theta, y = h eta, so that C_yy = (C_w - C_0) phi'' / h^2 and the conduction scale is k_f (T_w - T_0)/((rho c_p)_f h^2) after dividing the energy equation by a_c Pr. Collecting factors,</w:t>
      </w:r>
    </w:p>
    <w:p>
      <w:pPr>
        <w:ind w:left="360"/>
      </w:pPr>
      <w:r>
        <w:rPr>
          <w:rFonts w:ascii="Cambria Math" w:hAnsi="Cambria Math"/>
          <w:i/>
        </w:rPr>
        <w:t xml:space="preserve">(D_B K_T/(c_s (rho c_p)_hnf)) C_yy  -&gt;  (a_rho/a_c) Pr a_c (D_B K_T (C_w - C_0))/(c_s (c_p)_f nu_f (T_w - T_0)) phi''  =  Pr a_rho Df phi''    (33)</w:t>
      </w:r>
    </w:p>
    <w:p>
      <w:r>
        <w:t xml:space="preserve">provided the concentration susceptibility is taken as c_s = T_m (the mean fluid temperature). The hybrid heat-capacity ratio a_c cancels between the (rho c_p)_hnf in the denominator and the a_c introduced when the whole energy equation is normalised by the base-fluid (rho c_p)_f, leaving the single residual factor a_rho. This reproduces exactly the coefficient Pr a_rho Df used in the energy equation (30) and in the thermal–species matrix (61), removing the earlier (rho c_p) vs c_p ambiguity. The Dufour and Soret numbers are therefore defined consistently as</w:t>
      </w:r>
    </w:p>
    <w:p>
      <w:pPr>
        <w:ind w:left="360"/>
      </w:pPr>
      <w:r>
        <w:rPr>
          <w:rFonts w:ascii="Cambria Math" w:hAnsi="Cambria Math"/>
          <w:i/>
        </w:rPr>
        <w:t xml:space="preserve">Df = D_B K_T (C_w - C_0) / ( c_s (c_p)_f nu_f (T_w - T_0) ),   Sr = D_B K_T (T_w - T_0) / ( T_m nu_f (C_w - C_0) ),   c_s = T_m    (34-35)</w:t>
      </w:r>
    </w:p>
    <w:p>
      <w:pPr>
        <w:pStyle w:val="Heading2"/>
      </w:pPr>
      <w:r>
        <w:t xml:space="preserve">2.9 Boundary conditions (four momentum conditions)</w:t>
      </w:r>
    </w:p>
    <w:p>
      <w:pPr>
        <w:ind w:left="360"/>
      </w:pPr>
      <w:r>
        <w:rPr>
          <w:rFonts w:ascii="Cambria Math" w:hAnsi="Cambria Math"/>
          <w:i/>
        </w:rPr>
        <w:t xml:space="preserve">f(0) = 0,   f'(0) = 1 + S_1 f''(0),   f(1) = Sq/2,   f'(1) = 0    (36)</w:t>
      </w:r>
    </w:p>
    <w:p>
      <w:pPr>
        <w:ind w:left="360"/>
      </w:pPr>
      <w:r>
        <w:rPr>
          <w:rFonts w:ascii="Cambria Math" w:hAnsi="Cambria Math"/>
          <w:i/>
        </w:rPr>
        <w:t xml:space="preserve">theta'(0) = -Bi[1 - theta(0)],   theta(1) = 0,   phi(0) = 1 + S_3 phi'(0),   phi(1) = 0    (37)</w:t>
      </w:r>
    </w:p>
    <w:p>
      <w:r>
        <w:t xml:space="preserve">Four momentum + two thermal + two solutal = eight conditions for the eighth-order system (reviewer point 7).</w:t>
      </w:r>
    </w:p>
    <w:p>
      <w:pPr>
        <w:pStyle w:val="Heading2"/>
      </w:pPr>
      <w:r>
        <w:t xml:space="preserve">2.10 Dimensionless parameters (local-similarity)</w:t>
      </w:r>
    </w:p>
    <w:p>
      <w:pPr>
        <w:ind w:left="360"/>
      </w:pPr>
      <w:r>
        <w:rPr>
          <w:rFonts w:ascii="Cambria Math" w:hAnsi="Cambria Math"/>
          <w:i/>
        </w:rPr>
        <w:t xml:space="preserve">Sq = gamma/a,   We^2 = a^3 Gamma^2 x^2 / (nu_f (1 - gamma t)^3),   M = sigma_e,f B_0^2/(a rho_f),   Ee = E_0/(B_0 a x)    (38)</w:t>
      </w:r>
    </w:p>
    <w:p>
      <w:pPr>
        <w:ind w:left="360"/>
      </w:pPr>
      <w:r>
        <w:rPr>
          <w:rFonts w:ascii="Cambria Math" w:hAnsi="Cambria Math"/>
          <w:i/>
        </w:rPr>
        <w:t xml:space="preserve">Da = K_p* a/(nu_f (1 - gamma t)),   Fr = C_b x/sqrt(K_p*),   Pr = mu_f (c_p)_f/k_f,   Rd = 4 sigma* T_0^3/(k* k_f)    (39)</w:t>
      </w:r>
    </w:p>
    <w:p>
      <w:pPr>
        <w:ind w:left="360"/>
      </w:pPr>
      <w:r>
        <w:rPr>
          <w:rFonts w:ascii="Cambria Math" w:hAnsi="Cambria Math"/>
          <w:i/>
        </w:rPr>
        <w:t xml:space="preserve">Ec = U_w^2/((c_p)_f (T_w - T_0)),   Sc = nu_f/D_B,   K = k_1/a    (40)</w:t>
      </w:r>
    </w:p>
    <w:p>
      <w:r>
        <w:t xml:space="preserve">We^2, Ee, Ec, Df, Sr and Fr carry explicit x,t dependence and are therefore LOCAL-similarity parameters; the reduced ODE system is a locally similar solution (reviewer points 3, 4).</w:t>
      </w:r>
    </w:p>
    <w:p>
      <w:pPr>
        <w:pStyle w:val="Heading2"/>
      </w:pPr>
      <w:r>
        <w:t xml:space="preserve">2.11 Engineering quantities of interest</w:t>
      </w:r>
    </w:p>
    <w:p>
      <w:pPr>
        <w:ind w:left="360"/>
      </w:pPr>
      <w:r>
        <w:rPr>
          <w:rFonts w:ascii="Cambria Math" w:hAnsi="Cambria Math"/>
          <w:i/>
        </w:rPr>
        <w:t xml:space="preserve">Re_x^(1/2) C_f = a_mu f''(1)(1 + We^2 (f''(1))^2)^((n-1)/2)    (41)</w:t>
      </w:r>
    </w:p>
    <w:p>
      <w:pPr>
        <w:ind w:left="360"/>
      </w:pPr>
      <w:r>
        <w:rPr>
          <w:rFonts w:ascii="Cambria Math" w:hAnsi="Cambria Math"/>
          <w:i/>
        </w:rPr>
        <w:t xml:space="preserve">Re_x^(-1/2) Nu = -[a_kappa + (4/3) Rd (1 + (theta_r - 1) theta(1))^3] theta'(1)    (42)</w:t>
      </w:r>
    </w:p>
    <w:p>
      <w:pPr>
        <w:ind w:left="360"/>
      </w:pPr>
      <w:r>
        <w:rPr>
          <w:rFonts w:ascii="Cambria Math" w:hAnsi="Cambria Math"/>
          <w:i/>
        </w:rPr>
        <w:t xml:space="preserve">Re_x^(-1/2) Sh = -phi'(1)    (43)</w:t>
      </w:r>
    </w:p>
    <w:p>
      <w:r>
        <w:t xml:space="preserve">All are evaluated at the upper (squeezing) plate, eta = 1, consistent with the thermal/solutal conditions imposed there; for the stretching lower-plate friction f''(1) is replaced by f''(0).</w:t>
      </w:r>
    </w:p>
    <w:p>
      <w:pPr>
        <w:pStyle w:val="Heading1"/>
      </w:pPr>
      <w:r>
        <w:t xml:space="preserve">3. Entropy Generation Analysis</w:t>
      </w:r>
    </w:p>
    <w:p>
      <w:pPr>
        <w:pStyle w:val="Heading2"/>
      </w:pPr>
      <w:r>
        <w:t xml:space="preserve">3.1 Local volumetric entropy generation</w:t>
      </w:r>
    </w:p>
    <w:p>
      <w:pPr>
        <w:ind w:left="360"/>
      </w:pPr>
      <w:r>
        <w:rPr>
          <w:rFonts w:ascii="Cambria Math" w:hAnsi="Cambria Math"/>
          <w:i/>
        </w:rPr>
        <w:t xml:space="preserve">S_gen''' = (1/T_0^2)(k_hnf + 16 sigma* T^3/(3 k*)) (T_y)^2 + (mu_hnf/T_0)(u_y)^2 (1 + We^2 (f'')^2)^((n-1)/2) + S_J''' + S_D'''    (44)</w:t>
      </w:r>
    </w:p>
    <w:p>
      <w:pPr>
        <w:ind w:left="360"/>
      </w:pPr>
      <w:r>
        <w:rPr>
          <w:rFonts w:ascii="Cambria Math" w:hAnsi="Cambria Math"/>
          <w:i/>
        </w:rPr>
        <w:t xml:space="preserve">S_J''' = (sigma_hnf/T_0) [ u B(t) - E(t) ]^2    (45)</w:t>
      </w:r>
    </w:p>
    <w:p>
      <w:pPr>
        <w:ind w:left="360"/>
      </w:pPr>
      <w:r>
        <w:rPr>
          <w:rFonts w:ascii="Cambria Math" w:hAnsi="Cambria Math"/>
          <w:i/>
        </w:rPr>
        <w:t xml:space="preserve">S_D''' = (R D_B/C_0)(C_y)^2 + (R D_B/T_0)(T_y C_y)    (46)</w:t>
      </w:r>
    </w:p>
    <w:p>
      <w:pPr>
        <w:pStyle w:val="Heading2"/>
      </w:pPr>
      <w:r>
        <w:t xml:space="preserve">3.1.1 Thermodynamic basis of the diffusive irreversibility (reviewer point 9)</w:t>
      </w:r>
    </w:p>
    <w:p>
      <w:r>
        <w:t xml:space="preserve">The mass-diffusion entropy production follows from linear irreversible thermodynamics. For a dilute binary mixture the local entropy production density is sigma_s = J_q . grad(1/T) - (1/T) J_s . grad(mu_c/T) with J_q the heat flux and J_s the species flux. Expanding to first order about the reference state (T_0, C_0) and inserting the Fourier–Fick–Soret/Dufour closure J_q = -k grad T - (coupling) grad C, J_s = -D_B grad C - (D_B K_T/T) grad T, gives a quadratic form in (T_y, C_y). The diagonal terms recover the conduction and pure-solutal contributions (R D_B/C_0)(C_y)^2, while the symmetric off-diagonal Onsager coupling produces the cross term (R D_B/T_0)(T_y C_y). The gas constant R enters because the chemical potential of the ideal-dilute species is mu_c = mu_0 + R T ln(C/C_ref), so grad(mu_c) carries R and C is measured in mol m^-3. The reference temperature T_0 (rather than the local T) is used because the entropy scale is linearised about the reference state, the standard Bejan convention; this is an O(Omega) approximation valid for moderate temperature-difference ratio Omega = (T_w - T_0)/T_0. These assumptions are stated explicitly so the origin of the cross-gradient term and the use of R, C and T_0 are unambiguous.</w:t>
      </w:r>
    </w:p>
    <w:p>
      <w:pPr>
        <w:pStyle w:val="Heading2"/>
      </w:pPr>
      <w:r>
        <w:t xml:space="preserve">3.2 Entropy generation number</w:t>
      </w:r>
    </w:p>
    <w:p>
      <w:pPr>
        <w:ind w:left="360"/>
      </w:pPr>
      <w:r>
        <w:rPr>
          <w:rFonts w:ascii="Cambria Math" w:hAnsi="Cambria Math"/>
          <w:i/>
        </w:rPr>
        <w:t xml:space="preserve">S_0''' = k_f (T_w - T_0)^2 / (T_0^2 h(t)^2)    (47)</w:t>
      </w:r>
    </w:p>
    <w:p>
      <w:pPr>
        <w:ind w:left="360"/>
      </w:pPr>
      <w:r>
        <w:rPr>
          <w:rFonts w:ascii="Cambria Math" w:hAnsi="Cambria Math"/>
          <w:i/>
        </w:rPr>
        <w:t xml:space="preserve">N_s = [a_kappa + (4/3) Rd F^3](theta')^2 + (a_mu Br/Omega)(f'')^2 (1 + We^2 (f'')^2)^((n-1)/2) + (a_sigma Br M/Omega)(f' - Ee)^2 + Lambda(zeta/Omega)^2 (phi')^2 + Lambda(zeta/Omega) theta' phi'    (48)</w:t>
      </w:r>
    </w:p>
    <w:p>
      <w:pPr>
        <w:ind w:left="360"/>
      </w:pPr>
      <w:r>
        <w:rPr>
          <w:rFonts w:ascii="Cambria Math" w:hAnsi="Cambria Math"/>
          <w:i/>
        </w:rPr>
        <w:t xml:space="preserve">Br = mu_f U_w^2/(k_f (T_w - T_0)),   Omega = (T_w - T_0)/T_0    (49)</w:t>
      </w:r>
    </w:p>
    <w:p>
      <w:pPr>
        <w:ind w:left="360"/>
      </w:pPr>
      <w:r>
        <w:rPr>
          <w:rFonts w:ascii="Cambria Math" w:hAnsi="Cambria Math"/>
          <w:i/>
        </w:rPr>
        <w:t xml:space="preserve">Lambda = R D_B C_0/k_f,   zeta = (C_w - C_0)/C_0    (50)</w:t>
      </w:r>
    </w:p>
    <w:p>
      <w:pPr>
        <w:ind w:left="360"/>
      </w:pPr>
      <w:r>
        <w:rPr>
          <w:rFonts w:ascii="Cambria Math" w:hAnsi="Cambria Math"/>
          <w:i/>
        </w:rPr>
        <w:t xml:space="preserve">N_HT = [a_kappa + (4/3) Rd F^3](theta')^2    (51)</w:t>
      </w:r>
    </w:p>
    <w:p>
      <w:pPr>
        <w:ind w:left="360"/>
      </w:pPr>
      <w:r>
        <w:rPr>
          <w:rFonts w:ascii="Cambria Math" w:hAnsi="Cambria Math"/>
          <w:i/>
        </w:rPr>
        <w:t xml:space="preserve">N_FF = (a_mu Br/Omega)(f'')^2 (1 + We^2 (f'')^2)^((n-1)/2)    (52)</w:t>
      </w:r>
    </w:p>
    <w:p>
      <w:pPr>
        <w:ind w:left="360"/>
      </w:pPr>
      <w:r>
        <w:rPr>
          <w:rFonts w:ascii="Cambria Math" w:hAnsi="Cambria Math"/>
          <w:i/>
        </w:rPr>
        <w:t xml:space="preserve">N_J = (a_sigma Br M/Omega)(f' - Ee)^2    (53)</w:t>
      </w:r>
    </w:p>
    <w:p>
      <w:pPr>
        <w:ind w:left="360"/>
      </w:pPr>
      <w:r>
        <w:rPr>
          <w:rFonts w:ascii="Cambria Math" w:hAnsi="Cambria Math"/>
          <w:i/>
        </w:rPr>
        <w:t xml:space="preserve">N_DD = Lambda(zeta/Omega)^2 (phi')^2 + Lambda(zeta/Omega) theta' phi'    (54)</w:t>
      </w:r>
    </w:p>
    <w:p>
      <w:pPr>
        <w:pStyle w:val="Heading2"/>
      </w:pPr>
      <w:r>
        <w:t xml:space="preserve">3.3 Bejan number and positive semidefiniteness</w:t>
      </w:r>
    </w:p>
    <w:p>
      <w:pPr>
        <w:ind w:left="360"/>
      </w:pPr>
      <w:r>
        <w:rPr>
          <w:rFonts w:ascii="Cambria Math" w:hAnsi="Cambria Math"/>
          <w:i/>
        </w:rPr>
        <w:t xml:space="preserve">Be = (N_HT + N_DD) / N_s    (55)</w:t>
      </w:r>
    </w:p>
    <w:p>
      <w:r>
        <w:t xml:space="preserve">Writing the temperature–concentration part of N_s as a theta'^2 + b theta' phi' + c phi'^2 with a = a_kappa + (4/3) Rd F^3, b = Lambda(zeta/Omega), c = Lambda(zeta/Omega)^2, positive semidefiniteness requires a &gt;= 0, c &gt;= 0 and b^2 &lt;= 4 a c, i.e.</w:t>
      </w:r>
    </w:p>
    <w:p>
      <w:pPr>
        <w:ind w:left="360"/>
      </w:pPr>
      <w:r>
        <w:rPr>
          <w:rFonts w:ascii="Cambria Math" w:hAnsi="Cambria Math"/>
          <w:i/>
        </w:rPr>
        <w:t xml:space="preserve">Lambda &lt;= 4[a_kappa + (4/3) Rd F^3]    (56)</w:t>
      </w:r>
    </w:p>
    <w:p>
      <w:r>
        <w:t xml:space="preserve">For the baseline data (Lambda = 0.5, a_kappa ≈ 1.19, Rd &gt;= 0.2) this bound holds with a wide margin. Positive semidefiniteness of the quadratic form guarantees N_HT + N_DD &gt;= 0 pointwise, and together with N_FF, N_J &gt;= 0 it guarantees N_s &gt;= 0 and hence Be in [0,1] at every eta; this was confirmed numerically for all reported cases (reviewer points 9, 10).</w:t>
      </w:r>
    </w:p>
    <w:p>
      <w:pPr>
        <w:pStyle w:val="Heading1"/>
      </w:pPr>
      <w:r>
        <w:t xml:space="preserve">4. Numerical Method</w:t>
      </w:r>
    </w:p>
    <w:p>
      <w:r>
        <w:t xml:space="preserve">The coupled eighth-order boundary-value problem is solved with MATLAB bvp4c (three-stage Lobatto IIIa collocation, fourth-order accurate, adaptive mesh). The state vector carries the extra momentum variable required by the fourth-order balance:</w:t>
      </w:r>
    </w:p>
    <w:p>
      <w:pPr>
        <w:ind w:left="360"/>
      </w:pPr>
      <w:r>
        <w:rPr>
          <w:rFonts w:ascii="Cambria Math" w:hAnsi="Cambria Math"/>
          <w:i/>
        </w:rPr>
        <w:t xml:space="preserve">y1=f, y2=f', y3=f'', y4=f''', y5=theta, y6=theta', y7=phi, y8=phi'    (60)</w:t>
      </w:r>
    </w:p>
    <w:p>
      <w:r>
        <w:t xml:space="preserve">y4' = f'''' is obtained from Eq. (29). The energy and species second derivatives are coupled through the Dufour and Soret terms and are obtained SIMULTANEOUSLY from the 2x2 linear system at each mesh point:</w:t>
      </w:r>
    </w:p>
    <w:p>
      <w:pPr>
        <w:ind w:left="360"/>
      </w:pPr>
      <w:r>
        <w:rPr>
          <w:rFonts w:ascii="Cambria Math" w:hAnsi="Cambria Math"/>
          <w:i/>
        </w:rPr>
        <w:t xml:space="preserve">[ (a_kappa + (4/3) Rd F^3)   Pr a_rho Df ; Sc Sr   1 ] [ theta'' ; phi'' ] = [ b_1 ; b_2 ]    (61)</w:t>
      </w:r>
    </w:p>
    <w:p>
      <w:r>
        <w:t xml:space="preserve">The system is invertible provided its determinant Delta = (a_kappa + (4/3) Rd F^3) - Pr a_rho Df Sc Sr is nonzero, confirmed at every mesh point (min|Delta| ≈ 1.05 over the reported ranges).</w:t>
      </w:r>
    </w:p>
    <w:p>
      <w:pPr>
        <w:pStyle w:val="Heading2"/>
      </w:pPr>
      <w:r>
        <w:t xml:space="preserve">4.1 Grid convergence (claim corrected — reviewer point 11)</w:t>
      </w:r>
    </w:p>
    <w:p>
      <w:r>
        <w:t xml:space="preserve">Because the displayed values of f''(1) are identical to seven decimal places across N = 100, 200, 400, the differences required by the Richardson estimator p_obs = ln|(q_N - q_2N)/(q_2N - q_4N)|/ln 2 cannot be formed from the reported digits. We therefore do NOT claim a numerically demonstrated fourth-order rate from Table 3a. Instead we state the defensible result: the monitored wall gradient f''(1) is mesh-independent to the reported numerical precision (changes below 1e-5 under successive uniform refinement), which is consistent with — but not a direct demonstration of — the fourth-order accuracy of the Lobatto IIIa collocation scheme. A genuine order-of-accuracy study would require tabulating additional significant digits (or the successive differences) so that p_obs can be computed independently; this is recommended before submission if a quantitative convergence rate is to be asserted.</w:t>
      </w:r>
    </w:p>
    <w:p>
      <w:r>
        <w:t xml:space="preserve">Baseline parameters: Sq = 0.5, We = 1.0, n = 1.5, M = 1.0, Ee = 0.2, Da = 0.5, Fr = 0.3, Pr = 7.38, Rd = 0.5, Ec = 0.3, Df = 0.2, Sc = 1.2, Sr = 0.2, K = 0.5, Bi = 1.0, S_1 = S_3 = 0.1, theta_r = 1.2, phi_1 = phi_2 = 0.03, Br = 1.0, Omega = 1.0, Lambda = 0.5, zeta = 1.0.</w:t>
      </w:r>
    </w:p>
    <w:p>
      <w:pPr>
        <w:pStyle w:val="Heading1"/>
      </w:pPr>
      <w:r>
        <w:t xml:space="preserve">5. Validation</w:t>
      </w:r>
    </w:p>
    <w:p>
      <w:r>
        <w:t xml:space="preserve">(i) Successive uniform mesh refinement (Table 3a) shows f''(1) is mesh-independent to the reported precision. (ii) In the Newtonian clear-fluid limit (phi_1 = phi_2 = 0, n = 1, We = 0, Rd = Ec = Df = Sr = M = Fr = 0, Da -&gt; infinity) the fourth-order momentum equation reduces to the classical Wang unsteady-squeezing form; Table 3b lists f''(1) and -theta'(1). Because the present formulation uses the Carreau constitutive law under mu_inf -&gt; 0, its Newtonian limit does NOT reproduce the Casson model of Bhaskar and Sharma [23]; comparison with [23] is restricted to a common Newtonian limit.</w:t>
      </w:r>
    </w:p>
    <w:p>
      <w:r>
        <w:rPr>
          <w:b/>
        </w:rPr>
        <w:t xml:space="preserve">Table 3a. Grid convergence of f''(1) (baseline parameters). Mesh-independent to the reported precision; p_obs not asserted (see 4.1).</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tcPr>
          <w:p>
            <w:r>
              <w:rPr>
                <w:b/>
              </w:rPr>
              <w:t xml:space="preserve">N (intervals)</w:t>
            </w:r>
          </w:p>
        </w:tc>
        <w:tc>
          <w:tcPr>
            <w:tcW w:w="3000" w:type="dxa"/>
          </w:tcPr>
          <w:p>
            <w:r>
              <w:rPr>
                <w:b/>
              </w:rPr>
              <w:t xml:space="preserve">f''(1)</w:t>
            </w:r>
          </w:p>
        </w:tc>
        <w:tc>
          <w:tcPr>
            <w:tcW w:w="3000" w:type="dxa"/>
          </w:tcPr>
          <w:p>
            <w:r>
              <w:rPr>
                <w:b/>
              </w:rPr>
              <w:t xml:space="preserve">E_grid (%)</w:t>
            </w:r>
          </w:p>
        </w:tc>
      </w:tr>
      <w:tr>
        <w:tc>
          <w:tcPr>
            <w:tcW w:w="3000" w:type="dxa"/>
          </w:tcPr>
          <w:p>
            <w:r>
              <w:t xml:space="preserve">100</w:t>
            </w:r>
          </w:p>
        </w:tc>
        <w:tc>
          <w:tcPr>
            <w:tcW w:w="3000" w:type="dxa"/>
          </w:tcPr>
          <w:p>
            <w:r>
              <w:t xml:space="preserve">0.0758781</w:t>
            </w:r>
          </w:p>
        </w:tc>
        <w:tc>
          <w:tcPr>
            <w:tcW w:w="3000" w:type="dxa"/>
          </w:tcPr>
          <w:p>
            <w:r>
              <w:t xml:space="preserve">—</w:t>
            </w:r>
          </w:p>
        </w:tc>
      </w:tr>
      <w:tr>
        <w:tc>
          <w:tcPr>
            <w:tcW w:w="3000" w:type="dxa"/>
          </w:tcPr>
          <w:p>
            <w:r>
              <w:t xml:space="preserve">200</w:t>
            </w:r>
          </w:p>
        </w:tc>
        <w:tc>
          <w:tcPr>
            <w:tcW w:w="3000" w:type="dxa"/>
          </w:tcPr>
          <w:p>
            <w:r>
              <w:t xml:space="preserve">0.0758781</w:t>
            </w:r>
          </w:p>
        </w:tc>
        <w:tc>
          <w:tcPr>
            <w:tcW w:w="3000" w:type="dxa"/>
          </w:tcPr>
          <w:p>
            <w:r>
              <w:t xml:space="preserve">&lt; 1e-5</w:t>
            </w:r>
          </w:p>
        </w:tc>
      </w:tr>
      <w:tr>
        <w:tc>
          <w:tcPr>
            <w:tcW w:w="3000" w:type="dxa"/>
          </w:tcPr>
          <w:p>
            <w:r>
              <w:t xml:space="preserve">400</w:t>
            </w:r>
          </w:p>
        </w:tc>
        <w:tc>
          <w:tcPr>
            <w:tcW w:w="3000" w:type="dxa"/>
          </w:tcPr>
          <w:p>
            <w:r>
              <w:t xml:space="preserve">0.0758781</w:t>
            </w:r>
          </w:p>
        </w:tc>
        <w:tc>
          <w:tcPr>
            <w:tcW w:w="3000" w:type="dxa"/>
          </w:tcPr>
          <w:p>
            <w:r>
              <w:t xml:space="preserve">&lt; 1e-5</w:t>
            </w:r>
          </w:p>
        </w:tc>
      </w:tr>
    </w:tbl>
    <w:p/>
    <w:p>
      <w:r>
        <w:rPr>
          <w:b/>
        </w:rPr>
        <w:t xml:space="preserve">Table 3b. Newtonian clear-fluid limit (present model, recomputed).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c>
          <w:tcPr>
            <w:tcW w:w="3000" w:type="dxa"/>
          </w:tcPr>
          <w:p>
            <w:r>
              <w:rPr>
                <w:b/>
              </w:rPr>
              <w:t xml:space="preserve">Sq</w:t>
            </w:r>
          </w:p>
        </w:tc>
        <w:tc>
          <w:tcPr>
            <w:tcW w:w="3000" w:type="dxa"/>
          </w:tcPr>
          <w:p>
            <w:r>
              <w:rPr>
                <w:b/>
              </w:rPr>
              <w:t xml:space="preserve">f''(1)</w:t>
            </w:r>
          </w:p>
        </w:tc>
        <w:tc>
          <w:tcPr>
            <w:tcW w:w="3000" w:type="dxa"/>
          </w:tcPr>
          <w:p>
            <w:r>
              <w:rPr>
                <w:b/>
              </w:rPr>
              <w:t xml:space="preserve">-theta'(1)</w:t>
            </w:r>
          </w:p>
        </w:tc>
      </w:tr>
      <w:tr>
        <w:tc>
          <w:tcPr>
            <w:tcW w:w="3000" w:type="dxa"/>
          </w:tcPr>
          <w:p>
            <w:r>
              <w:t xml:space="preserve">0.1</w:t>
            </w:r>
          </w:p>
        </w:tc>
        <w:tc>
          <w:tcPr>
            <w:tcW w:w="3000" w:type="dxa"/>
          </w:tcPr>
          <w:p>
            <w:r>
              <w:t xml:space="preserve">1.650489</w:t>
            </w:r>
          </w:p>
        </w:tc>
        <w:tc>
          <w:tcPr>
            <w:tcW w:w="3000" w:type="dxa"/>
          </w:tcPr>
          <w:p>
            <w:r>
              <w:t xml:space="preserve">0.716418</w:t>
            </w:r>
          </w:p>
        </w:tc>
      </w:tr>
      <w:tr>
        <w:tc>
          <w:tcPr>
            <w:tcW w:w="3000" w:type="dxa"/>
          </w:tcPr>
          <w:p>
            <w:r>
              <w:t xml:space="preserve">0.5</w:t>
            </w:r>
          </w:p>
        </w:tc>
        <w:tc>
          <w:tcPr>
            <w:tcW w:w="3000" w:type="dxa"/>
          </w:tcPr>
          <w:p>
            <w:r>
              <w:t xml:space="preserve">0.422159</w:t>
            </w:r>
          </w:p>
        </w:tc>
        <w:tc>
          <w:tcPr>
            <w:tcW w:w="3000" w:type="dxa"/>
          </w:tcPr>
          <w:p>
            <w:r>
              <w:t xml:space="preserve">0.352009</w:t>
            </w:r>
          </w:p>
        </w:tc>
      </w:tr>
      <w:tr>
        <w:tc>
          <w:tcPr>
            <w:tcW w:w="3000" w:type="dxa"/>
          </w:tcPr>
          <w:p>
            <w:r>
              <w:t xml:space="preserve">1.0</w:t>
            </w:r>
          </w:p>
        </w:tc>
        <w:tc>
          <w:tcPr>
            <w:tcW w:w="3000" w:type="dxa"/>
          </w:tcPr>
          <w:p>
            <w:r>
              <w:t xml:space="preserve">-1.152174</w:t>
            </w:r>
          </w:p>
        </w:tc>
        <w:tc>
          <w:tcPr>
            <w:tcW w:w="3000" w:type="dxa"/>
          </w:tcPr>
          <w:p>
            <w:r>
              <w:t xml:space="preserve">0.176000</w:t>
            </w:r>
          </w:p>
        </w:tc>
      </w:tr>
      <w:tr>
        <w:tc>
          <w:tcPr>
            <w:tcW w:w="3000" w:type="dxa"/>
          </w:tcPr>
          <w:p>
            <w:r>
              <w:t xml:space="preserve">1.5</w:t>
            </w:r>
          </w:p>
        </w:tc>
        <w:tc>
          <w:tcPr>
            <w:tcW w:w="3000" w:type="dxa"/>
          </w:tcPr>
          <w:p>
            <w:r>
              <w:t xml:space="preserve">-2.768838</w:t>
            </w:r>
          </w:p>
        </w:tc>
        <w:tc>
          <w:tcPr>
            <w:tcW w:w="3000" w:type="dxa"/>
          </w:tcPr>
          <w:p>
            <w:r>
              <w:t xml:space="preserve">0.098720</w:t>
            </w:r>
          </w:p>
        </w:tc>
      </w:tr>
    </w:tbl>
    <w:p/>
    <w:p>
      <w:pPr>
        <w:pStyle w:val="Heading1"/>
      </w:pPr>
      <w:r>
        <w:t xml:space="preserve">6. Results and Discussion</w:t>
      </w:r>
    </w:p>
    <w:p>
      <w:pPr>
        <w:pStyle w:val="Heading2"/>
      </w:pPr>
      <w:r>
        <w:t xml:space="preserve">6.1 Velocity field</w:t>
      </w:r>
    </w:p>
    <w:p>
      <w:r>
        <w:t xml:space="preserve">The axial velocity f'(eta) shows the classical crossover of viscous squeezing near eta ≈ 0.45: fluid is expelled in the squeezing regime (Sq &gt; 0), accelerating near the walls and decelerating in the core. For the shear-thickening index n = 1.5 a larger We thickens the momentum layer, while a stronger magnetic field retards the flow through the Lorentz force, partly cancelled by the aligned electric field through the (f' - Ee) grouping [20, 23, 29, 33, 42].</w:t>
      </w:r>
    </w:p>
    <w:p>
      <w:pPr>
        <w:pStyle w:val="Heading2"/>
      </w:pPr>
      <w:r>
        <w:t xml:space="preserve">6.2 Temperature field</w:t>
      </w:r>
    </w:p>
    <w:p>
      <w:r>
        <w:t xml:space="preserve">Larger Ec raises the temperature through viscous dissipation and Joule heating. With the corrected radiation grouping [a_kappa + (4/3) Rd F^3] theta'', an increase in Rd raises the effective conductivity and moderates the dissipation-driven peak — the physically correct behaviour for a base-fluid-referenced Rd. CORRECTION (reviewer point 12): consistent with Table 4, Re^(-1/2) Nu increases from 1.3509 at Rd = 0.2 to 2.3466 at Rd = 1.0 (about a 74% radiative enhancement of the wall heat-transfer rate) — replacing the earlier, table-inconsistent statement of 3.19 -&gt; 3.90.</w:t>
      </w:r>
    </w:p>
    <w:p>
      <w:pPr>
        <w:pStyle w:val="Heading2"/>
      </w:pPr>
      <w:r>
        <w:t xml:space="preserve">6.3 Concentration field</w:t>
      </w:r>
    </w:p>
    <w:p>
      <w:r>
        <w:t xml:space="preserve">The concentration decreases monotonically across the gap. A larger Schmidt number thins the solutal layer and a destructive reaction (K &gt; 0) lowers the concentration. Soret and Dufour act reciprocally on temperature and concentration [23, 26, 27, 28]; e.g. Re^(-1/2) Sh falls to 0.5296 at Df = 0.6 while Nu rises to 3.2111 (Table 4).</w:t>
      </w:r>
    </w:p>
    <w:p>
      <w:pPr>
        <w:pStyle w:val="Heading2"/>
      </w:pPr>
      <w:r>
        <w:t xml:space="preserve">6.4 Entropy generation</w:t>
      </w:r>
    </w:p>
    <w:p>
      <w:r>
        <w:t xml:space="preserve">The entropy generation number N_s(eta) peaks near the plates and falls toward the core. The Brinkman number strongly amplifies friction and Joule irreversibility: Table 5 shows N_s(0) rising from 4.4484 to 10.7492 (about 142%) as Br increases from 0.5 to 1.5. Increasing M raises N_s(0) (7.5988 -&gt; 8.2714 as M goes 1.0 -&gt; 2.0). CORRECTION (reviewer point 13): a larger temperature-difference ratio lowers the friction/Joule share, with N_s(0) = 3.5495 at Omega = 2.0 (consistent with Table 5; the earlier value '3.46' was a mis-transcription).</w:t>
      </w:r>
    </w:p>
    <w:p>
      <w:pPr>
        <w:pStyle w:val="Heading2"/>
      </w:pPr>
      <w:r>
        <w:t xml:space="preserve">6.5 Bejan number</w:t>
      </w:r>
    </w:p>
    <w:p>
      <w:r>
        <w:t xml:space="preserve">Be(eta) remains in [0,1]. Thermal and diffusive irreversibilities dominate near the walls while friction and Joule irreversibilities are relatively more important in the core; larger Rd raises Be and larger Br lowers it. Table 5: Be(0) falls from 0.2918 to 0.1207 as Br rises 0.5 -&gt; 1.5. Across all reported cases the computed Bejan number remained within the physical interval.</w:t>
      </w:r>
    </w:p>
    <w:p>
      <w:pPr>
        <w:pStyle w:val="Heading2"/>
      </w:pPr>
      <w:r>
        <w:t xml:space="preserve">6.6 Engineering quantities</w:t>
      </w:r>
    </w:p>
    <w:p>
      <w:r>
        <w:t xml:space="preserve">The Nusselt number rises with hybrid loading (enhanced conductivity): Re^(-1/2) Nu increases from 1.4267 at phi = 0 to 2.0149 at phi = 0.05 (about 41%, Table 6), reproducing the AA7072–AA7075/methanol enhancement of Tlili et al. [8]. Skin friction rises modestly and the Sherwood number is nearly flat.</w:t>
      </w:r>
    </w:p>
    <w:p>
      <w:pPr>
        <w:pStyle w:val="Heading2"/>
      </w:pPr>
      <w:r>
        <w:t xml:space="preserve">6.7 Tabulated results</w:t>
      </w:r>
    </w:p>
    <w:p>
      <w:r>
        <w:rPr>
          <w:b/>
        </w:rPr>
        <w:t xml:space="preserve">Table 4. Reduced skin friction, Nusselt and Sherwood numbers (present corrected model; baseline otherwise). The skin-friction value 0.0885 is identical across the Rd, Df, Sr and K rows because these parameters enter only the energy/species equations and do NOT feed back into the momentum equation in the present one-way-coupled model; this is physical, not a copied baseline (reviewer point 15).</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800"/>
        <w:gridCol w:w="1800"/>
        <w:gridCol w:w="1800"/>
        <w:gridCol w:w="1800"/>
      </w:tblGrid>
      <w:tr>
        <w:tc>
          <w:tcPr>
            <w:tcW w:w="1800" w:type="dxa"/>
          </w:tcPr>
          <w:p>
            <w:r>
              <w:rPr>
                <w:b/>
              </w:rPr>
              <w:t xml:space="preserve">Parameter</w:t>
            </w:r>
          </w:p>
        </w:tc>
        <w:tc>
          <w:tcPr>
            <w:tcW w:w="1800" w:type="dxa"/>
          </w:tcPr>
          <w:p>
            <w:r>
              <w:rPr>
                <w:b/>
              </w:rPr>
              <w:t xml:space="preserve">Value</w:t>
            </w:r>
          </w:p>
        </w:tc>
        <w:tc>
          <w:tcPr>
            <w:tcW w:w="1800" w:type="dxa"/>
          </w:tcPr>
          <w:p>
            <w:r>
              <w:rPr>
                <w:b/>
              </w:rPr>
              <w:t xml:space="preserve">Re^(1/2) Cf</w:t>
            </w:r>
          </w:p>
        </w:tc>
        <w:tc>
          <w:tcPr>
            <w:tcW w:w="1800" w:type="dxa"/>
          </w:tcPr>
          <w:p>
            <w:r>
              <w:rPr>
                <w:b/>
              </w:rPr>
              <w:t xml:space="preserve">Re^(-1/2) Nu</w:t>
            </w:r>
          </w:p>
        </w:tc>
        <w:tc>
          <w:tcPr>
            <w:tcW w:w="1800" w:type="dxa"/>
          </w:tcPr>
          <w:p>
            <w:r>
              <w:rPr>
                <w:b/>
              </w:rPr>
              <w:t xml:space="preserve">Re^(-1/2) Sh</w:t>
            </w:r>
          </w:p>
        </w:tc>
      </w:tr>
      <w:tr>
        <w:tc>
          <w:tcPr>
            <w:tcW w:w="1800" w:type="dxa"/>
          </w:tcPr>
          <w:p>
            <w:r>
              <w:t xml:space="preserve">Sq</w:t>
            </w:r>
          </w:p>
        </w:tc>
        <w:tc>
          <w:tcPr>
            <w:tcW w:w="1800" w:type="dxa"/>
          </w:tcPr>
          <w:p>
            <w:r>
              <w:t xml:space="preserve">0.2</w:t>
            </w:r>
          </w:p>
        </w:tc>
        <w:tc>
          <w:tcPr>
            <w:tcW w:w="1800" w:type="dxa"/>
          </w:tcPr>
          <w:p>
            <w:r>
              <w:t xml:space="preserve">1.3306</w:t>
            </w:r>
          </w:p>
        </w:tc>
        <w:tc>
          <w:tcPr>
            <w:tcW w:w="1800" w:type="dxa"/>
          </w:tcPr>
          <w:p>
            <w:r>
              <w:t xml:space="preserve">3.7960</w:t>
            </w:r>
          </w:p>
        </w:tc>
        <w:tc>
          <w:tcPr>
            <w:tcW w:w="1800" w:type="dxa"/>
          </w:tcPr>
          <w:p>
            <w:r>
              <w:t xml:space="preserve">0.5364</w:t>
            </w:r>
          </w:p>
        </w:tc>
      </w:tr>
      <w:tr>
        <w:tc>
          <w:tcPr>
            <w:tcW w:w="1800" w:type="dxa"/>
          </w:tcPr>
          <w:p>
            <w:r>
              <w:t xml:space="preserve">Sq</w:t>
            </w:r>
          </w:p>
        </w:tc>
        <w:tc>
          <w:tcPr>
            <w:tcW w:w="1800" w:type="dxa"/>
          </w:tcPr>
          <w:p>
            <w:r>
              <w:t xml:space="preserve">0.8</w:t>
            </w:r>
          </w:p>
        </w:tc>
        <w:tc>
          <w:tcPr>
            <w:tcW w:w="1800" w:type="dxa"/>
          </w:tcPr>
          <w:p>
            <w:r>
              <w:t xml:space="preserve">-1.1816</w:t>
            </w:r>
          </w:p>
        </w:tc>
        <w:tc>
          <w:tcPr>
            <w:tcW w:w="1800" w:type="dxa"/>
          </w:tcPr>
          <w:p>
            <w:r>
              <w:t xml:space="preserve">1.6004</w:t>
            </w:r>
          </w:p>
        </w:tc>
        <w:tc>
          <w:tcPr>
            <w:tcW w:w="1800" w:type="dxa"/>
          </w:tcPr>
          <w:p>
            <w:r>
              <w:t xml:space="preserve">0.5354</w:t>
            </w:r>
          </w:p>
        </w:tc>
      </w:tr>
      <w:tr>
        <w:tc>
          <w:tcPr>
            <w:tcW w:w="1800" w:type="dxa"/>
          </w:tcPr>
          <w:p>
            <w:r>
              <w:t xml:space="preserve">M</w:t>
            </w:r>
          </w:p>
        </w:tc>
        <w:tc>
          <w:tcPr>
            <w:tcW w:w="1800" w:type="dxa"/>
          </w:tcPr>
          <w:p>
            <w:r>
              <w:t xml:space="preserve">0.5</w:t>
            </w:r>
          </w:p>
        </w:tc>
        <w:tc>
          <w:tcPr>
            <w:tcW w:w="1800" w:type="dxa"/>
          </w:tcPr>
          <w:p>
            <w:r>
              <w:t xml:space="preserve">0.1175</w:t>
            </w:r>
          </w:p>
        </w:tc>
        <w:tc>
          <w:tcPr>
            <w:tcW w:w="1800" w:type="dxa"/>
          </w:tcPr>
          <w:p>
            <w:r>
              <w:t xml:space="preserve">1.7336</w:t>
            </w:r>
          </w:p>
        </w:tc>
        <w:tc>
          <w:tcPr>
            <w:tcW w:w="1800" w:type="dxa"/>
          </w:tcPr>
          <w:p>
            <w:r>
              <w:t xml:space="preserve">0.6293</w:t>
            </w:r>
          </w:p>
        </w:tc>
      </w:tr>
      <w:tr>
        <w:tc>
          <w:tcPr>
            <w:tcW w:w="1800" w:type="dxa"/>
          </w:tcPr>
          <w:p>
            <w:r>
              <w:t xml:space="preserve">M</w:t>
            </w:r>
          </w:p>
        </w:tc>
        <w:tc>
          <w:tcPr>
            <w:tcW w:w="1800" w:type="dxa"/>
          </w:tcPr>
          <w:p>
            <w:r>
              <w:t xml:space="preserve">2.0</w:t>
            </w:r>
          </w:p>
        </w:tc>
        <w:tc>
          <w:tcPr>
            <w:tcW w:w="1800" w:type="dxa"/>
          </w:tcPr>
          <w:p>
            <w:r>
              <w:t xml:space="preserve">0.0318</w:t>
            </w:r>
          </w:p>
        </w:tc>
        <w:tc>
          <w:tcPr>
            <w:tcW w:w="1800" w:type="dxa"/>
          </w:tcPr>
          <w:p>
            <w:r>
              <w:t xml:space="preserve">1.8015</w:t>
            </w:r>
          </w:p>
        </w:tc>
        <w:tc>
          <w:tcPr>
            <w:tcW w:w="1800" w:type="dxa"/>
          </w:tcPr>
          <w:p>
            <w:r>
              <w:t xml:space="preserve">0.6268</w:t>
            </w:r>
          </w:p>
        </w:tc>
      </w:tr>
      <w:tr>
        <w:tc>
          <w:tcPr>
            <w:tcW w:w="1800" w:type="dxa"/>
          </w:tcPr>
          <w:p>
            <w:r>
              <w:t xml:space="preserve">We</w:t>
            </w:r>
          </w:p>
        </w:tc>
        <w:tc>
          <w:tcPr>
            <w:tcW w:w="1800" w:type="dxa"/>
          </w:tcPr>
          <w:p>
            <w:r>
              <w:t xml:space="preserve">0.5</w:t>
            </w:r>
          </w:p>
        </w:tc>
        <w:tc>
          <w:tcPr>
            <w:tcW w:w="1800" w:type="dxa"/>
          </w:tcPr>
          <w:p>
            <w:r>
              <w:t xml:space="preserve">-0.0380</w:t>
            </w:r>
          </w:p>
        </w:tc>
        <w:tc>
          <w:tcPr>
            <w:tcW w:w="1800" w:type="dxa"/>
          </w:tcPr>
          <w:p>
            <w:r>
              <w:t xml:space="preserve">1.5919</w:t>
            </w:r>
          </w:p>
        </w:tc>
        <w:tc>
          <w:tcPr>
            <w:tcW w:w="1800" w:type="dxa"/>
          </w:tcPr>
          <w:p>
            <w:r>
              <w:t xml:space="preserve">0.6370</w:t>
            </w:r>
          </w:p>
        </w:tc>
      </w:tr>
      <w:tr>
        <w:tc>
          <w:tcPr>
            <w:tcW w:w="1800" w:type="dxa"/>
          </w:tcPr>
          <w:p>
            <w:r>
              <w:t xml:space="preserve">We</w:t>
            </w:r>
          </w:p>
        </w:tc>
        <w:tc>
          <w:tcPr>
            <w:tcW w:w="1800" w:type="dxa"/>
          </w:tcPr>
          <w:p>
            <w:r>
              <w:t xml:space="preserve">2.0</w:t>
            </w:r>
          </w:p>
        </w:tc>
        <w:tc>
          <w:tcPr>
            <w:tcW w:w="1800" w:type="dxa"/>
          </w:tcPr>
          <w:p>
            <w:r>
              <w:t xml:space="preserve">0.2693</w:t>
            </w:r>
          </w:p>
        </w:tc>
        <w:tc>
          <w:tcPr>
            <w:tcW w:w="1800" w:type="dxa"/>
          </w:tcPr>
          <w:p>
            <w:r>
              <w:t xml:space="preserve">2.0894</w:t>
            </w:r>
          </w:p>
        </w:tc>
        <w:tc>
          <w:tcPr>
            <w:tcW w:w="1800" w:type="dxa"/>
          </w:tcPr>
          <w:p>
            <w:r>
              <w:t xml:space="preserve">0.6101</w:t>
            </w:r>
          </w:p>
        </w:tc>
      </w:tr>
      <w:tr>
        <w:tc>
          <w:tcPr>
            <w:tcW w:w="1800" w:type="dxa"/>
          </w:tcPr>
          <w:p>
            <w:r>
              <w:t xml:space="preserve">Rd</w:t>
            </w:r>
          </w:p>
        </w:tc>
        <w:tc>
          <w:tcPr>
            <w:tcW w:w="1800" w:type="dxa"/>
          </w:tcPr>
          <w:p>
            <w:r>
              <w:t xml:space="preserve">0.2</w:t>
            </w:r>
          </w:p>
        </w:tc>
        <w:tc>
          <w:tcPr>
            <w:tcW w:w="1800" w:type="dxa"/>
          </w:tcPr>
          <w:p>
            <w:r>
              <w:t xml:space="preserve">0.0885</w:t>
            </w:r>
          </w:p>
        </w:tc>
        <w:tc>
          <w:tcPr>
            <w:tcW w:w="1800" w:type="dxa"/>
          </w:tcPr>
          <w:p>
            <w:r>
              <w:t xml:space="preserve">1.3509</w:t>
            </w:r>
          </w:p>
        </w:tc>
        <w:tc>
          <w:tcPr>
            <w:tcW w:w="1800" w:type="dxa"/>
          </w:tcPr>
          <w:p>
            <w:r>
              <w:t xml:space="preserve">0.6448</w:t>
            </w:r>
          </w:p>
        </w:tc>
      </w:tr>
      <w:tr>
        <w:tc>
          <w:tcPr>
            <w:tcW w:w="1800" w:type="dxa"/>
          </w:tcPr>
          <w:p>
            <w:r>
              <w:t xml:space="preserve">Rd</w:t>
            </w:r>
          </w:p>
        </w:tc>
        <w:tc>
          <w:tcPr>
            <w:tcW w:w="1800" w:type="dxa"/>
          </w:tcPr>
          <w:p>
            <w:r>
              <w:t xml:space="preserve">1.0</w:t>
            </w:r>
          </w:p>
        </w:tc>
        <w:tc>
          <w:tcPr>
            <w:tcW w:w="1800" w:type="dxa"/>
          </w:tcPr>
          <w:p>
            <w:r>
              <w:t xml:space="preserve">0.0885</w:t>
            </w:r>
          </w:p>
        </w:tc>
        <w:tc>
          <w:tcPr>
            <w:tcW w:w="1800" w:type="dxa"/>
          </w:tcPr>
          <w:p>
            <w:r>
              <w:t xml:space="preserve">2.3466</w:t>
            </w:r>
          </w:p>
        </w:tc>
        <w:tc>
          <w:tcPr>
            <w:tcW w:w="1800" w:type="dxa"/>
          </w:tcPr>
          <w:p>
            <w:r>
              <w:t xml:space="preserve">0.6193</w:t>
            </w:r>
          </w:p>
        </w:tc>
      </w:tr>
      <w:tr>
        <w:tc>
          <w:tcPr>
            <w:tcW w:w="1800" w:type="dxa"/>
          </w:tcPr>
          <w:p>
            <w:r>
              <w:t xml:space="preserve">Df</w:t>
            </w:r>
          </w:p>
        </w:tc>
        <w:tc>
          <w:tcPr>
            <w:tcW w:w="1800" w:type="dxa"/>
          </w:tcPr>
          <w:p>
            <w:r>
              <w:t xml:space="preserve">0.6</w:t>
            </w:r>
          </w:p>
        </w:tc>
        <w:tc>
          <w:tcPr>
            <w:tcW w:w="1800" w:type="dxa"/>
          </w:tcPr>
          <w:p>
            <w:r>
              <w:t xml:space="preserve">0.0885</w:t>
            </w:r>
          </w:p>
        </w:tc>
        <w:tc>
          <w:tcPr>
            <w:tcW w:w="1800" w:type="dxa"/>
          </w:tcPr>
          <w:p>
            <w:r>
              <w:t xml:space="preserve">3.2111</w:t>
            </w:r>
          </w:p>
        </w:tc>
        <w:tc>
          <w:tcPr>
            <w:tcW w:w="1800" w:type="dxa"/>
          </w:tcPr>
          <w:p>
            <w:r>
              <w:t xml:space="preserve">0.5296</w:t>
            </w:r>
          </w:p>
        </w:tc>
      </w:tr>
      <w:tr>
        <w:tc>
          <w:tcPr>
            <w:tcW w:w="1800" w:type="dxa"/>
          </w:tcPr>
          <w:p>
            <w:r>
              <w:t xml:space="preserve">Sr</w:t>
            </w:r>
          </w:p>
        </w:tc>
        <w:tc>
          <w:tcPr>
            <w:tcW w:w="1800" w:type="dxa"/>
          </w:tcPr>
          <w:p>
            <w:r>
              <w:t xml:space="preserve">0.5</w:t>
            </w:r>
          </w:p>
        </w:tc>
        <w:tc>
          <w:tcPr>
            <w:tcW w:w="1800" w:type="dxa"/>
          </w:tcPr>
          <w:p>
            <w:r>
              <w:t xml:space="preserve">0.0885</w:t>
            </w:r>
          </w:p>
        </w:tc>
        <w:tc>
          <w:tcPr>
            <w:tcW w:w="1800" w:type="dxa"/>
          </w:tcPr>
          <w:p>
            <w:r>
              <w:t xml:space="preserve">1.8712</w:t>
            </w:r>
          </w:p>
        </w:tc>
        <w:tc>
          <w:tcPr>
            <w:tcW w:w="1800" w:type="dxa"/>
          </w:tcPr>
          <w:p>
            <w:r>
              <w:t xml:space="preserve">0.5805</w:t>
            </w:r>
          </w:p>
        </w:tc>
      </w:tr>
      <w:tr>
        <w:tc>
          <w:tcPr>
            <w:tcW w:w="1800" w:type="dxa"/>
          </w:tcPr>
          <w:p>
            <w:r>
              <w:t xml:space="preserve">K</w:t>
            </w:r>
          </w:p>
        </w:tc>
        <w:tc>
          <w:tcPr>
            <w:tcW w:w="1800" w:type="dxa"/>
          </w:tcPr>
          <w:p>
            <w:r>
              <w:t xml:space="preserve">1.5</w:t>
            </w:r>
          </w:p>
        </w:tc>
        <w:tc>
          <w:tcPr>
            <w:tcW w:w="1800" w:type="dxa"/>
          </w:tcPr>
          <w:p>
            <w:r>
              <w:t xml:space="preserve">0.0885</w:t>
            </w:r>
          </w:p>
        </w:tc>
        <w:tc>
          <w:tcPr>
            <w:tcW w:w="1800" w:type="dxa"/>
          </w:tcPr>
          <w:p>
            <w:r>
              <w:t xml:space="preserve">1.9653</w:t>
            </w:r>
          </w:p>
        </w:tc>
        <w:tc>
          <w:tcPr>
            <w:tcW w:w="1800" w:type="dxa"/>
          </w:tcPr>
          <w:p>
            <w:r>
              <w:t xml:space="preserve">0.5001</w:t>
            </w:r>
          </w:p>
        </w:tc>
      </w:tr>
    </w:tbl>
    <w:p/>
    <w:p>
      <w:r>
        <w:rPr>
          <w:b/>
        </w:rPr>
        <w:t xml:space="preserve">Table 5. Entropy generation number N_s and Bejan number Be at eta = 0 (present corrected model). Text and table now agree: N_s(0) = 3.5495 at Omega = 2.0 (reviewer point 13).</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0"/>
        <w:gridCol w:w="1500"/>
        <w:gridCol w:w="1500"/>
        <w:gridCol w:w="1500"/>
        <w:gridCol w:w="1500"/>
        <w:gridCol w:w="1500"/>
      </w:tblGrid>
      <w:tr>
        <w:tc>
          <w:tcPr>
            <w:tcW w:w="1500" w:type="dxa"/>
          </w:tcPr>
          <w:p>
            <w:r>
              <w:rPr>
                <w:b/>
              </w:rPr>
              <w:t xml:space="preserve">Br</w:t>
            </w:r>
          </w:p>
        </w:tc>
        <w:tc>
          <w:tcPr>
            <w:tcW w:w="1500" w:type="dxa"/>
          </w:tcPr>
          <w:p>
            <w:r>
              <w:rPr>
                <w:b/>
              </w:rPr>
              <w:t xml:space="preserve">M</w:t>
            </w:r>
          </w:p>
        </w:tc>
        <w:tc>
          <w:tcPr>
            <w:tcW w:w="1500" w:type="dxa"/>
          </w:tcPr>
          <w:p>
            <w:r>
              <w:rPr>
                <w:b/>
              </w:rPr>
              <w:t xml:space="preserve">Rd</w:t>
            </w:r>
          </w:p>
        </w:tc>
        <w:tc>
          <w:tcPr>
            <w:tcW w:w="1500" w:type="dxa"/>
          </w:tcPr>
          <w:p>
            <w:r>
              <w:rPr>
                <w:b/>
              </w:rPr>
              <w:t xml:space="preserve">Omega</w:t>
            </w:r>
          </w:p>
        </w:tc>
        <w:tc>
          <w:tcPr>
            <w:tcW w:w="1500" w:type="dxa"/>
          </w:tcPr>
          <w:p>
            <w:r>
              <w:rPr>
                <w:b/>
              </w:rPr>
              <w:t xml:space="preserve">Ns(0)</w:t>
            </w:r>
          </w:p>
        </w:tc>
        <w:tc>
          <w:tcPr>
            <w:tcW w:w="1500" w:type="dxa"/>
          </w:tcPr>
          <w:p>
            <w:r>
              <w:rPr>
                <w:b/>
              </w:rPr>
              <w:t xml:space="preserve">Be(0)</w:t>
            </w:r>
          </w:p>
        </w:tc>
      </w:tr>
      <w:tr>
        <w:tc>
          <w:tcPr>
            <w:tcW w:w="1500" w:type="dxa"/>
          </w:tcPr>
          <w:p>
            <w:r>
              <w:t xml:space="preserve">0.5</w:t>
            </w:r>
          </w:p>
        </w:tc>
        <w:tc>
          <w:tcPr>
            <w:tcW w:w="1500" w:type="dxa"/>
          </w:tcPr>
          <w:p>
            <w:r>
              <w:t xml:space="preserve">1.0</w:t>
            </w:r>
          </w:p>
        </w:tc>
        <w:tc>
          <w:tcPr>
            <w:tcW w:w="1500" w:type="dxa"/>
          </w:tcPr>
          <w:p>
            <w:r>
              <w:t xml:space="preserve">0.5</w:t>
            </w:r>
          </w:p>
        </w:tc>
        <w:tc>
          <w:tcPr>
            <w:tcW w:w="1500" w:type="dxa"/>
          </w:tcPr>
          <w:p>
            <w:r>
              <w:t xml:space="preserve">1.0</w:t>
            </w:r>
          </w:p>
        </w:tc>
        <w:tc>
          <w:tcPr>
            <w:tcW w:w="1500" w:type="dxa"/>
          </w:tcPr>
          <w:p>
            <w:r>
              <w:t xml:space="preserve">4.4484</w:t>
            </w:r>
          </w:p>
        </w:tc>
        <w:tc>
          <w:tcPr>
            <w:tcW w:w="1500" w:type="dxa"/>
          </w:tcPr>
          <w:p>
            <w:r>
              <w:t xml:space="preserve">0.2918</w:t>
            </w:r>
          </w:p>
        </w:tc>
      </w:tr>
      <w:tr>
        <w:tc>
          <w:tcPr>
            <w:tcW w:w="1500" w:type="dxa"/>
          </w:tcPr>
          <w:p>
            <w:r>
              <w:t xml:space="preserve">1.0</w:t>
            </w:r>
          </w:p>
        </w:tc>
        <w:tc>
          <w:tcPr>
            <w:tcW w:w="1500" w:type="dxa"/>
          </w:tcPr>
          <w:p>
            <w:r>
              <w:t xml:space="preserve">1.0</w:t>
            </w:r>
          </w:p>
        </w:tc>
        <w:tc>
          <w:tcPr>
            <w:tcW w:w="1500" w:type="dxa"/>
          </w:tcPr>
          <w:p>
            <w:r>
              <w:t xml:space="preserve">0.5</w:t>
            </w:r>
          </w:p>
        </w:tc>
        <w:tc>
          <w:tcPr>
            <w:tcW w:w="1500" w:type="dxa"/>
          </w:tcPr>
          <w:p>
            <w:r>
              <w:t xml:space="preserve">1.0</w:t>
            </w:r>
          </w:p>
        </w:tc>
        <w:tc>
          <w:tcPr>
            <w:tcW w:w="1500" w:type="dxa"/>
          </w:tcPr>
          <w:p>
            <w:r>
              <w:t xml:space="preserve">7.5988</w:t>
            </w:r>
          </w:p>
        </w:tc>
        <w:tc>
          <w:tcPr>
            <w:tcW w:w="1500" w:type="dxa"/>
          </w:tcPr>
          <w:p>
            <w:r>
              <w:t xml:space="preserve">0.1708</w:t>
            </w:r>
          </w:p>
        </w:tc>
      </w:tr>
      <w:tr>
        <w:tc>
          <w:tcPr>
            <w:tcW w:w="1500" w:type="dxa"/>
          </w:tcPr>
          <w:p>
            <w:r>
              <w:t xml:space="preserve">1.5</w:t>
            </w:r>
          </w:p>
        </w:tc>
        <w:tc>
          <w:tcPr>
            <w:tcW w:w="1500" w:type="dxa"/>
          </w:tcPr>
          <w:p>
            <w:r>
              <w:t xml:space="preserve">1.0</w:t>
            </w:r>
          </w:p>
        </w:tc>
        <w:tc>
          <w:tcPr>
            <w:tcW w:w="1500" w:type="dxa"/>
          </w:tcPr>
          <w:p>
            <w:r>
              <w:t xml:space="preserve">0.5</w:t>
            </w:r>
          </w:p>
        </w:tc>
        <w:tc>
          <w:tcPr>
            <w:tcW w:w="1500" w:type="dxa"/>
          </w:tcPr>
          <w:p>
            <w:r>
              <w:t xml:space="preserve">1.0</w:t>
            </w:r>
          </w:p>
        </w:tc>
        <w:tc>
          <w:tcPr>
            <w:tcW w:w="1500" w:type="dxa"/>
          </w:tcPr>
          <w:p>
            <w:r>
              <w:t xml:space="preserve">10.7492</w:t>
            </w:r>
          </w:p>
        </w:tc>
        <w:tc>
          <w:tcPr>
            <w:tcW w:w="1500" w:type="dxa"/>
          </w:tcPr>
          <w:p>
            <w:r>
              <w:t xml:space="preserve">0.1207</w:t>
            </w:r>
          </w:p>
        </w:tc>
      </w:tr>
      <w:tr>
        <w:tc>
          <w:tcPr>
            <w:tcW w:w="1500" w:type="dxa"/>
          </w:tcPr>
          <w:p>
            <w:r>
              <w:t xml:space="preserve">1.0</w:t>
            </w:r>
          </w:p>
        </w:tc>
        <w:tc>
          <w:tcPr>
            <w:tcW w:w="1500" w:type="dxa"/>
          </w:tcPr>
          <w:p>
            <w:r>
              <w:t xml:space="preserve">0.5</w:t>
            </w:r>
          </w:p>
        </w:tc>
        <w:tc>
          <w:tcPr>
            <w:tcW w:w="1500" w:type="dxa"/>
          </w:tcPr>
          <w:p>
            <w:r>
              <w:t xml:space="preserve">0.5</w:t>
            </w:r>
          </w:p>
        </w:tc>
        <w:tc>
          <w:tcPr>
            <w:tcW w:w="1500" w:type="dxa"/>
          </w:tcPr>
          <w:p>
            <w:r>
              <w:t xml:space="preserve">1.0</w:t>
            </w:r>
          </w:p>
        </w:tc>
        <w:tc>
          <w:tcPr>
            <w:tcW w:w="1500" w:type="dxa"/>
          </w:tcPr>
          <w:p>
            <w:r>
              <w:t xml:space="preserve">7.2590</w:t>
            </w:r>
          </w:p>
        </w:tc>
        <w:tc>
          <w:tcPr>
            <w:tcW w:w="1500" w:type="dxa"/>
          </w:tcPr>
          <w:p>
            <w:r>
              <w:t xml:space="preserve">0.1801</w:t>
            </w:r>
          </w:p>
        </w:tc>
      </w:tr>
      <w:tr>
        <w:tc>
          <w:tcPr>
            <w:tcW w:w="1500" w:type="dxa"/>
          </w:tcPr>
          <w:p>
            <w:r>
              <w:t xml:space="preserve">1.0</w:t>
            </w:r>
          </w:p>
        </w:tc>
        <w:tc>
          <w:tcPr>
            <w:tcW w:w="1500" w:type="dxa"/>
          </w:tcPr>
          <w:p>
            <w:r>
              <w:t xml:space="preserve">2.0</w:t>
            </w:r>
          </w:p>
        </w:tc>
        <w:tc>
          <w:tcPr>
            <w:tcW w:w="1500" w:type="dxa"/>
          </w:tcPr>
          <w:p>
            <w:r>
              <w:t xml:space="preserve">0.5</w:t>
            </w:r>
          </w:p>
        </w:tc>
        <w:tc>
          <w:tcPr>
            <w:tcW w:w="1500" w:type="dxa"/>
          </w:tcPr>
          <w:p>
            <w:r>
              <w:t xml:space="preserve">1.0</w:t>
            </w:r>
          </w:p>
        </w:tc>
        <w:tc>
          <w:tcPr>
            <w:tcW w:w="1500" w:type="dxa"/>
          </w:tcPr>
          <w:p>
            <w:r>
              <w:t xml:space="preserve">8.2714</w:t>
            </w:r>
          </w:p>
        </w:tc>
        <w:tc>
          <w:tcPr>
            <w:tcW w:w="1500" w:type="dxa"/>
          </w:tcPr>
          <w:p>
            <w:r>
              <w:t xml:space="preserve">0.1549</w:t>
            </w:r>
          </w:p>
        </w:tc>
      </w:tr>
      <w:tr>
        <w:tc>
          <w:tcPr>
            <w:tcW w:w="1500" w:type="dxa"/>
          </w:tcPr>
          <w:p>
            <w:r>
              <w:t xml:space="preserve">1.0</w:t>
            </w:r>
          </w:p>
        </w:tc>
        <w:tc>
          <w:tcPr>
            <w:tcW w:w="1500" w:type="dxa"/>
          </w:tcPr>
          <w:p>
            <w:r>
              <w:t xml:space="preserve">1.0</w:t>
            </w:r>
          </w:p>
        </w:tc>
        <w:tc>
          <w:tcPr>
            <w:tcW w:w="1500" w:type="dxa"/>
          </w:tcPr>
          <w:p>
            <w:r>
              <w:t xml:space="preserve">1.0</w:t>
            </w:r>
          </w:p>
        </w:tc>
        <w:tc>
          <w:tcPr>
            <w:tcW w:w="1500" w:type="dxa"/>
          </w:tcPr>
          <w:p>
            <w:r>
              <w:t xml:space="preserve">1.0</w:t>
            </w:r>
          </w:p>
        </w:tc>
        <w:tc>
          <w:tcPr>
            <w:tcW w:w="1500" w:type="dxa"/>
          </w:tcPr>
          <w:p>
            <w:r>
              <w:t xml:space="preserve">7.7121</w:t>
            </w:r>
          </w:p>
        </w:tc>
        <w:tc>
          <w:tcPr>
            <w:tcW w:w="1500" w:type="dxa"/>
          </w:tcPr>
          <w:p>
            <w:r>
              <w:t xml:space="preserve">0.1830</w:t>
            </w:r>
          </w:p>
        </w:tc>
      </w:tr>
      <w:tr>
        <w:tc>
          <w:tcPr>
            <w:tcW w:w="1500" w:type="dxa"/>
          </w:tcPr>
          <w:p>
            <w:r>
              <w:t xml:space="preserve">1.0</w:t>
            </w:r>
          </w:p>
        </w:tc>
        <w:tc>
          <w:tcPr>
            <w:tcW w:w="1500" w:type="dxa"/>
          </w:tcPr>
          <w:p>
            <w:r>
              <w:t xml:space="preserve">1.0</w:t>
            </w:r>
          </w:p>
        </w:tc>
        <w:tc>
          <w:tcPr>
            <w:tcW w:w="1500" w:type="dxa"/>
          </w:tcPr>
          <w:p>
            <w:r>
              <w:t xml:space="preserve">0.5</w:t>
            </w:r>
          </w:p>
        </w:tc>
        <w:tc>
          <w:tcPr>
            <w:tcW w:w="1500" w:type="dxa"/>
          </w:tcPr>
          <w:p>
            <w:r>
              <w:t xml:space="preserve">2.0</w:t>
            </w:r>
          </w:p>
        </w:tc>
        <w:tc>
          <w:tcPr>
            <w:tcW w:w="1500" w:type="dxa"/>
          </w:tcPr>
          <w:p>
            <w:r>
              <w:t xml:space="preserve">3.5495</w:t>
            </w:r>
          </w:p>
        </w:tc>
        <w:tc>
          <w:tcPr>
            <w:tcW w:w="1500" w:type="dxa"/>
          </w:tcPr>
          <w:p>
            <w:r>
              <w:t xml:space="preserve">0.1124</w:t>
            </w:r>
          </w:p>
        </w:tc>
      </w:tr>
    </w:tbl>
    <w:p/>
    <w:p>
      <w:r>
        <w:rPr>
          <w:b/>
        </w:rPr>
        <w:t xml:space="preserve">Table 6. Effect of nanoparticle volume fraction on Nu, Sh and gap-averaged entropy (present corrected model).</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800"/>
        <w:gridCol w:w="1800"/>
        <w:gridCol w:w="1800"/>
        <w:gridCol w:w="1800"/>
      </w:tblGrid>
      <w:tr>
        <w:tc>
          <w:tcPr>
            <w:tcW w:w="1800" w:type="dxa"/>
          </w:tcPr>
          <w:p>
            <w:r>
              <w:rPr>
                <w:b/>
              </w:rPr>
              <w:t xml:space="preserve">phi_1</w:t>
            </w:r>
          </w:p>
        </w:tc>
        <w:tc>
          <w:tcPr>
            <w:tcW w:w="1800" w:type="dxa"/>
          </w:tcPr>
          <w:p>
            <w:r>
              <w:rPr>
                <w:b/>
              </w:rPr>
              <w:t xml:space="preserve">phi_2</w:t>
            </w:r>
          </w:p>
        </w:tc>
        <w:tc>
          <w:tcPr>
            <w:tcW w:w="1800" w:type="dxa"/>
          </w:tcPr>
          <w:p>
            <w:r>
              <w:rPr>
                <w:b/>
              </w:rPr>
              <w:t xml:space="preserve">Re^(-1/2) Nu</w:t>
            </w:r>
          </w:p>
        </w:tc>
        <w:tc>
          <w:tcPr>
            <w:tcW w:w="1800" w:type="dxa"/>
          </w:tcPr>
          <w:p>
            <w:r>
              <w:rPr>
                <w:b/>
              </w:rPr>
              <w:t xml:space="preserve">Re^(-1/2) Sh</w:t>
            </w:r>
          </w:p>
        </w:tc>
        <w:tc>
          <w:tcPr>
            <w:tcW w:w="1800" w:type="dxa"/>
          </w:tcPr>
          <w:p>
            <w:r>
              <w:rPr>
                <w:b/>
              </w:rPr>
              <w:t xml:space="preserve">Ns,avg</w:t>
            </w:r>
          </w:p>
        </w:tc>
      </w:tr>
      <w:tr>
        <w:tc>
          <w:tcPr>
            <w:tcW w:w="1800" w:type="dxa"/>
          </w:tcPr>
          <w:p>
            <w:r>
              <w:t xml:space="preserve">0.00</w:t>
            </w:r>
          </w:p>
        </w:tc>
        <w:tc>
          <w:tcPr>
            <w:tcW w:w="1800" w:type="dxa"/>
          </w:tcPr>
          <w:p>
            <w:r>
              <w:t xml:space="preserve">0.00</w:t>
            </w:r>
          </w:p>
        </w:tc>
        <w:tc>
          <w:tcPr>
            <w:tcW w:w="1800" w:type="dxa"/>
          </w:tcPr>
          <w:p>
            <w:r>
              <w:t xml:space="preserve">1.4267</w:t>
            </w:r>
          </w:p>
        </w:tc>
        <w:tc>
          <w:tcPr>
            <w:tcW w:w="1800" w:type="dxa"/>
          </w:tcPr>
          <w:p>
            <w:r>
              <w:t xml:space="preserve">0.6371</w:t>
            </w:r>
          </w:p>
        </w:tc>
        <w:tc>
          <w:tcPr>
            <w:tcW w:w="1800" w:type="dxa"/>
          </w:tcPr>
          <w:p>
            <w:r>
              <w:t xml:space="preserve">3.1844</w:t>
            </w:r>
          </w:p>
        </w:tc>
      </w:tr>
      <w:tr>
        <w:tc>
          <w:tcPr>
            <w:tcW w:w="1800" w:type="dxa"/>
          </w:tcPr>
          <w:p>
            <w:r>
              <w:t xml:space="preserve">0.02</w:t>
            </w:r>
          </w:p>
        </w:tc>
        <w:tc>
          <w:tcPr>
            <w:tcW w:w="1800" w:type="dxa"/>
          </w:tcPr>
          <w:p>
            <w:r>
              <w:t xml:space="preserve">0.02</w:t>
            </w:r>
          </w:p>
        </w:tc>
        <w:tc>
          <w:tcPr>
            <w:tcW w:w="1800" w:type="dxa"/>
          </w:tcPr>
          <w:p>
            <w:r>
              <w:t xml:space="preserve">1.6394</w:t>
            </w:r>
          </w:p>
        </w:tc>
        <w:tc>
          <w:tcPr>
            <w:tcW w:w="1800" w:type="dxa"/>
          </w:tcPr>
          <w:p>
            <w:r>
              <w:t xml:space="preserve">0.6314</w:t>
            </w:r>
          </w:p>
        </w:tc>
        <w:tc>
          <w:tcPr>
            <w:tcW w:w="1800" w:type="dxa"/>
          </w:tcPr>
          <w:p>
            <w:r>
              <w:t xml:space="preserve">3.5458</w:t>
            </w:r>
          </w:p>
        </w:tc>
      </w:tr>
      <w:tr>
        <w:tc>
          <w:tcPr>
            <w:tcW w:w="1800" w:type="dxa"/>
          </w:tcPr>
          <w:p>
            <w:r>
              <w:t xml:space="preserve">0.03</w:t>
            </w:r>
          </w:p>
        </w:tc>
        <w:tc>
          <w:tcPr>
            <w:tcW w:w="1800" w:type="dxa"/>
          </w:tcPr>
          <w:p>
            <w:r>
              <w:t xml:space="preserve">0.03</w:t>
            </w:r>
          </w:p>
        </w:tc>
        <w:tc>
          <w:tcPr>
            <w:tcW w:w="1800" w:type="dxa"/>
          </w:tcPr>
          <w:p>
            <w:r>
              <w:t xml:space="preserve">1.7565</w:t>
            </w:r>
          </w:p>
        </w:tc>
        <w:tc>
          <w:tcPr>
            <w:tcW w:w="1800" w:type="dxa"/>
          </w:tcPr>
          <w:p>
            <w:r>
              <w:t xml:space="preserve">0.6284</w:t>
            </w:r>
          </w:p>
        </w:tc>
        <w:tc>
          <w:tcPr>
            <w:tcW w:w="1800" w:type="dxa"/>
          </w:tcPr>
          <w:p>
            <w:r>
              <w:t xml:space="preserve">3.7466</w:t>
            </w:r>
          </w:p>
        </w:tc>
      </w:tr>
      <w:tr>
        <w:tc>
          <w:tcPr>
            <w:tcW w:w="1800" w:type="dxa"/>
          </w:tcPr>
          <w:p>
            <w:r>
              <w:t xml:space="preserve">0.04</w:t>
            </w:r>
          </w:p>
        </w:tc>
        <w:tc>
          <w:tcPr>
            <w:tcW w:w="1800" w:type="dxa"/>
          </w:tcPr>
          <w:p>
            <w:r>
              <w:t xml:space="preserve">0.04</w:t>
            </w:r>
          </w:p>
        </w:tc>
        <w:tc>
          <w:tcPr>
            <w:tcW w:w="1800" w:type="dxa"/>
          </w:tcPr>
          <w:p>
            <w:r>
              <w:t xml:space="preserve">1.8815</w:t>
            </w:r>
          </w:p>
        </w:tc>
        <w:tc>
          <w:tcPr>
            <w:tcW w:w="1800" w:type="dxa"/>
          </w:tcPr>
          <w:p>
            <w:r>
              <w:t xml:space="preserve">0.6255</w:t>
            </w:r>
          </w:p>
        </w:tc>
        <w:tc>
          <w:tcPr>
            <w:tcW w:w="1800" w:type="dxa"/>
          </w:tcPr>
          <w:p>
            <w:r>
              <w:t xml:space="preserve">3.9623</w:t>
            </w:r>
          </w:p>
        </w:tc>
      </w:tr>
      <w:tr>
        <w:tc>
          <w:tcPr>
            <w:tcW w:w="1800" w:type="dxa"/>
          </w:tcPr>
          <w:p>
            <w:r>
              <w:t xml:space="preserve">0.05</w:t>
            </w:r>
          </w:p>
        </w:tc>
        <w:tc>
          <w:tcPr>
            <w:tcW w:w="1800" w:type="dxa"/>
          </w:tcPr>
          <w:p>
            <w:r>
              <w:t xml:space="preserve">0.05</w:t>
            </w:r>
          </w:p>
        </w:tc>
        <w:tc>
          <w:tcPr>
            <w:tcW w:w="1800" w:type="dxa"/>
          </w:tcPr>
          <w:p>
            <w:r>
              <w:t xml:space="preserve">2.0149</w:t>
            </w:r>
          </w:p>
        </w:tc>
        <w:tc>
          <w:tcPr>
            <w:tcW w:w="1800" w:type="dxa"/>
          </w:tcPr>
          <w:p>
            <w:r>
              <w:t xml:space="preserve">0.6225</w:t>
            </w:r>
          </w:p>
        </w:tc>
        <w:tc>
          <w:tcPr>
            <w:tcW w:w="1800" w:type="dxa"/>
          </w:tcPr>
          <w:p>
            <w:r>
              <w:t xml:space="preserve">4.1940</w:t>
            </w:r>
          </w:p>
        </w:tc>
      </w:tr>
    </w:tbl>
    <w:p/>
    <w:p>
      <w:pPr>
        <w:pStyle w:val="Heading1"/>
      </w:pPr>
      <w:r>
        <w:t xml:space="preserve">7. Conclusions</w:t>
      </w:r>
    </w:p>
    <w:p>
      <w:r>
        <w:t xml:space="preserve">1. The transformed momentum equation is retained at fourth order through an explicitly demonstrated pressure elimination, with the corrected unsteady group Sq(f' + (eta/2) f''); the eighth-order system matches its eight boundary conditions.</w:t>
      </w:r>
    </w:p>
    <w:p>
      <w:r>
        <w:t xml:space="preserve">2. The energy equation groups conduction and radiation as [a_kappa + (4/3) Rd F^3] theta'', with a_kappa on conduction only; the Dufour coefficient Pr a_rho Df is obtained by an explicit dimensional derivation (c_s = T_m).</w:t>
      </w:r>
    </w:p>
    <w:p>
      <w:r>
        <w:t xml:space="preserve">3. The entropy model uses the time-dependent EM fields for the Joule term, a consistent k_f-based normalisation, a stated linear-irreversible-thermodynamics basis for the cross-gradient term, and retains N_DD in N_s and Be.</w:t>
      </w:r>
    </w:p>
    <w:p>
      <w:r>
        <w:t xml:space="preserve">4. The solution is mesh-independent to the reported precision and recovers the classical Wang squeezing form in the Newtonian limit.</w:t>
      </w:r>
    </w:p>
    <w:p>
      <w:r>
        <w:t xml:space="preserve">5. Entropy generation peaks near the walls; Br and M raise friction/Joule irreversibility while Rd raises thermal irreversibility; hybrid loading improves heat transfer at a modest entropy cost.</w:t>
      </w:r>
    </w:p>
    <w:p>
      <w:pPr>
        <w:pStyle w:val="Heading1"/>
      </w:pPr>
      <w:r>
        <w:t xml:space="preserve">Appendix A. Reduced and Limiting Forms (corrected)</w:t>
      </w:r>
    </w:p>
    <w:p>
      <w:r>
        <w:t xml:space="preserve">Newtonian limit under the adopted mu_inf = 0 model (reviewer point 17). For n = 1 OR We -&gt; 0 the Carreau bracket becomes unity. Note this limit is tied to the SIMPLIFIED Carreau viscosity (mu_inf already set to zero), not the full four-parameter Carreau model; the primitive momentum balance reduces to</w:t>
      </w:r>
    </w:p>
    <w:p>
      <w:pPr>
        <w:ind w:left="360"/>
      </w:pPr>
      <w:r>
        <w:rPr>
          <w:rFonts w:ascii="Cambria Math" w:hAnsi="Cambria Math"/>
          <w:i/>
        </w:rPr>
        <w:t xml:space="preserve">(a_mu/a_rho) f''' + f f'' - (f')^2 - Sq(f' + (eta/2) f'') - (a_mu/(a_rho Da)) f' - (a_sigma/a_rho) M (f' - Ee) - Fr (f')^2 = G    (A1)</w:t>
      </w:r>
    </w:p>
    <w:p>
      <w:pPr>
        <w:ind w:left="360"/>
      </w:pPr>
      <w:r>
        <w:rPr>
          <w:rFonts w:ascii="Cambria Math" w:hAnsi="Cambria Math"/>
          <w:i/>
        </w:rPr>
        <w:t xml:space="preserve">a_mu = a_rho = a_sigma = a_kappa = a_c = 1  (clear fluid)    (A2)</w:t>
      </w:r>
    </w:p>
    <w:p>
      <w:r>
        <w:t xml:space="preserve">Suppressing the EM fields (M = 0) removes the Lorentz coupling (A4); omitting porous resistance (Fr = 0, Da -&gt; infinity) leaves the non-porous nanoparticle-laden channel (A5); the no-radiation case (Rd = 0) gives (A6); the non-squeezing limit (Sq -&gt; 0) leaves f theta' - f' theta in the convection term (A7).</w:t>
      </w:r>
    </w:p>
    <w:p>
      <w:pPr>
        <w:ind w:left="360"/>
      </w:pPr>
      <w:r>
        <w:rPr>
          <w:rFonts w:ascii="Cambria Math" w:hAnsi="Cambria Math"/>
          <w:i/>
        </w:rPr>
        <w:t xml:space="preserve">phi'' + Sc(f phi' - f' phi - Sq phi - (Sq/2) eta phi') + Sc Sr theta'' = 0  (K = 0)    (A8)</w:t>
      </w:r>
    </w:p>
    <w:p>
      <w:pPr>
        <w:ind w:left="360"/>
      </w:pPr>
      <w:r>
        <w:rPr>
          <w:rFonts w:ascii="Cambria Math" w:hAnsi="Cambria Math"/>
          <w:i/>
        </w:rPr>
        <w:t xml:space="preserve">phi'' = 0   (true pure-diffusion limit: Sr = 0, Sq = 0, K = 0, no convection)    (A9)</w:t>
      </w:r>
    </w:p>
    <w:p>
      <w:r>
        <w:t xml:space="preserve">If convection and reaction are retained, phi'' + Sc f phi' - K Sc phi = 0 describes steady transport without the Soret effect and should be labelled accordingly rather than as pure diffusion.</w:t>
      </w:r>
    </w:p>
    <w:p>
      <w:pPr>
        <w:ind w:left="360"/>
      </w:pPr>
      <w:r>
        <w:rPr>
          <w:rFonts w:ascii="Cambria Math" w:hAnsi="Cambria Math"/>
          <w:i/>
        </w:rPr>
        <w:t xml:space="preserve">N_s = a_kappa (theta')^2 + (a_mu Br/Omega)(f'')^2 + (a_sigma Br M/Omega)(f' - Ee)^2 + Lambda(zeta/Omega)^2 (phi')^2 + Lambda(zeta/Omega) theta' phi'    (A10)</w:t>
      </w:r>
    </w:p>
    <w:p>
      <w:pPr>
        <w:ind w:left="360"/>
      </w:pPr>
      <w:r>
        <w:rPr>
          <w:rFonts w:ascii="Cambria Math" w:hAnsi="Cambria Math"/>
          <w:i/>
        </w:rPr>
        <w:t xml:space="preserve">Be = (a_kappa (theta')^2 + Lambda(zeta/Omega)^2 (phi')^2 + Lambda(zeta/Omega) theta' phi') / N_s    (A11)</w:t>
      </w:r>
    </w:p>
    <w:p>
      <w:r>
        <w:t xml:space="preserve">The Newtonian limit of the Carreau model does not by itself recover the Casson model; any comparison with the Casson squeezing results of [23] must be restricted to a common Newtonian limit.</w:t>
      </w:r>
    </w:p>
    <w:p>
      <w:pPr>
        <w:pStyle w:val="Heading1"/>
      </w:pPr>
      <w:r>
        <w:t xml:space="preserve">References</w:t>
      </w:r>
    </w:p>
    <w:p>
      <w:r>
        <w:t xml:space="preserve">[1] S. U. S. Choi, J. A. Eastman, Enhancing thermal conductivity of fluids with nanoparticles, ASME IMECE, San Francisco, 1995; ASME FED 231/MD 66, 99-105.</w:t>
      </w:r>
    </w:p>
    <w:p>
      <w:r>
        <w:t xml:space="preserve">[2] M. R. Eid, A. F. Al-Hossainy, Combined experimental thin film, DFT-TDDFT computational study..., Waves Random Complex Media 33 (2023) 1-26.</w:t>
      </w:r>
    </w:p>
    <w:p>
      <w:r>
        <w:t xml:space="preserve">[3] J. Buongiorno, Convective transport in nanofluids, ASME J. Heat Transfer 128(3) (2006) 240-250.</w:t>
      </w:r>
    </w:p>
    <w:p>
      <w:r>
        <w:t xml:space="preserve">[4] S. Suresh et al., Synthesis of Al2O3-Cu/water hybrid nanofluids using two step method, Colloids Surf. A 388 (2011) 41-48.</w:t>
      </w:r>
    </w:p>
    <w:p>
      <w:r>
        <w:t xml:space="preserve">[5] D. K. Mandal et al., Hybrid nanofluid MHD mixed convection in a W-shaped porous system, Int. J. Numer. Methods Heat Fluid Flow 33 (2023).</w:t>
      </w:r>
    </w:p>
    <w:p>
      <w:r>
        <w:t xml:space="preserve">[6] N. K. Manna et al., Impacts of heater-cooler position and Lorentz force..., Int. J. Numer. Methods Heat Fluid Flow 33 (2023) 1249-1286.</w:t>
      </w:r>
    </w:p>
    <w:p>
      <w:r>
        <w:t xml:space="preserve">[7] F. Afshari, B. Muratcobanoglu, Thermal analysis of Fe3O4/water nanofluid..., Int. J. Environ. Sci. Technol. 20(2) (2023) 2037-2052.</w:t>
      </w:r>
    </w:p>
    <w:p>
      <w:r>
        <w:t xml:space="preserve">[8] I. Tlili et al., 3-D MHD AA7072-AA7075/methanol hybrid nanofluid flow..., Sci. Rep. 10 (2020) 4402, doi:10.1038/s41598-020-61215-8.</w:t>
      </w:r>
    </w:p>
    <w:p>
      <w:r>
        <w:t xml:space="preserve">[9] A. Mishra, K. Swain, S. Dash, Therapeutic applications of Darcy-Forchheimer hybrid nanofluid flow..., J. Comput. Appl. Mech. 53 (2022) 1-14.</w:t>
      </w:r>
    </w:p>
    <w:p>
      <w:r>
        <w:t xml:space="preserve">[10] Zeeshan et al., Two-dimensional nanofluid flow impinging on a porous stretching sheet..., Sci. Rep. 13 (2023) 1-14.</w:t>
      </w:r>
    </w:p>
    <w:p>
      <w:r>
        <w:t xml:space="preserve">[11] G. Ashwinkumar et al., Effect of the aligned magnetic field on the boundary layer..., Alexandria Eng. J. 58 (2019) 1461-1470.</w:t>
      </w:r>
    </w:p>
    <w:p>
      <w:r>
        <w:t xml:space="preserve">[12] P. J. Carreau, Rheological equations from molecular network theories, Trans. Soc. Rheol. 16 (1972) 99-127.</w:t>
      </w:r>
    </w:p>
    <w:p>
      <w:r>
        <w:t xml:space="preserve">[13] S. A. G. A. Shah et al., Effect of thermal radiation on convective heat transfer in MHD Carreau fluid..., Sci. Rep. 13 (2023) 1-11.</w:t>
      </w:r>
    </w:p>
    <w:p>
      <w:r>
        <w:t xml:space="preserve">[14] H. A. Wahab et al., Heterogeneous/homogeneous and inclined magnetic aspect of infinite shear rate viscosity model of Carreau fluid, Arab. J. Chem. 16 (2023) 1-16.</w:t>
      </w:r>
    </w:p>
    <w:p>
      <w:r>
        <w:t xml:space="preserve">[15] M. Mkhatshwa, M. Khumalo, Irreversibility scrutinization on EMHD Darcy-Forchheimer slip flow of Carreau hybrid nanofluid..., Heat Transfer 52 (2023) 395-429.</w:t>
      </w:r>
    </w:p>
    <w:p>
      <w:r>
        <w:t xml:space="preserve">[16] A. S. Mittal, H. R. Patel, Influence of thermophoresis and Brownian motion on mixed convection MHD Casson fluid flow..., Physica A 537 (2020) 1-15.</w:t>
      </w:r>
    </w:p>
    <w:p>
      <w:r>
        <w:t xml:space="preserve">[17] M. Qayyum et al., Heat transfer analysis of unsteady MHD Carreau fluid flow over a stretching/shrinking sheet, Coatings 12 (2022) 1-13.</w:t>
      </w:r>
    </w:p>
    <w:p>
      <w:r>
        <w:t xml:space="preserve">[18] M. J. Stefan, Versuch ueber die scheinbare Adhaesion, Sitzungsber. Akad. Wiss. Wien 69 (1874) 713-721.</w:t>
      </w:r>
    </w:p>
    <w:p>
      <w:r>
        <w:t xml:space="preserve">[19] R. J. Grimm, Squeezing flows of Newtonian liquid films..., Appl. Sci. Res. 32 (1976) 149-166.</w:t>
      </w:r>
    </w:p>
    <w:p>
      <w:r>
        <w:t xml:space="preserve">[20] G. M. Sobamowo, A. T. Akinshilo, On the analysis of squeezing flow of nanofluid between two parallel plates..., Alexandria Eng. J. 57 (2018) 1413-1423. (Re-verify volume/pages.)</w:t>
      </w:r>
    </w:p>
    <w:p>
      <w:r>
        <w:t xml:space="preserve">[21] S. Ahmad et al., Slip analysis of squeezing flow using doubly stratified fluid, Results Phys. 9 (2018) 527-533.</w:t>
      </w:r>
    </w:p>
    <w:p>
      <w:r>
        <w:t xml:space="preserve">[22] S. Ahmad et al., Double stratification effects in chemically reactive squeezed Sutterby fluid flow, Results Phys. 8 (2018) 1250-1259.</w:t>
      </w:r>
    </w:p>
    <w:p>
      <w:r>
        <w:t xml:space="preserve">[23] K. Bhaskar, K. Sharma, Unsteady MHD squeezing viscous Casson fluid flow in upright channel with cross-diffusion and thermal radiative effects, Indian J. Phys. 95(7) (2021) 1453-1467, doi:10.1007/s12648-020-01805-4.</w:t>
      </w:r>
    </w:p>
    <w:p>
      <w:r>
        <w:t xml:space="preserve">[24] C. Soret, Sur l'etat d'equilibre..., Arch. Sci. Phys. Nat. 2 (1879) 48-61.</w:t>
      </w:r>
    </w:p>
    <w:p>
      <w:r>
        <w:t xml:space="preserve">[25] E. R. G. Eckert, R. M. Drake, Analysis of Heat and Mass Transfer, McGraw-Hill, 1972.</w:t>
      </w:r>
    </w:p>
    <w:p>
      <w:r>
        <w:t xml:space="preserve">[26] A. Shojaei et al., Hydrothermal analysis of non-Newtonian second grade fluid flow... with Soret and Dufour effects, Case Stud. Therm. Eng. 13 (2019) 1-14.</w:t>
      </w:r>
    </w:p>
    <w:p>
      <w:r>
        <w:t xml:space="preserve">[27] K. Rafique et al., Numerical solution of Casson nanofluid flow... with Soret and Dufour effects by Keller-box method, Front. Phys. 7 (2019) 1-22.</w:t>
      </w:r>
    </w:p>
    <w:p>
      <w:r>
        <w:t xml:space="preserve">[28] R. N. Kumar et al., Soret and Dufour effects on Oldroyd-B fluid flow under convective boundary condition with Stefan blowing, Indian J. Phys. 97 (2023) 1-11.</w:t>
      </w:r>
    </w:p>
    <w:p>
      <w:r>
        <w:t xml:space="preserve">[29] B. K. Sharma et al., Entropy generation and thermal radiation analysis of EMHD Jeffrey nanofluid flow..., Nanomaterials 13 (2023) 1-23.</w:t>
      </w:r>
    </w:p>
    <w:p>
      <w:r>
        <w:t xml:space="preserve">[30] M. M. Bhatti et al., Natural convection non-Newtonian EMHD dissipative flow through a microchannel..., Qual. Theory Dyn. Syst. 21 (2022) 97.</w:t>
      </w:r>
    </w:p>
    <w:p>
      <w:r>
        <w:t xml:space="preserve">[31] R. Gandhi et al., Computer simulations of EMHD Casson nanofluid flow of blood through an irregular stenotic permeable artery, Nanomaterials 13 (2023) 1-31.</w:t>
      </w:r>
    </w:p>
    <w:p>
      <w:r>
        <w:t xml:space="preserve">[32] B. Mahanthesh et al., Significance of exponential space- and thermal-dependent heat source effects on nanofluid flow..., J. Therm. Anal. Calorim. 141 (2020) 1-8.</w:t>
      </w:r>
    </w:p>
    <w:p>
      <w:r>
        <w:t xml:space="preserve">[33] A. Shahzad et al., Brownian motion and thermophoretic diffusion impact on Darcy-Forchheimer flow of bioconvective micropolar nanofluid between double disks, Alexandria Eng. J. 62 (2023) 1-15.</w:t>
      </w:r>
    </w:p>
    <w:p>
      <w:r>
        <w:t xml:space="preserve">[34] A. Bejan, A study of entropy generation in fundamental convective heat transfer, ASME J. Heat Transfer 101 (1979) 718-725.</w:t>
      </w:r>
    </w:p>
    <w:p>
      <w:r>
        <w:t xml:space="preserve">[35] A. Bejan, Entropy Generation Minimization, CRC Press, 1996.</w:t>
      </w:r>
    </w:p>
    <w:p>
      <w:r>
        <w:t xml:space="preserve">[36] M. I. Khan et al., Entropy optimization in flow of Williamson nanofluid... with chemical reaction and Joule heating, Int. J. Heat Mass Transfer 133 (2019) 959-967.</w:t>
      </w:r>
    </w:p>
    <w:p>
      <w:r>
        <w:t xml:space="preserve">[37] S. Rashidi et al., Applications of magnetohydrodynamics in biological systems: a review, J. Magn. Magn. Mater. 439 (2017) 358-372.</w:t>
      </w:r>
    </w:p>
    <w:p>
      <w:r>
        <w:t xml:space="preserve">[38] M. M. Bhatti et al., Entropy generation as a practical tool of optimisation for MHD flow through a shrinking sheet, J. Magnetics 21 (2016) 468-475.</w:t>
      </w:r>
    </w:p>
    <w:p>
      <w:r>
        <w:t xml:space="preserve">[39] T. Siva et al., Entropy generation on EMHD transport of couple stress fluid with slip-dependent zeta potential..., Int. J. Therm. Sci. 191 (2023) 1-15.</w:t>
      </w:r>
    </w:p>
    <w:p>
      <w:r>
        <w:t xml:space="preserve">[40] S. Bhatti et al., Entropy generation analysis of Carreau nanofluid flow with viscous dissipation and thermal radiation, J. Therm. Anal. Calorim. 147 (2022) 1-17.</w:t>
      </w:r>
    </w:p>
    <w:p>
      <w:r>
        <w:t xml:space="preserve">[41] A. Ali et al., Irreversibility analysis of Carreau hybrid nanofluid flow over a stretching sheet with radiation, Waves Random Complex Media 33 (2023) 1-29.</w:t>
      </w:r>
    </w:p>
    <w:p>
      <w:r>
        <w:t xml:space="preserve">[42] P. K. Yadav, A. Kumar, Entropy generation analysis of unsteady squeezing MHD nanofluid flow between two parallel plates, Int. Commun. Heat Mass Transfer 128 (2021) 105632. (Re-verify volume/article number.)</w:t>
      </w:r>
    </w:p>
    <w:p>
      <w:r>
        <w:t xml:space="preserve">[43] N. K. Mishra, Computational analysis of Soret and Dufour effects on nanofluid flow through a stenosed artery..., Acta Mech. Autom. 17 (2023) 1-8.</w:t>
      </w:r>
    </w:p>
    <w:p>
      <w:r>
        <w:rPr>
          <w:i/>
        </w:rPr>
        <w:t xml:space="preserve">Note on reference verification. Details of [1], [8], [12], [15], [23], [34] were confirmed against publisher records in the source manuscript. References [20] and [42] could not be independently confirmed to the exact volume/page in the present environment and should be re-verified against the publisher of record before submission.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szCs w:val="22"/>
      </w:rPr>
    </w:rPrDefault>
  </w:docDefaults>
  <w:style w:type="paragraph" w:default="1" w:styleId="Normal">
    <w:name w:val="Normal"/>
    <w:pPr>
      <w:spacing w:after="120" w:line="276" w:lineRule="auto"/>
    </w:pPr>
  </w:style>
  <w:style w:type="paragraph" w:styleId="Title">
    <w:name w:val="Title"/>
    <w:pPr>
      <w:spacing w:after="240"/>
      <w:jc w:val="center"/>
    </w:pPr>
    <w:rPr>
      <w:b/>
      <w:sz w:val="30"/>
      <w:szCs w:val="30"/>
    </w:rPr>
  </w:style>
  <w:style w:type="paragraph" w:styleId="Heading1">
    <w:name w:val="heading 1"/>
    <w:pPr>
      <w:keepNext/>
      <w:spacing w:before="240" w:after="120"/>
      <w:outlineLvl w:val="0"/>
    </w:pPr>
    <w:rPr>
      <w:b/>
      <w:sz w:val="28"/>
      <w:szCs w:val="28"/>
    </w:rPr>
  </w:style>
  <w:style w:type="paragraph" w:styleId="Heading2">
    <w:name w:val="heading 2"/>
    <w:pPr>
      <w:keepNext/>
      <w:spacing w:before="200" w:after="100"/>
      <w:outlineLvl w:val="1"/>
    </w:pPr>
    <w:rPr>
      <w:b/>
      <w:i/>
      <w:sz w:val="24"/>
      <w:szCs w:val="24"/>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Python stdlib docx writer</Application>
</Properties>
</file>

<file path=docProps/core.xml><?xml version="1.0" encoding="utf-8"?>
<cp:coreProperties xmlns:cp="http://schemas.openxmlformats.org/package/2006/metadata/core-properties" xmlns:dc="http://purl.org/dc/elements/1.1/" xmlns:dcterms="http://purl.org/dc/terms/" xmlns:xsi="http://www.w3.org/2001/XMLSchema-instance">
  <dc:title>Entropy Generation and Irreversibility Analysis of Unsteady EMHD Squeezing Flow of a Carreau Hybrid Nanofluid</dc:title>
  <dc:creator>Corrected manuscript</dc:creator>
  <cp:revision>1</cp:revision>
</cp:coreProperties>
</file>