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60"/>
        <w:jc w:val="center"/>
        <w:rPr>
          <w:b/>
          <w:color w:val="1F3864"/>
          <w:sz w:val="40"/>
          <w:szCs w:val="40"/>
        </w:rPr>
      </w:pPr>
      <w:r>
        <w:rPr>
          <w:b/>
          <w:color w:val="1F3864"/>
          <w:sz w:val="40"/>
          <w:szCs w:val="40"/>
        </w:rPr>
        <w:t xml:space="preserve">Call for Book Chapters — Compilation (Part 3)</w:t>
      </w:r>
    </w:p>
    <w:p>
      <w:pPr>
        <w:spacing w:before="0" w:after="240"/>
        <w:jc w:val="center"/>
        <w:rPr>
          <w:i/>
          <w:color w:val="595959"/>
          <w:sz w:val="22"/>
          <w:szCs w:val="22"/>
        </w:rPr>
      </w:pPr>
      <w:r>
        <w:rPr>
          <w:i/>
          <w:color w:val="595959"/>
          <w:sz w:val="22"/>
          <w:szCs w:val="22"/>
        </w:rPr>
        <w:t xml:space="preserve">Flyers numbered Image 42 – Image 61</w:t>
      </w:r>
    </w:p>
    <w:p>
      <w:pPr>
        <w:spacing w:before="240" w:after="100"/>
        <w:rPr>
          <w:b/>
          <w:color w:val="C00000"/>
          <w:sz w:val="30"/>
          <w:szCs w:val="30"/>
        </w:rPr>
      </w:pPr>
      <w:r>
        <w:rPr>
          <w:b/>
          <w:color w:val="C00000"/>
          <w:sz w:val="30"/>
          <w:szCs w:val="30"/>
        </w:rPr>
        <w:t xml:space="preserve">Image 42: Nano-Enabled Sustainable Technologies for Management of Emerging Water Contaminants</w:t>
      </w:r>
    </w:p>
    <w:p>
      <w:pPr>
        <w:spacing w:before="0" w:after="60"/>
      </w:pPr>
      <w:r>
        <w:rPr>
          <w:b/>
        </w:rPr>
        <w:t xml:space="preserve">Subtitle: </w:t>
      </w:r>
      <w:r>
        <w:t xml:space="preserve">Environmental Occurrence, Analytical Advances, Monitoring, Risk Assessment, Regulatory Perspectives, and Advanced Water Remediation Strategies</w:t>
      </w:r>
    </w:p>
    <w:p>
      <w:pPr>
        <w:spacing w:before="0" w:after="60"/>
      </w:pPr>
      <w:r>
        <w:rPr>
          <w:b/>
        </w:rPr>
        <w:t xml:space="preserve">Publisher: </w:t>
      </w:r>
      <w:r>
        <w:t xml:space="preserve">Springer — Scopus indexed</w:t>
      </w:r>
    </w:p>
    <w:p>
      <w:pPr>
        <w:spacing w:before="120" w:after="60"/>
        <w:rPr>
          <w:b/>
          <w:color w:val="1F3864"/>
          <w:sz w:val="24"/>
          <w:szCs w:val="24"/>
        </w:rPr>
      </w:pPr>
      <w:r>
        <w:rPr>
          <w:b/>
          <w:color w:val="1F3864"/>
          <w:sz w:val="24"/>
          <w:szCs w:val="24"/>
        </w:rPr>
        <w:t xml:space="preserve">Scope of the Book</w:t>
      </w:r>
    </w:p>
    <w:p>
      <w:pPr>
        <w:spacing w:before="0" w:after="80"/>
        <w:rPr>
          <w:sz w:val="22"/>
          <w:szCs w:val="22"/>
        </w:rPr>
      </w:pPr>
      <w:r>
        <w:rPr>
          <w:sz w:val="22"/>
          <w:szCs w:val="22"/>
        </w:rPr>
        <w:t xml:space="preserve">Emerging water contaminants (EWCs) such as PFAS, pharmaceuticals, endocrine-disrupting chemicals, pesticides, toxic dyes and micro/nano-plastics pose serious threats. The book covers global environmental occurrence, analytical advances, monitoring, environmental risk assessment and regulatory perspectives, alongside nano-enabled sustainable remediation technologies, integrating interdisciplinary research to support sustainable water management and the UN-SDGs 2030. (Content rephrased for compliance.)</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Dr. Subhash Chander — Assistant Professor (Guest), Dept. of Civil &amp; Environmental Engineering, GJUS&amp;T, Hisar, India</w:t>
      </w:r>
    </w:p>
    <w:p>
      <w:pPr>
        <w:spacing w:before="0" w:after="40"/>
        <w:ind w:left="360"/>
        <w:rPr>
          <w:sz w:val="22"/>
          <w:szCs w:val="22"/>
        </w:rPr>
      </w:pPr>
      <w:r>
        <w:rPr>
          <w:sz w:val="22"/>
          <w:szCs w:val="22"/>
        </w:rPr>
        <w:t xml:space="preserve">•  Dr. Hardeep Rai Sharma — Associate Professor, Institute of Environmental Studies, Kurukshetra University, Kurukshetra, India</w:t>
      </w:r>
    </w:p>
    <w:p>
      <w:pPr>
        <w:spacing w:before="0" w:after="40"/>
        <w:ind w:left="360"/>
        <w:rPr>
          <w:sz w:val="22"/>
          <w:szCs w:val="22"/>
        </w:rPr>
      </w:pPr>
      <w:r>
        <w:rPr>
          <w:sz w:val="22"/>
          <w:szCs w:val="22"/>
        </w:rPr>
        <w:t xml:space="preserve">•  Prof. Asha Gupta — Chairperson, Dept. of Civil &amp; Environmental Engineering, GJUS&amp;T, Hisar, India</w:t>
      </w:r>
    </w:p>
    <w:p>
      <w:pPr>
        <w:spacing w:before="0" w:after="40"/>
        <w:ind w:left="360"/>
        <w:rPr>
          <w:sz w:val="22"/>
          <w:szCs w:val="22"/>
        </w:rPr>
      </w:pPr>
      <w:r>
        <w:rPr>
          <w:sz w:val="22"/>
          <w:szCs w:val="22"/>
        </w:rPr>
        <w:t xml:space="preserve">•  Prof. Narsi Ram Bishnoi — Vice Chancellor, GJUS&amp;T, Hisar, India</w:t>
      </w:r>
    </w:p>
    <w:p>
      <w:pPr>
        <w:spacing w:before="120" w:after="60"/>
        <w:rPr>
          <w:b/>
          <w:color w:val="1F3864"/>
          <w:sz w:val="24"/>
          <w:szCs w:val="24"/>
        </w:rPr>
      </w:pPr>
      <w:r>
        <w:rPr>
          <w:b/>
          <w:color w:val="1F3864"/>
          <w:sz w:val="24"/>
          <w:szCs w:val="24"/>
        </w:rPr>
        <w:t xml:space="preserve">Table of Contents</w:t>
      </w:r>
    </w:p>
    <w:p>
      <w:pPr>
        <w:spacing w:before="0" w:after="120"/>
        <w:rPr>
          <w:b/>
          <w:sz w:val="22"/>
          <w:szCs w:val="22"/>
        </w:rPr>
      </w:pPr>
      <w:r>
        <w:rPr>
          <w:b/>
          <w:sz w:val="22"/>
          <w:szCs w:val="22"/>
        </w:rPr>
        <w:t xml:space="preserve">Part I: Emerging Water Contaminants (EWCs) — Sources, Global Occurrence, Environmental Fate, Analytical Advances, Monitoring, Environmental Risk Assessment, and Regulatory Perspectives</w:t>
      </w:r>
    </w:p>
    <w:p>
      <w:pPr>
        <w:spacing w:before="0" w:after="40"/>
        <w:ind w:left="360"/>
        <w:rPr>
          <w:sz w:val="22"/>
          <w:szCs w:val="22"/>
        </w:rPr>
      </w:pPr>
      <w:r>
        <w:rPr>
          <w:sz w:val="22"/>
          <w:szCs w:val="22"/>
        </w:rPr>
        <w:t xml:space="preserve">1. Emerging Contaminants of Global Concern in Aquatic Environments: Classification, Potential Sources, Occurrence, Global Distribution, and Management Challenges</w:t>
      </w:r>
    </w:p>
    <w:p>
      <w:pPr>
        <w:spacing w:before="0" w:after="40"/>
        <w:ind w:left="360"/>
        <w:rPr>
          <w:sz w:val="22"/>
          <w:szCs w:val="22"/>
        </w:rPr>
      </w:pPr>
      <w:r>
        <w:rPr>
          <w:sz w:val="22"/>
          <w:szCs w:val="22"/>
        </w:rPr>
        <w:t xml:space="preserve">2. Environmental Fate, Transformation, Persistence, and Ecotoxicological Impacts of Emerging Contaminants in Aquatic Ecosystems</w:t>
      </w:r>
    </w:p>
    <w:p>
      <w:pPr>
        <w:spacing w:before="0" w:after="40"/>
        <w:ind w:left="360"/>
        <w:rPr>
          <w:sz w:val="22"/>
          <w:szCs w:val="22"/>
        </w:rPr>
      </w:pPr>
      <w:r>
        <w:rPr>
          <w:sz w:val="22"/>
          <w:szCs w:val="22"/>
        </w:rPr>
        <w:t xml:space="preserve">3. Analytical Techniques and Monitoring of Emerging Contaminants in Water and Wastewater: Recent Advances and Challenges</w:t>
      </w:r>
    </w:p>
    <w:p>
      <w:pPr>
        <w:spacing w:before="0" w:after="40"/>
        <w:ind w:left="360"/>
        <w:rPr>
          <w:sz w:val="22"/>
          <w:szCs w:val="22"/>
        </w:rPr>
      </w:pPr>
      <w:r>
        <w:rPr>
          <w:sz w:val="22"/>
          <w:szCs w:val="22"/>
        </w:rPr>
        <w:t xml:space="preserve">4. Global Occurrence of Microplastics and Per- and Polyfluoroalkyl Substances (PFAS) in Groundwater Ecosystems: Emerging Threats to Sustainable Development Goals</w:t>
      </w:r>
    </w:p>
    <w:p>
      <w:pPr>
        <w:spacing w:before="0" w:after="40"/>
        <w:ind w:left="360"/>
        <w:rPr>
          <w:sz w:val="22"/>
          <w:szCs w:val="22"/>
        </w:rPr>
      </w:pPr>
      <w:r>
        <w:rPr>
          <w:sz w:val="22"/>
          <w:szCs w:val="22"/>
        </w:rPr>
        <w:t xml:space="preserve">5. Human Exposure and Health Risks Associated with Emerging Contaminants in Drinking Water</w:t>
      </w:r>
    </w:p>
    <w:p>
      <w:pPr>
        <w:spacing w:before="0" w:after="40"/>
        <w:ind w:left="360"/>
        <w:rPr>
          <w:sz w:val="22"/>
          <w:szCs w:val="22"/>
        </w:rPr>
      </w:pPr>
      <w:r>
        <w:rPr>
          <w:sz w:val="22"/>
          <w:szCs w:val="22"/>
        </w:rPr>
        <w:t xml:space="preserve">6. Environmental Risk Assessment, Global Regulatory Frameworks, and Policy Perspectives for Emerging Water Contaminants</w:t>
      </w:r>
    </w:p>
    <w:p>
      <w:pPr>
        <w:spacing w:before="0" w:after="40"/>
        <w:ind w:left="360"/>
        <w:rPr>
          <w:sz w:val="22"/>
          <w:szCs w:val="22"/>
        </w:rPr>
      </w:pPr>
      <w:r>
        <w:rPr>
          <w:sz w:val="22"/>
          <w:szCs w:val="22"/>
        </w:rPr>
        <w:t xml:space="preserve">7. Conventional Water Remediation Approaches: Opportunities and Twenty-First-Century Challenges for Emerging Contaminants in Water and Wastewater</w:t>
      </w:r>
    </w:p>
    <w:p>
      <w:pPr>
        <w:spacing w:before="0" w:after="120"/>
        <w:rPr>
          <w:b/>
          <w:sz w:val="22"/>
          <w:szCs w:val="22"/>
        </w:rPr>
      </w:pPr>
      <w:r>
        <w:rPr>
          <w:b/>
          <w:sz w:val="22"/>
          <w:szCs w:val="22"/>
        </w:rPr>
        <w:t xml:space="preserve">Part II: Nano-Enabled Sustainable Technologies for Emerging Water Contaminants (EWCs) Remediation — Emerging Trends and Research Frontiers</w:t>
      </w:r>
    </w:p>
    <w:p>
      <w:pPr>
        <w:spacing w:before="0" w:after="40"/>
        <w:ind w:left="360"/>
        <w:rPr>
          <w:sz w:val="22"/>
          <w:szCs w:val="22"/>
        </w:rPr>
      </w:pPr>
      <w:r>
        <w:rPr>
          <w:sz w:val="22"/>
          <w:szCs w:val="22"/>
        </w:rPr>
        <w:t xml:space="preserve">8. Bioinspired Green Nanomaterials for EWCs: Fundamentals, Synthesis Approaches, and Environmental Remediation Applications</w:t>
      </w:r>
    </w:p>
    <w:p>
      <w:pPr>
        <w:spacing w:before="0" w:after="40"/>
        <w:ind w:left="360"/>
        <w:rPr>
          <w:sz w:val="22"/>
          <w:szCs w:val="22"/>
        </w:rPr>
      </w:pPr>
      <w:r>
        <w:rPr>
          <w:sz w:val="22"/>
          <w:szCs w:val="22"/>
        </w:rPr>
        <w:t xml:space="preserve">9. Artificial Intelligence and Machine Learning for Nano-Enabled Wastewater Remediation Systems: Material Design, Process Optimisation, and Predictive Monitoring</w:t>
      </w:r>
    </w:p>
    <w:p>
      <w:pPr>
        <w:spacing w:before="0" w:after="40"/>
        <w:ind w:left="360"/>
        <w:rPr>
          <w:sz w:val="22"/>
          <w:szCs w:val="22"/>
        </w:rPr>
      </w:pPr>
      <w:r>
        <w:rPr>
          <w:sz w:val="22"/>
          <w:szCs w:val="22"/>
        </w:rPr>
        <w:t xml:space="preserve">10. Biogenic Nanomaterial-Enabled Membrane Technologies for EWCs Remediation: Applications, Challenges, and Future Directions</w:t>
      </w:r>
    </w:p>
    <w:p>
      <w:pPr>
        <w:spacing w:before="0" w:after="40"/>
        <w:ind w:left="360"/>
        <w:rPr>
          <w:sz w:val="22"/>
          <w:szCs w:val="22"/>
        </w:rPr>
      </w:pPr>
      <w:r>
        <w:rPr>
          <w:sz w:val="22"/>
          <w:szCs w:val="22"/>
        </w:rPr>
        <w:t xml:space="preserve">11. Nano-Enabled Advanced Oxidation and Electrochemical Technologies for PFAS Remediation from Water and Wastewater</w:t>
      </w:r>
    </w:p>
    <w:p>
      <w:pPr>
        <w:spacing w:before="0" w:after="40"/>
        <w:ind w:left="360"/>
        <w:rPr>
          <w:sz w:val="22"/>
          <w:szCs w:val="22"/>
        </w:rPr>
      </w:pPr>
      <w:r>
        <w:rPr>
          <w:sz w:val="22"/>
          <w:szCs w:val="22"/>
        </w:rPr>
        <w:t xml:space="preserve">12. Biochar-Impregnated Hybrid Metallic Nanocomposites for PFAS Remediation: Mechanisms, Environmental Applications, and Future Directions</w:t>
      </w:r>
    </w:p>
    <w:p>
      <w:pPr>
        <w:spacing w:before="0" w:after="40"/>
        <w:ind w:left="360"/>
        <w:rPr>
          <w:sz w:val="22"/>
          <w:szCs w:val="22"/>
        </w:rPr>
      </w:pPr>
      <w:r>
        <w:rPr>
          <w:sz w:val="22"/>
          <w:szCs w:val="22"/>
        </w:rPr>
        <w:t xml:space="preserve">13. Metal–Organic Frameworks and MOF-Derived Sustainable Nanomaterials for Pharmaceuticals and Antibiotics Remediation from Contaminated Water</w:t>
      </w:r>
    </w:p>
    <w:p>
      <w:pPr>
        <w:spacing w:before="0" w:after="40"/>
        <w:ind w:left="360"/>
        <w:rPr>
          <w:sz w:val="22"/>
          <w:szCs w:val="22"/>
        </w:rPr>
      </w:pPr>
      <w:r>
        <w:rPr>
          <w:sz w:val="22"/>
          <w:szCs w:val="22"/>
        </w:rPr>
        <w:t xml:space="preserve">14. Waste-Derived Carbonaceous Metallic Nanomaterials for Textile Wastewater: Remediation of Dyes, Persistent Organic Pollutants and Antimicrobial Residues</w:t>
      </w:r>
    </w:p>
    <w:p>
      <w:pPr>
        <w:spacing w:before="0" w:after="40"/>
        <w:ind w:left="360"/>
        <w:rPr>
          <w:sz w:val="22"/>
          <w:szCs w:val="22"/>
        </w:rPr>
      </w:pPr>
      <w:r>
        <w:rPr>
          <w:sz w:val="22"/>
          <w:szCs w:val="22"/>
        </w:rPr>
        <w:t xml:space="preserve">15. Magnetic Adsorption-Photocatalytic Sustainable Nanocomposites for the Remediation of Endocrine-Disrupting Chemicals: Integrated Remediation Approach and Mechanisms</w:t>
      </w:r>
    </w:p>
    <w:p>
      <w:pPr>
        <w:spacing w:before="0" w:after="40"/>
        <w:ind w:left="360"/>
        <w:rPr>
          <w:sz w:val="22"/>
          <w:szCs w:val="22"/>
        </w:rPr>
      </w:pPr>
      <w:r>
        <w:rPr>
          <w:sz w:val="22"/>
          <w:szCs w:val="22"/>
        </w:rPr>
        <w:t xml:space="preserve">16. Biogenic Metal Oxide Nanocomposites for the Remediation of Persistent Organic Pesticides in Water: Current Understanding, Challenges, and Future Scope</w:t>
      </w:r>
    </w:p>
    <w:p>
      <w:pPr>
        <w:spacing w:before="0" w:after="40"/>
        <w:ind w:left="360"/>
        <w:rPr>
          <w:sz w:val="22"/>
          <w:szCs w:val="22"/>
        </w:rPr>
      </w:pPr>
      <w:r>
        <w:rPr>
          <w:sz w:val="22"/>
          <w:szCs w:val="22"/>
        </w:rPr>
        <w:t xml:space="preserve">17. Waste-Derived Carbonaceous Metallic Nanomaterials for the Remediation of the Endocrine Disrupting Chemicals and Personal Care Products</w:t>
      </w:r>
    </w:p>
    <w:p>
      <w:pPr>
        <w:spacing w:before="0" w:after="40"/>
        <w:ind w:left="360"/>
        <w:rPr>
          <w:sz w:val="22"/>
          <w:szCs w:val="22"/>
        </w:rPr>
      </w:pPr>
      <w:r>
        <w:rPr>
          <w:sz w:val="22"/>
          <w:szCs w:val="22"/>
        </w:rPr>
        <w:t xml:space="preserve">18. Biopolymer-Based Nanomaterials for the Remediation of Microplastic and Nanoplastics from Contaminated Water: Integrated Remediation Approach and Mechanisms</w:t>
      </w:r>
    </w:p>
    <w:p>
      <w:pPr>
        <w:spacing w:before="0" w:after="40"/>
        <w:ind w:left="360"/>
        <w:rPr>
          <w:sz w:val="22"/>
          <w:szCs w:val="22"/>
        </w:rPr>
      </w:pPr>
      <w:r>
        <w:rPr>
          <w:sz w:val="22"/>
          <w:szCs w:val="22"/>
        </w:rPr>
        <w:t xml:space="preserve">19. Biogenic Nanomaterials in Constructed Wetlands: A Sustainable Approach for EWCs Remediation</w:t>
      </w:r>
    </w:p>
    <w:p>
      <w:pPr>
        <w:spacing w:before="0" w:after="40"/>
        <w:ind w:left="360"/>
        <w:rPr>
          <w:sz w:val="22"/>
          <w:szCs w:val="22"/>
        </w:rPr>
      </w:pPr>
      <w:r>
        <w:rPr>
          <w:sz w:val="22"/>
          <w:szCs w:val="22"/>
        </w:rPr>
        <w:t xml:space="preserve">20. EWCs in Agricultural Systems: Challenges and Nano-Enabled Sustainable Solutions for Developing Countries</w:t>
      </w:r>
    </w:p>
    <w:p>
      <w:pPr>
        <w:spacing w:before="0" w:after="40"/>
        <w:ind w:left="360"/>
        <w:rPr>
          <w:sz w:val="22"/>
          <w:szCs w:val="22"/>
        </w:rPr>
      </w:pPr>
      <w:r>
        <w:rPr>
          <w:sz w:val="22"/>
          <w:szCs w:val="22"/>
        </w:rPr>
        <w:t xml:space="preserve">21. Management of EWCs via Circular Economy-Based Nano-Enabled Hybrid Treatment Systems: Lessons from Developed Countries and a Case Study in India</w:t>
      </w:r>
    </w:p>
    <w:p>
      <w:pPr>
        <w:spacing w:before="0" w:after="40"/>
        <w:ind w:left="360"/>
        <w:rPr>
          <w:sz w:val="22"/>
          <w:szCs w:val="22"/>
        </w:rPr>
      </w:pPr>
      <w:r>
        <w:rPr>
          <w:sz w:val="22"/>
          <w:szCs w:val="22"/>
        </w:rPr>
        <w:t xml:space="preserve">22. Safe-by-Design Green Nanotechnology for Sustainable Industrial Wastewater Remediation and Resource Recovery: Nano-Safety, Life Cycle Assessment, and Net-Zero Water Treatment</w:t>
      </w:r>
    </w:p>
    <w:p>
      <w:pPr>
        <w:spacing w:before="0" w:after="40"/>
        <w:ind w:left="360"/>
        <w:rPr>
          <w:sz w:val="22"/>
          <w:szCs w:val="22"/>
        </w:rPr>
      </w:pPr>
      <w:r>
        <w:rPr>
          <w:sz w:val="22"/>
          <w:szCs w:val="22"/>
        </w:rPr>
        <w:t xml:space="preserve">23. Safety, Toxicity, and Environmental Risk Assessment of Nanomaterials: Implications for Sustainable Water Remediation</w:t>
      </w:r>
    </w:p>
    <w:p>
      <w:pPr>
        <w:spacing w:before="0" w:after="40"/>
        <w:ind w:left="360"/>
        <w:rPr>
          <w:sz w:val="22"/>
          <w:szCs w:val="22"/>
        </w:rPr>
      </w:pPr>
      <w:r>
        <w:rPr>
          <w:sz w:val="22"/>
          <w:szCs w:val="22"/>
        </w:rPr>
        <w:t xml:space="preserve">24. Techno-Economic Analysis, Emerging Research Frontiers, and Education, Capacity Building, and Public Awareness for Sustainable Water Management</w:t>
      </w:r>
    </w:p>
    <w:p>
      <w:pPr>
        <w:spacing w:before="0" w:after="120"/>
        <w:rPr>
          <w:i/>
          <w:sz w:val="22"/>
          <w:szCs w:val="22"/>
        </w:rPr>
      </w:pPr>
      <w:r>
        <w:rPr>
          <w:i/>
          <w:sz w:val="22"/>
          <w:szCs w:val="22"/>
        </w:rPr>
        <w:t xml:space="preserve">Note: Relevant topics are also welcomed.</w:t>
      </w:r>
    </w:p>
    <w:p>
      <w:pPr>
        <w:spacing w:before="120" w:after="60"/>
        <w:rPr>
          <w:b/>
          <w:color w:val="1F3864"/>
          <w:sz w:val="24"/>
          <w:szCs w:val="24"/>
        </w:rPr>
      </w:pPr>
      <w:r>
        <w:rPr>
          <w:b/>
          <w:color w:val="1F3864"/>
          <w:sz w:val="24"/>
          <w:szCs w:val="24"/>
        </w:rPr>
        <w:t xml:space="preserve">Important Dates</w:t>
      </w:r>
    </w:p>
    <w:p>
      <w:pPr>
        <w:spacing w:before="0" w:after="60"/>
      </w:pPr>
      <w:r>
        <w:rPr>
          <w:b/>
        </w:rPr>
        <w:t xml:space="preserve">Abstract Submission: </w:t>
      </w:r>
      <w:r>
        <w:t xml:space="preserve">30 September 2026</w:t>
      </w:r>
    </w:p>
    <w:p>
      <w:pPr>
        <w:spacing w:before="0" w:after="60"/>
      </w:pPr>
      <w:r>
        <w:rPr>
          <w:b/>
        </w:rPr>
        <w:t xml:space="preserve">Full Chapter Submission: </w:t>
      </w:r>
      <w:r>
        <w:t xml:space="preserve">30 November 2026</w:t>
      </w:r>
    </w:p>
    <w:p>
      <w:pPr>
        <w:spacing w:before="0" w:after="60"/>
      </w:pPr>
      <w:r>
        <w:rPr>
          <w:b/>
        </w:rPr>
        <w:t xml:space="preserve">Expected Publication (after peer review): </w:t>
      </w:r>
      <w:r>
        <w:t xml:space="preserve">January 2027</w:t>
      </w:r>
    </w:p>
    <w:p>
      <w:pPr>
        <w:spacing w:before="0" w:after="60"/>
      </w:pPr>
      <w:r>
        <w:rPr>
          <w:b/>
        </w:rPr>
        <w:t xml:space="preserve">Abstract Guidelines: </w:t>
      </w:r>
      <w:r>
        <w:t xml:space="preserve">200–250 words including chapter title, abstract, brief chapter outline and 3–5 keywords; author information with H-index (≥30 noted on flyer)</w:t>
      </w:r>
    </w:p>
    <w:p>
      <w:pPr>
        <w:spacing w:before="0" w:after="60"/>
      </w:pPr>
      <w:r>
        <w:rPr>
          <w:b/>
        </w:rPr>
        <w:t xml:space="preserve">Charges: </w:t>
      </w:r>
      <w:r>
        <w:t xml:space="preserve">Zero Publication Fee</w:t>
      </w:r>
    </w:p>
    <w:p>
      <w:pPr>
        <w:spacing w:before="0" w:after="60"/>
      </w:pPr>
      <w:r>
        <w:rPr>
          <w:b/>
        </w:rPr>
        <w:t xml:space="preserve">Abstract Submission Email: </w:t>
      </w:r>
      <w:r>
        <w:t xml:space="preserve">ashagupta@gjust.org (Prof. Asha Gupta)</w:t>
      </w:r>
    </w:p>
    <w:p>
      <w:pPr>
        <w:spacing w:before="0" w:after="60"/>
      </w:pPr>
      <w:r>
        <w:rPr>
          <w:b/>
        </w:rPr>
        <w:t xml:space="preserve">Mobile: </w:t>
      </w:r>
      <w:r>
        <w:t xml:space="preserve">+91 85718 51564 (Dr. Subhash Chander)</w:t>
      </w:r>
    </w:p>
    <w:p>
      <w:pPr>
        <w:spacing w:before="240" w:after="100"/>
        <w:rPr>
          <w:b/>
          <w:color w:val="C00000"/>
          <w:sz w:val="30"/>
          <w:szCs w:val="30"/>
        </w:rPr>
      </w:pPr>
      <w:r>
        <w:rPr>
          <w:b/>
          <w:color w:val="C00000"/>
          <w:sz w:val="30"/>
          <w:szCs w:val="30"/>
        </w:rPr>
        <w:t xml:space="preserve">Image 43: Environmental Nanotechnology: Fundamentals, Sustainable Materials, Smart Systems, and Emerging Applications</w:t>
      </w:r>
    </w:p>
    <w:p>
      <w:pPr>
        <w:spacing w:before="0" w:after="60"/>
      </w:pPr>
      <w:r>
        <w:rPr>
          <w:b/>
        </w:rPr>
        <w:t xml:space="preserve">Publisher: </w:t>
      </w:r>
      <w:r>
        <w:t xml:space="preserve">Elsevier</w:t>
      </w:r>
    </w:p>
    <w:p>
      <w:pPr>
        <w:spacing w:before="0" w:after="60"/>
      </w:pPr>
      <w:r>
        <w:rPr>
          <w:b/>
        </w:rPr>
        <w:t xml:space="preserve">Proposed Publication: </w:t>
      </w:r>
      <w:r>
        <w:t xml:space="preserve">2026</w:t>
      </w:r>
    </w:p>
    <w:p>
      <w:pPr>
        <w:spacing w:before="120" w:after="60"/>
        <w:rPr>
          <w:b/>
          <w:color w:val="1F3864"/>
          <w:sz w:val="24"/>
          <w:szCs w:val="24"/>
        </w:rPr>
      </w:pPr>
      <w:r>
        <w:rPr>
          <w:b/>
          <w:color w:val="1F3864"/>
          <w:sz w:val="24"/>
          <w:szCs w:val="24"/>
        </w:rPr>
        <w:t xml:space="preserve">Topics of Interest (Include but Not Limited To)</w:t>
      </w:r>
    </w:p>
    <w:p>
      <w:pPr>
        <w:spacing w:before="0" w:after="40"/>
        <w:ind w:left="360"/>
        <w:rPr>
          <w:sz w:val="22"/>
          <w:szCs w:val="22"/>
        </w:rPr>
      </w:pPr>
      <w:r>
        <w:rPr>
          <w:sz w:val="22"/>
          <w:szCs w:val="22"/>
        </w:rPr>
        <w:t xml:space="preserve">•  Green synthesis of nanomaterials</w:t>
      </w:r>
    </w:p>
    <w:p>
      <w:pPr>
        <w:spacing w:before="0" w:after="40"/>
        <w:ind w:left="360"/>
        <w:rPr>
          <w:sz w:val="22"/>
          <w:szCs w:val="22"/>
        </w:rPr>
      </w:pPr>
      <w:r>
        <w:rPr>
          <w:sz w:val="22"/>
          <w:szCs w:val="22"/>
        </w:rPr>
        <w:t xml:space="preserve">•  Nanomaterials for environmental remediation</w:t>
      </w:r>
    </w:p>
    <w:p>
      <w:pPr>
        <w:spacing w:before="0" w:after="40"/>
        <w:ind w:left="360"/>
        <w:rPr>
          <w:sz w:val="22"/>
          <w:szCs w:val="22"/>
        </w:rPr>
      </w:pPr>
      <w:r>
        <w:rPr>
          <w:sz w:val="22"/>
          <w:szCs w:val="22"/>
        </w:rPr>
        <w:t xml:space="preserve">•  Sustainable nanomaterials and green chemistry</w:t>
      </w:r>
    </w:p>
    <w:p>
      <w:pPr>
        <w:spacing w:before="0" w:after="40"/>
        <w:ind w:left="360"/>
        <w:rPr>
          <w:sz w:val="22"/>
          <w:szCs w:val="22"/>
        </w:rPr>
      </w:pPr>
      <w:r>
        <w:rPr>
          <w:sz w:val="22"/>
          <w:szCs w:val="22"/>
        </w:rPr>
        <w:t xml:space="preserve">•  Nano-enabled smart systems and sensors</w:t>
      </w:r>
    </w:p>
    <w:p>
      <w:pPr>
        <w:spacing w:before="0" w:after="40"/>
        <w:ind w:left="360"/>
        <w:rPr>
          <w:sz w:val="22"/>
          <w:szCs w:val="22"/>
        </w:rPr>
      </w:pPr>
      <w:r>
        <w:rPr>
          <w:sz w:val="22"/>
          <w:szCs w:val="22"/>
        </w:rPr>
        <w:t xml:space="preserve">•  Nanotechnology for water, air, and soil treatment</w:t>
      </w:r>
    </w:p>
    <w:p>
      <w:pPr>
        <w:spacing w:before="0" w:after="40"/>
        <w:ind w:left="360"/>
        <w:rPr>
          <w:sz w:val="22"/>
          <w:szCs w:val="22"/>
        </w:rPr>
      </w:pPr>
      <w:r>
        <w:rPr>
          <w:sz w:val="22"/>
          <w:szCs w:val="22"/>
        </w:rPr>
        <w:t xml:space="preserve">•  Energy and environmental applications of nanotechnology</w:t>
      </w:r>
    </w:p>
    <w:p>
      <w:pPr>
        <w:spacing w:before="0" w:after="40"/>
        <w:ind w:left="360"/>
        <w:rPr>
          <w:sz w:val="22"/>
          <w:szCs w:val="22"/>
        </w:rPr>
      </w:pPr>
      <w:r>
        <w:rPr>
          <w:sz w:val="22"/>
          <w:szCs w:val="22"/>
        </w:rPr>
        <w:t xml:space="preserve">•  Risk assessment and environmental safety of nanomaterials</w:t>
      </w:r>
    </w:p>
    <w:p>
      <w:pPr>
        <w:spacing w:before="0" w:after="40"/>
        <w:ind w:left="360"/>
        <w:rPr>
          <w:sz w:val="22"/>
          <w:szCs w:val="22"/>
        </w:rPr>
      </w:pPr>
      <w:r>
        <w:rPr>
          <w:sz w:val="22"/>
          <w:szCs w:val="22"/>
        </w:rPr>
        <w:t xml:space="preserve">•  Emerging trends and future perspectives in environmental nanotechnology</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Dr Ali Irfan (Editor) — The Green Institute of Chemical Biomedical and Environmental Sciences (GICBES), Lahore-54000, Pakistan (draliirfan.ceo@gicbes.com; raialiirfan@gmail.com)</w:t>
      </w:r>
    </w:p>
    <w:p>
      <w:pPr>
        <w:spacing w:before="0" w:after="40"/>
        <w:ind w:left="360"/>
        <w:rPr>
          <w:sz w:val="22"/>
          <w:szCs w:val="22"/>
        </w:rPr>
      </w:pPr>
      <w:r>
        <w:rPr>
          <w:sz w:val="22"/>
          <w:szCs w:val="22"/>
        </w:rPr>
        <w:t xml:space="preserve">•  Prof. Dr. Magdi E. A. Zaki (Editor) — Dept. of Chemistry, College of Science, Imam Mohammad Ibn Saud Islamic University (IMSIU), Riyadh 11623, Saudi Arabia (mezaki@imamu.edu.sa)</w:t>
      </w:r>
    </w:p>
    <w:p>
      <w:pPr>
        <w:spacing w:before="0" w:after="40"/>
        <w:ind w:left="360"/>
        <w:rPr>
          <w:sz w:val="22"/>
          <w:szCs w:val="22"/>
        </w:rPr>
      </w:pPr>
      <w:r>
        <w:rPr>
          <w:sz w:val="22"/>
          <w:szCs w:val="22"/>
        </w:rPr>
        <w:t xml:space="preserve">•  Dr. Muhammad Atif Irshad (Associate Editor) — Dept. of Environmental Sciences, The University of Lahore, 54000, Pakistan (atif.irshad@envs.uol.edu.pk)</w:t>
      </w:r>
    </w:p>
    <w:p>
      <w:pPr>
        <w:spacing w:before="120" w:after="60"/>
        <w:rPr>
          <w:b/>
          <w:color w:val="1F3864"/>
          <w:sz w:val="24"/>
          <w:szCs w:val="24"/>
        </w:rPr>
      </w:pPr>
      <w:r>
        <w:rPr>
          <w:b/>
          <w:color w:val="1F3864"/>
          <w:sz w:val="24"/>
          <w:szCs w:val="24"/>
        </w:rPr>
        <w:t xml:space="preserve">Submission</w:t>
      </w:r>
    </w:p>
    <w:p>
      <w:pPr>
        <w:spacing w:before="0" w:after="80"/>
        <w:rPr>
          <w:sz w:val="22"/>
          <w:szCs w:val="22"/>
        </w:rPr>
      </w:pPr>
      <w:r>
        <w:rPr>
          <w:sz w:val="22"/>
          <w:szCs w:val="22"/>
        </w:rPr>
        <w:t xml:space="preserve">Interested authors submit an abstract (300–500 words) with a short bio to any of the editors; full chapter guidelines shared upon abstract selection. Contributions invited: original, high-quality, unpublished chapters offering novel insights and advances in environmental nanotechnology.</w:t>
      </w:r>
    </w:p>
    <w:p>
      <w:pPr>
        <w:spacing w:before="240" w:after="100"/>
        <w:rPr>
          <w:b/>
          <w:color w:val="C00000"/>
          <w:sz w:val="30"/>
          <w:szCs w:val="30"/>
        </w:rPr>
      </w:pPr>
      <w:r>
        <w:rPr>
          <w:b/>
          <w:color w:val="C00000"/>
          <w:sz w:val="30"/>
          <w:szCs w:val="30"/>
        </w:rPr>
        <w:t xml:space="preserve">Image 44: Industrial Waste Upcycling for Sustainable Engineering Materials: Towards a Circular Economy</w:t>
      </w:r>
    </w:p>
    <w:p>
      <w:pPr>
        <w:spacing w:before="0" w:after="60"/>
      </w:pPr>
      <w:r>
        <w:rPr>
          <w:b/>
        </w:rPr>
        <w:t xml:space="preserve">Publisher: </w:t>
      </w:r>
      <w:r>
        <w:t xml:space="preserve">Elsevier</w:t>
      </w:r>
    </w:p>
    <w:p>
      <w:pPr>
        <w:spacing w:before="0" w:after="60"/>
      </w:pPr>
      <w:r>
        <w:rPr>
          <w:b/>
        </w:rPr>
        <w:t xml:space="preserve">ISBN: </w:t>
      </w:r>
      <w:r>
        <w:t xml:space="preserve">9780443557835</w:t>
      </w:r>
    </w:p>
    <w:p>
      <w:pPr>
        <w:spacing w:before="0" w:after="60"/>
      </w:pPr>
      <w:r>
        <w:rPr>
          <w:b/>
        </w:rPr>
        <w:t xml:space="preserve">Charges: </w:t>
      </w:r>
      <w:r>
        <w:t xml:space="preserve">No Publication Charges</w:t>
      </w:r>
    </w:p>
    <w:p>
      <w:pPr>
        <w:spacing w:before="0" w:after="60"/>
      </w:pPr>
      <w:r>
        <w:rPr>
          <w:b/>
        </w:rPr>
        <w:t xml:space="preserve">Aim: </w:t>
      </w:r>
      <w:r>
        <w:t xml:space="preserve">To transform industrial waste into sustainable engineering materials through innovative processing, advanced technologies and circular-economy approaches</w:t>
      </w:r>
    </w:p>
    <w:p>
      <w:pPr>
        <w:spacing w:before="120" w:after="60"/>
        <w:rPr>
          <w:b/>
          <w:color w:val="1F3864"/>
          <w:sz w:val="24"/>
          <w:szCs w:val="24"/>
        </w:rPr>
      </w:pPr>
      <w:r>
        <w:rPr>
          <w:b/>
          <w:color w:val="1F3864"/>
          <w:sz w:val="24"/>
          <w:szCs w:val="24"/>
        </w:rPr>
        <w:t xml:space="preserve">Proposed Chapter Titles (Tentative)</w:t>
      </w:r>
    </w:p>
    <w:p>
      <w:pPr>
        <w:spacing w:before="0" w:after="40"/>
        <w:ind w:left="360"/>
        <w:rPr>
          <w:sz w:val="22"/>
          <w:szCs w:val="22"/>
        </w:rPr>
      </w:pPr>
      <w:r>
        <w:rPr>
          <w:sz w:val="22"/>
          <w:szCs w:val="22"/>
        </w:rPr>
        <w:t xml:space="preserve">1. Industrial Waste, Circular Economy and Sustainability</w:t>
      </w:r>
    </w:p>
    <w:p>
      <w:pPr>
        <w:spacing w:before="0" w:after="40"/>
        <w:ind w:left="360"/>
        <w:rPr>
          <w:sz w:val="22"/>
          <w:szCs w:val="22"/>
        </w:rPr>
      </w:pPr>
      <w:r>
        <w:rPr>
          <w:sz w:val="22"/>
          <w:szCs w:val="22"/>
        </w:rPr>
        <w:t xml:space="preserve">2. Policy, Regulation, and Industrial Waste Management Frameworks</w:t>
      </w:r>
    </w:p>
    <w:p>
      <w:pPr>
        <w:spacing w:before="0" w:after="40"/>
        <w:ind w:left="360"/>
        <w:rPr>
          <w:sz w:val="22"/>
          <w:szCs w:val="22"/>
        </w:rPr>
      </w:pPr>
      <w:r>
        <w:rPr>
          <w:sz w:val="22"/>
          <w:szCs w:val="22"/>
        </w:rPr>
        <w:t xml:space="preserve">3. Characterization and Quality Control of Industrial Solid Waste</w:t>
      </w:r>
    </w:p>
    <w:p>
      <w:pPr>
        <w:spacing w:before="0" w:after="40"/>
        <w:ind w:left="360"/>
        <w:rPr>
          <w:sz w:val="22"/>
          <w:szCs w:val="22"/>
        </w:rPr>
      </w:pPr>
      <w:r>
        <w:rPr>
          <w:sz w:val="22"/>
          <w:szCs w:val="22"/>
        </w:rPr>
        <w:t xml:space="preserve">4. Material Design Principles for Waste-Derived Metals, Ceramics, and Polymers</w:t>
      </w:r>
    </w:p>
    <w:p>
      <w:pPr>
        <w:spacing w:before="0" w:after="40"/>
        <w:ind w:left="360"/>
        <w:rPr>
          <w:sz w:val="22"/>
          <w:szCs w:val="22"/>
        </w:rPr>
      </w:pPr>
      <w:r>
        <w:rPr>
          <w:sz w:val="22"/>
          <w:szCs w:val="22"/>
        </w:rPr>
        <w:t xml:space="preserve">5. Mining, Mineral, and Inorganic High-Volume Wastes</w:t>
      </w:r>
    </w:p>
    <w:p>
      <w:pPr>
        <w:spacing w:before="0" w:after="40"/>
        <w:ind w:left="360"/>
        <w:rPr>
          <w:sz w:val="22"/>
          <w:szCs w:val="22"/>
        </w:rPr>
      </w:pPr>
      <w:r>
        <w:rPr>
          <w:sz w:val="22"/>
          <w:szCs w:val="22"/>
        </w:rPr>
        <w:t xml:space="preserve">6. Construction and Infrastructure Applications of Industrial Waste</w:t>
      </w:r>
    </w:p>
    <w:p>
      <w:pPr>
        <w:spacing w:before="0" w:after="40"/>
        <w:ind w:left="360"/>
        <w:rPr>
          <w:sz w:val="22"/>
          <w:szCs w:val="22"/>
        </w:rPr>
      </w:pPr>
      <w:r>
        <w:rPr>
          <w:sz w:val="22"/>
          <w:szCs w:val="22"/>
        </w:rPr>
        <w:t xml:space="preserve">7. Metals and Foundry Wastes in Advanced Composites and Cast Products</w:t>
      </w:r>
    </w:p>
    <w:p>
      <w:pPr>
        <w:spacing w:before="0" w:after="40"/>
        <w:ind w:left="360"/>
        <w:rPr>
          <w:sz w:val="22"/>
          <w:szCs w:val="22"/>
        </w:rPr>
      </w:pPr>
      <w:r>
        <w:rPr>
          <w:sz w:val="22"/>
          <w:szCs w:val="22"/>
        </w:rPr>
        <w:t xml:space="preserve">8. Polymer, Rubber, and Composite Waste in Novel Materials and Products</w:t>
      </w:r>
    </w:p>
    <w:p>
      <w:pPr>
        <w:spacing w:before="0" w:after="40"/>
        <w:ind w:left="360"/>
        <w:rPr>
          <w:sz w:val="22"/>
          <w:szCs w:val="22"/>
        </w:rPr>
      </w:pPr>
      <w:r>
        <w:rPr>
          <w:sz w:val="22"/>
          <w:szCs w:val="22"/>
        </w:rPr>
        <w:t xml:space="preserve">9. Agro-Industrial and Biomass Wastes as Engineering Resources</w:t>
      </w:r>
    </w:p>
    <w:p>
      <w:pPr>
        <w:spacing w:before="0" w:after="40"/>
        <w:ind w:left="360"/>
        <w:rPr>
          <w:sz w:val="22"/>
          <w:szCs w:val="22"/>
        </w:rPr>
      </w:pPr>
      <w:r>
        <w:rPr>
          <w:sz w:val="22"/>
          <w:szCs w:val="22"/>
        </w:rPr>
        <w:t xml:space="preserve">10. Process Design, Machining, and Manufacturability of Waste-Derived Materials</w:t>
      </w:r>
    </w:p>
    <w:p>
      <w:pPr>
        <w:spacing w:before="0" w:after="40"/>
        <w:ind w:left="360"/>
        <w:rPr>
          <w:sz w:val="22"/>
          <w:szCs w:val="22"/>
        </w:rPr>
      </w:pPr>
      <w:r>
        <w:rPr>
          <w:sz w:val="22"/>
          <w:szCs w:val="22"/>
        </w:rPr>
        <w:t xml:space="preserve">11. Additive Manufacturing of Waste-Derived Materials</w:t>
      </w:r>
    </w:p>
    <w:p>
      <w:pPr>
        <w:spacing w:before="0" w:after="40"/>
        <w:ind w:left="360"/>
        <w:rPr>
          <w:sz w:val="22"/>
          <w:szCs w:val="22"/>
        </w:rPr>
      </w:pPr>
      <w:r>
        <w:rPr>
          <w:sz w:val="22"/>
          <w:szCs w:val="22"/>
        </w:rPr>
        <w:t xml:space="preserve">12. Optimization and Soft-Computing Approaches in Industrial Waste Reuse</w:t>
      </w:r>
    </w:p>
    <w:p>
      <w:pPr>
        <w:spacing w:before="0" w:after="40"/>
        <w:ind w:left="360"/>
        <w:rPr>
          <w:sz w:val="22"/>
          <w:szCs w:val="22"/>
        </w:rPr>
      </w:pPr>
      <w:r>
        <w:rPr>
          <w:sz w:val="22"/>
          <w:szCs w:val="22"/>
        </w:rPr>
        <w:t xml:space="preserve">13. Functional Performance: Mechanical, Durability, Tribological, and Environmental Behaviour</w:t>
      </w:r>
    </w:p>
    <w:p>
      <w:pPr>
        <w:spacing w:before="0" w:after="40"/>
        <w:ind w:left="360"/>
        <w:rPr>
          <w:sz w:val="22"/>
          <w:szCs w:val="22"/>
        </w:rPr>
      </w:pPr>
      <w:r>
        <w:rPr>
          <w:sz w:val="22"/>
          <w:szCs w:val="22"/>
        </w:rPr>
        <w:t xml:space="preserve">14. Digital Tools, Life-Cycle Assessment, and Techno-Economics of Waste-to-Resource Systems</w:t>
      </w:r>
    </w:p>
    <w:p>
      <w:pPr>
        <w:spacing w:before="0" w:after="40"/>
        <w:ind w:left="360"/>
        <w:rPr>
          <w:sz w:val="22"/>
          <w:szCs w:val="22"/>
        </w:rPr>
      </w:pPr>
      <w:r>
        <w:rPr>
          <w:sz w:val="22"/>
          <w:szCs w:val="22"/>
        </w:rPr>
        <w:t xml:space="preserve">15. Industrial Symbiosis, Platforms, and Systems Modelling for Waste Reuse</w:t>
      </w:r>
    </w:p>
    <w:p>
      <w:pPr>
        <w:spacing w:before="0" w:after="40"/>
        <w:ind w:left="360"/>
        <w:rPr>
          <w:sz w:val="22"/>
          <w:szCs w:val="22"/>
        </w:rPr>
      </w:pPr>
      <w:r>
        <w:rPr>
          <w:sz w:val="22"/>
          <w:szCs w:val="22"/>
        </w:rPr>
        <w:t xml:space="preserve">16. Industrial Case Studies and Pilot-Scale Implementation</w:t>
      </w:r>
    </w:p>
    <w:p>
      <w:pPr>
        <w:spacing w:before="0" w:after="40"/>
        <w:ind w:left="360"/>
        <w:rPr>
          <w:sz w:val="22"/>
          <w:szCs w:val="22"/>
        </w:rPr>
      </w:pPr>
      <w:r>
        <w:rPr>
          <w:sz w:val="22"/>
          <w:szCs w:val="22"/>
        </w:rPr>
        <w:t xml:space="preserve">17. Research Agenda and Emerging Technologies in Industrial Waste Reuse</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Dr. Partha Haldar — Assistant Professor, Dept. of Mechanical Engineering, Government College of Engineering and Ceramic Technology, Kolkata, West Bengal, 700010, India</w:t>
      </w:r>
    </w:p>
    <w:p>
      <w:pPr>
        <w:spacing w:before="0" w:after="40"/>
        <w:ind w:left="360"/>
        <w:rPr>
          <w:sz w:val="22"/>
          <w:szCs w:val="22"/>
        </w:rPr>
      </w:pPr>
      <w:r>
        <w:rPr>
          <w:sz w:val="22"/>
          <w:szCs w:val="22"/>
        </w:rPr>
        <w:t xml:space="preserve">•  Dr. Soumyabrata Chakravarty — Assistant Professor, Dept. of Mechanical Engineering, Brainware University, Kolkata, West Bengal, 700125, India</w:t>
      </w:r>
    </w:p>
    <w:p>
      <w:pPr>
        <w:spacing w:before="120" w:after="60"/>
        <w:rPr>
          <w:b/>
          <w:color w:val="1F3864"/>
          <w:sz w:val="24"/>
          <w:szCs w:val="24"/>
        </w:rPr>
      </w:pPr>
      <w:r>
        <w:rPr>
          <w:b/>
          <w:color w:val="1F3864"/>
          <w:sz w:val="24"/>
          <w:szCs w:val="24"/>
        </w:rPr>
        <w:t xml:space="preserve">Important Dates</w:t>
      </w:r>
    </w:p>
    <w:p>
      <w:pPr>
        <w:spacing w:before="0" w:after="60"/>
      </w:pPr>
      <w:r>
        <w:rPr>
          <w:b/>
        </w:rPr>
        <w:t xml:space="preserve">Abstract Submission: </w:t>
      </w:r>
      <w:r>
        <w:t xml:space="preserve">11 September 2026</w:t>
      </w:r>
    </w:p>
    <w:p>
      <w:pPr>
        <w:spacing w:before="0" w:after="60"/>
      </w:pPr>
      <w:r>
        <w:rPr>
          <w:b/>
        </w:rPr>
        <w:t xml:space="preserve">Notification and Final Invitation (via Elsevier ELSA system): </w:t>
      </w:r>
      <w:r>
        <w:t xml:space="preserve">12 October 2026</w:t>
      </w:r>
    </w:p>
    <w:p>
      <w:pPr>
        <w:spacing w:before="0" w:after="60"/>
      </w:pPr>
      <w:r>
        <w:rPr>
          <w:b/>
        </w:rPr>
        <w:t xml:space="preserve">Contact: </w:t>
      </w:r>
      <w:r>
        <w:t xml:space="preserve">partha.jumech@gmail.com</w:t>
      </w:r>
    </w:p>
    <w:p>
      <w:pPr>
        <w:spacing w:before="240" w:after="100"/>
        <w:rPr>
          <w:b/>
          <w:color w:val="C00000"/>
          <w:sz w:val="30"/>
          <w:szCs w:val="30"/>
        </w:rPr>
      </w:pPr>
      <w:r>
        <w:rPr>
          <w:b/>
          <w:color w:val="C00000"/>
          <w:sz w:val="30"/>
          <w:szCs w:val="30"/>
        </w:rPr>
        <w:t xml:space="preserve">Image 45: Geothermal Resources: Exploring Opportunities for Mineral Extraction and Sustainable Development</w:t>
      </w:r>
    </w:p>
    <w:p>
      <w:pPr>
        <w:spacing w:before="0" w:after="60"/>
      </w:pPr>
      <w:r>
        <w:rPr>
          <w:b/>
        </w:rPr>
        <w:t xml:space="preserve">Publisher: </w:t>
      </w:r>
      <w:r>
        <w:t xml:space="preserve">Apple Academic Press (co-publishing with CRC Press / Taylor &amp; Francis Group) — Scopus indexed</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Bikram Jit Singh</w:t>
      </w:r>
    </w:p>
    <w:p>
      <w:pPr>
        <w:spacing w:before="0" w:after="40"/>
        <w:ind w:left="360"/>
        <w:rPr>
          <w:sz w:val="22"/>
          <w:szCs w:val="22"/>
        </w:rPr>
      </w:pPr>
      <w:r>
        <w:rPr>
          <w:sz w:val="22"/>
          <w:szCs w:val="22"/>
        </w:rPr>
        <w:t xml:space="preserve">•  Chadetrik Rout</w:t>
      </w:r>
    </w:p>
    <w:p>
      <w:pPr>
        <w:spacing w:before="0" w:after="40"/>
        <w:ind w:left="360"/>
        <w:rPr>
          <w:sz w:val="22"/>
          <w:szCs w:val="22"/>
        </w:rPr>
      </w:pPr>
      <w:r>
        <w:rPr>
          <w:sz w:val="22"/>
          <w:szCs w:val="22"/>
        </w:rPr>
        <w:t xml:space="preserve">•  Ashwani Kumar</w:t>
      </w:r>
    </w:p>
    <w:p>
      <w:pPr>
        <w:spacing w:before="0" w:after="40"/>
        <w:ind w:left="360"/>
        <w:rPr>
          <w:sz w:val="22"/>
          <w:szCs w:val="22"/>
        </w:rPr>
      </w:pPr>
      <w:r>
        <w:rPr>
          <w:sz w:val="22"/>
          <w:szCs w:val="22"/>
        </w:rPr>
        <w:t xml:space="preserve">•  Yogesh Singla</w:t>
      </w:r>
    </w:p>
    <w:p>
      <w:pPr>
        <w:spacing w:before="120" w:after="60"/>
        <w:rPr>
          <w:b/>
          <w:color w:val="1F3864"/>
          <w:sz w:val="24"/>
          <w:szCs w:val="24"/>
        </w:rPr>
      </w:pPr>
      <w:r>
        <w:rPr>
          <w:b/>
          <w:color w:val="1F3864"/>
          <w:sz w:val="24"/>
          <w:szCs w:val="24"/>
        </w:rPr>
        <w:t xml:space="preserve">Indicative Chapters</w:t>
      </w:r>
    </w:p>
    <w:p>
      <w:pPr>
        <w:spacing w:before="0" w:after="40"/>
        <w:ind w:left="360"/>
        <w:rPr>
          <w:sz w:val="22"/>
          <w:szCs w:val="22"/>
        </w:rPr>
      </w:pPr>
      <w:r>
        <w:rPr>
          <w:sz w:val="22"/>
          <w:szCs w:val="22"/>
        </w:rPr>
        <w:t xml:space="preserve">1. Geothermal Resources and Their Importance in Sustainability</w:t>
      </w:r>
    </w:p>
    <w:p>
      <w:pPr>
        <w:spacing w:before="0" w:after="40"/>
        <w:ind w:left="360"/>
        <w:rPr>
          <w:sz w:val="22"/>
          <w:szCs w:val="22"/>
        </w:rPr>
      </w:pPr>
      <w:r>
        <w:rPr>
          <w:sz w:val="22"/>
          <w:szCs w:val="22"/>
        </w:rPr>
        <w:t xml:space="preserve">2. Understanding Geothermal Energy: Principles and Applications</w:t>
      </w:r>
    </w:p>
    <w:p>
      <w:pPr>
        <w:spacing w:before="0" w:after="40"/>
        <w:ind w:left="360"/>
        <w:rPr>
          <w:sz w:val="22"/>
          <w:szCs w:val="22"/>
        </w:rPr>
      </w:pPr>
      <w:r>
        <w:rPr>
          <w:sz w:val="22"/>
          <w:szCs w:val="22"/>
        </w:rPr>
        <w:t xml:space="preserve">3. Geothermal Geology and Reservoir Characterization</w:t>
      </w:r>
    </w:p>
    <w:p>
      <w:pPr>
        <w:spacing w:before="0" w:after="40"/>
        <w:ind w:left="360"/>
        <w:rPr>
          <w:sz w:val="22"/>
          <w:szCs w:val="22"/>
        </w:rPr>
      </w:pPr>
      <w:r>
        <w:rPr>
          <w:sz w:val="22"/>
          <w:szCs w:val="22"/>
        </w:rPr>
        <w:t xml:space="preserve">4. Geothermal Resource Assessment: Methods and Technologies</w:t>
      </w:r>
    </w:p>
    <w:p>
      <w:pPr>
        <w:spacing w:before="0" w:after="40"/>
        <w:ind w:left="360"/>
        <w:rPr>
          <w:sz w:val="22"/>
          <w:szCs w:val="22"/>
        </w:rPr>
      </w:pPr>
      <w:r>
        <w:rPr>
          <w:sz w:val="22"/>
          <w:szCs w:val="22"/>
        </w:rPr>
        <w:t xml:space="preserve">5. GIS and Remote Sensing Applications in Geothermal Exploration and Resource Assessment</w:t>
      </w:r>
    </w:p>
    <w:p>
      <w:pPr>
        <w:spacing w:before="0" w:after="40"/>
        <w:ind w:left="360"/>
        <w:rPr>
          <w:sz w:val="22"/>
          <w:szCs w:val="22"/>
        </w:rPr>
      </w:pPr>
      <w:r>
        <w:rPr>
          <w:sz w:val="22"/>
          <w:szCs w:val="22"/>
        </w:rPr>
        <w:t xml:space="preserve">6. Innovative Technologies for Enhanced Geothermal Systems (EGS)</w:t>
      </w:r>
    </w:p>
    <w:p>
      <w:pPr>
        <w:spacing w:before="0" w:after="40"/>
        <w:ind w:left="360"/>
        <w:rPr>
          <w:sz w:val="22"/>
          <w:szCs w:val="22"/>
        </w:rPr>
      </w:pPr>
      <w:r>
        <w:rPr>
          <w:sz w:val="22"/>
          <w:szCs w:val="22"/>
        </w:rPr>
        <w:t xml:space="preserve">7. Geothermal Energy Storage: Opportunities and Challenges</w:t>
      </w:r>
    </w:p>
    <w:p>
      <w:pPr>
        <w:spacing w:before="0" w:after="40"/>
        <w:ind w:left="360"/>
        <w:rPr>
          <w:sz w:val="22"/>
          <w:szCs w:val="22"/>
        </w:rPr>
      </w:pPr>
      <w:r>
        <w:rPr>
          <w:sz w:val="22"/>
          <w:szCs w:val="22"/>
        </w:rPr>
        <w:t xml:space="preserve">8. Integrating Geothermal Energy with Other Renewable Sources</w:t>
      </w:r>
    </w:p>
    <w:p>
      <w:pPr>
        <w:spacing w:before="0" w:after="40"/>
        <w:ind w:left="360"/>
        <w:rPr>
          <w:sz w:val="22"/>
          <w:szCs w:val="22"/>
        </w:rPr>
      </w:pPr>
      <w:r>
        <w:rPr>
          <w:sz w:val="22"/>
          <w:szCs w:val="22"/>
        </w:rPr>
        <w:t xml:space="preserve">9. Mineral Extraction Techniques in Geothermal Systems and Regulatory Frameworks</w:t>
      </w:r>
    </w:p>
    <w:p>
      <w:pPr>
        <w:spacing w:before="0" w:after="40"/>
        <w:ind w:left="360"/>
        <w:rPr>
          <w:sz w:val="22"/>
          <w:szCs w:val="22"/>
        </w:rPr>
      </w:pPr>
      <w:r>
        <w:rPr>
          <w:sz w:val="22"/>
          <w:szCs w:val="22"/>
        </w:rPr>
        <w:t xml:space="preserve">10. Environmental Impacts of Geothermal Energy and Mineral Extraction</w:t>
      </w:r>
    </w:p>
    <w:p>
      <w:pPr>
        <w:spacing w:before="0" w:after="40"/>
        <w:ind w:left="360"/>
        <w:rPr>
          <w:sz w:val="22"/>
          <w:szCs w:val="22"/>
        </w:rPr>
      </w:pPr>
      <w:r>
        <w:rPr>
          <w:sz w:val="22"/>
          <w:szCs w:val="22"/>
        </w:rPr>
        <w:t xml:space="preserve">11. Health, Safety, and Risk Management in Geothermal Operations</w:t>
      </w:r>
    </w:p>
    <w:p>
      <w:pPr>
        <w:spacing w:before="0" w:after="40"/>
        <w:ind w:left="360"/>
        <w:rPr>
          <w:sz w:val="22"/>
          <w:szCs w:val="22"/>
        </w:rPr>
      </w:pPr>
      <w:r>
        <w:rPr>
          <w:sz w:val="22"/>
          <w:szCs w:val="22"/>
        </w:rPr>
        <w:t xml:space="preserve">12. Community Engagement and Social Impacts of Geothermal Projects</w:t>
      </w:r>
    </w:p>
    <w:p>
      <w:pPr>
        <w:spacing w:before="0" w:after="40"/>
        <w:ind w:left="360"/>
        <w:rPr>
          <w:sz w:val="22"/>
          <w:szCs w:val="22"/>
        </w:rPr>
      </w:pPr>
      <w:r>
        <w:rPr>
          <w:sz w:val="22"/>
          <w:szCs w:val="22"/>
        </w:rPr>
        <w:t xml:space="preserve">13. Carbon Capture, Utilization, and Storage (CCUS) with Geothermal Systems</w:t>
      </w:r>
    </w:p>
    <w:p>
      <w:pPr>
        <w:spacing w:before="0" w:after="40"/>
        <w:ind w:left="360"/>
        <w:rPr>
          <w:sz w:val="22"/>
          <w:szCs w:val="22"/>
        </w:rPr>
      </w:pPr>
      <w:r>
        <w:rPr>
          <w:sz w:val="22"/>
          <w:szCs w:val="22"/>
        </w:rPr>
        <w:t xml:space="preserve">14. Digitalization, AI, and Machine Learning in Geothermal Systems</w:t>
      </w:r>
    </w:p>
    <w:p>
      <w:pPr>
        <w:spacing w:before="0" w:after="40"/>
        <w:ind w:left="360"/>
        <w:rPr>
          <w:sz w:val="22"/>
          <w:szCs w:val="22"/>
        </w:rPr>
      </w:pPr>
      <w:r>
        <w:rPr>
          <w:sz w:val="22"/>
          <w:szCs w:val="22"/>
        </w:rPr>
        <w:t xml:space="preserve">15. Policy, Investment, and International Collaboration for Geothermal Development</w:t>
      </w:r>
    </w:p>
    <w:p>
      <w:pPr>
        <w:spacing w:before="0" w:after="40"/>
        <w:ind w:left="360"/>
        <w:rPr>
          <w:sz w:val="22"/>
          <w:szCs w:val="22"/>
        </w:rPr>
      </w:pPr>
      <w:r>
        <w:rPr>
          <w:sz w:val="22"/>
          <w:szCs w:val="22"/>
        </w:rPr>
        <w:t xml:space="preserve">16. Research and Development in Geothermal Technologies and Financing Geothermal Projects</w:t>
      </w:r>
    </w:p>
    <w:p>
      <w:pPr>
        <w:spacing w:before="0" w:after="40"/>
        <w:ind w:left="360"/>
        <w:rPr>
          <w:sz w:val="22"/>
          <w:szCs w:val="22"/>
        </w:rPr>
      </w:pPr>
      <w:r>
        <w:rPr>
          <w:sz w:val="22"/>
          <w:szCs w:val="22"/>
        </w:rPr>
        <w:t xml:space="preserve">17. Future Trends and Economic Viability of Geothermal Resources in Mineral Extraction</w:t>
      </w:r>
    </w:p>
    <w:p>
      <w:pPr>
        <w:spacing w:before="0" w:after="40"/>
        <w:ind w:left="360"/>
        <w:rPr>
          <w:sz w:val="22"/>
          <w:szCs w:val="22"/>
        </w:rPr>
      </w:pPr>
      <w:r>
        <w:rPr>
          <w:sz w:val="22"/>
          <w:szCs w:val="22"/>
        </w:rPr>
        <w:t xml:space="preserve">18. Global Perspectives on Geothermal Development: Best Practices</w:t>
      </w:r>
    </w:p>
    <w:p>
      <w:pPr>
        <w:spacing w:before="0" w:after="40"/>
        <w:ind w:left="360"/>
        <w:rPr>
          <w:sz w:val="22"/>
          <w:szCs w:val="22"/>
        </w:rPr>
      </w:pPr>
      <w:r>
        <w:rPr>
          <w:sz w:val="22"/>
          <w:szCs w:val="22"/>
        </w:rPr>
        <w:t xml:space="preserve">19. Geothermal Resources and Climate Change Mitigation Strategies</w:t>
      </w:r>
    </w:p>
    <w:p>
      <w:pPr>
        <w:spacing w:before="0" w:after="40"/>
        <w:ind w:left="360"/>
        <w:rPr>
          <w:sz w:val="22"/>
          <w:szCs w:val="22"/>
        </w:rPr>
      </w:pPr>
      <w:r>
        <w:rPr>
          <w:sz w:val="22"/>
          <w:szCs w:val="22"/>
        </w:rPr>
        <w:t xml:space="preserve">20. Pathways to Sustainable Development through Geothermal Resources</w:t>
      </w:r>
    </w:p>
    <w:p>
      <w:pPr>
        <w:spacing w:before="120" w:after="60"/>
        <w:rPr>
          <w:b/>
          <w:color w:val="1F3864"/>
          <w:sz w:val="24"/>
          <w:szCs w:val="24"/>
        </w:rPr>
      </w:pPr>
      <w:r>
        <w:rPr>
          <w:b/>
          <w:color w:val="1F3864"/>
          <w:sz w:val="24"/>
          <w:szCs w:val="24"/>
        </w:rPr>
        <w:t xml:space="preserve">Guidelines &amp; Important Dates</w:t>
      </w:r>
    </w:p>
    <w:p>
      <w:pPr>
        <w:spacing w:before="0" w:after="60"/>
      </w:pPr>
      <w:r>
        <w:rPr>
          <w:b/>
        </w:rPr>
        <w:t xml:space="preserve">Formatting: </w:t>
      </w:r>
      <w:r>
        <w:t xml:space="preserve">As per CRC Press guidelines; AI-generated/paraphrased content prohibited; Turnitin similarity index ≤10%</w:t>
      </w:r>
    </w:p>
    <w:p>
      <w:pPr>
        <w:spacing w:before="0" w:after="60"/>
      </w:pPr>
      <w:r>
        <w:rPr>
          <w:b/>
        </w:rPr>
        <w:t xml:space="preserve">Abstract Submission Deadline (200–300 words): </w:t>
      </w:r>
      <w:r>
        <w:t xml:space="preserve">October 30, 2026</w:t>
      </w:r>
    </w:p>
    <w:p>
      <w:pPr>
        <w:spacing w:before="0" w:after="60"/>
      </w:pPr>
      <w:r>
        <w:rPr>
          <w:b/>
        </w:rPr>
        <w:t xml:space="preserve">Notification of Acceptance: </w:t>
      </w:r>
      <w:r>
        <w:t xml:space="preserve">November 10, 2026</w:t>
      </w:r>
    </w:p>
    <w:p>
      <w:pPr>
        <w:spacing w:before="0" w:after="60"/>
      </w:pPr>
      <w:r>
        <w:rPr>
          <w:b/>
        </w:rPr>
        <w:t xml:space="preserve">Full Chapter (3000–5,000) Submission Due: </w:t>
      </w:r>
      <w:r>
        <w:t xml:space="preserve">On or before February 15, 2027</w:t>
      </w:r>
    </w:p>
    <w:p>
      <w:pPr>
        <w:spacing w:before="0" w:after="60"/>
      </w:pPr>
      <w:r>
        <w:rPr>
          <w:b/>
        </w:rPr>
        <w:t xml:space="preserve">Submit Abstract and Chapters: </w:t>
      </w:r>
      <w:r>
        <w:t xml:space="preserve">geothermalengineeringbook@gmail.com</w:t>
      </w:r>
    </w:p>
    <w:p>
      <w:pPr>
        <w:spacing w:before="240" w:after="100"/>
        <w:rPr>
          <w:b/>
          <w:color w:val="C00000"/>
          <w:sz w:val="30"/>
          <w:szCs w:val="30"/>
        </w:rPr>
      </w:pPr>
      <w:r>
        <w:rPr>
          <w:b/>
          <w:color w:val="C00000"/>
          <w:sz w:val="30"/>
          <w:szCs w:val="30"/>
        </w:rPr>
        <w:t xml:space="preserve">Image 46: Engineering Sustainable Food Systems: Green Processing, Agri-Food Valorization, and Sustainability Analytics</w:t>
      </w:r>
    </w:p>
    <w:p>
      <w:pPr>
        <w:spacing w:before="0" w:after="60"/>
      </w:pPr>
      <w:r>
        <w:rPr>
          <w:b/>
        </w:rPr>
        <w:t xml:space="preserve">Publisher: </w:t>
      </w:r>
      <w:r>
        <w:t xml:space="preserve">Elsevier (Edited Volume) — Call for Contributors</w:t>
      </w:r>
    </w:p>
    <w:p>
      <w:pPr>
        <w:spacing w:before="0" w:after="60"/>
      </w:pPr>
      <w:r>
        <w:rPr>
          <w:b/>
        </w:rPr>
        <w:t xml:space="preserve">Editor: </w:t>
      </w:r>
      <w:r>
        <w:t xml:space="preserve">Vassilis Athanasiadis, PhD — Postdoctoral Researcher in Food Technology, Dept. of Food Science and Nutrition, University of Thessaly, Karditsa, Greece</w:t>
      </w:r>
    </w:p>
    <w:p>
      <w:pPr>
        <w:spacing w:before="0" w:after="60"/>
      </w:pPr>
      <w:r>
        <w:rPr>
          <w:b/>
        </w:rPr>
        <w:t xml:space="preserve">Scope: </w:t>
      </w:r>
      <w:r>
        <w:t xml:space="preserve">A comprehensive reference work integrating green processing, agri-food valorization, analytical tools and global sustainability case studies</w:t>
      </w:r>
    </w:p>
    <w:p>
      <w:pPr>
        <w:spacing w:before="120" w:after="60"/>
        <w:rPr>
          <w:b/>
          <w:color w:val="1F3864"/>
          <w:sz w:val="24"/>
          <w:szCs w:val="24"/>
        </w:rPr>
      </w:pPr>
      <w:r>
        <w:rPr>
          <w:b/>
          <w:color w:val="1F3864"/>
          <w:sz w:val="24"/>
          <w:szCs w:val="24"/>
        </w:rPr>
        <w:t xml:space="preserve">Full Table of Contents</w:t>
      </w:r>
    </w:p>
    <w:p>
      <w:pPr>
        <w:spacing w:before="0" w:after="120"/>
        <w:rPr>
          <w:b/>
          <w:sz w:val="22"/>
          <w:szCs w:val="22"/>
        </w:rPr>
      </w:pPr>
      <w:r>
        <w:rPr>
          <w:b/>
          <w:sz w:val="22"/>
          <w:szCs w:val="22"/>
        </w:rPr>
        <w:t xml:space="preserve">Part I — Foundations of Sustainable Food Systems</w:t>
      </w:r>
    </w:p>
    <w:p>
      <w:pPr>
        <w:spacing w:before="0" w:after="40"/>
        <w:ind w:left="360"/>
        <w:rPr>
          <w:sz w:val="22"/>
          <w:szCs w:val="22"/>
        </w:rPr>
      </w:pPr>
      <w:r>
        <w:rPr>
          <w:sz w:val="22"/>
          <w:szCs w:val="22"/>
        </w:rPr>
        <w:t xml:space="preserve">1. Introduction to Sustainable Food Systems</w:t>
      </w:r>
    </w:p>
    <w:p>
      <w:pPr>
        <w:spacing w:before="0" w:after="40"/>
        <w:ind w:left="360"/>
        <w:rPr>
          <w:sz w:val="22"/>
          <w:szCs w:val="22"/>
        </w:rPr>
      </w:pPr>
      <w:r>
        <w:rPr>
          <w:sz w:val="22"/>
          <w:szCs w:val="22"/>
        </w:rPr>
        <w:t xml:space="preserve">2. Environmental &amp; Economic Drivers for Green Food Processing</w:t>
      </w:r>
    </w:p>
    <w:p>
      <w:pPr>
        <w:spacing w:before="0" w:after="40"/>
        <w:ind w:left="360"/>
        <w:rPr>
          <w:sz w:val="22"/>
          <w:szCs w:val="22"/>
        </w:rPr>
      </w:pPr>
      <w:r>
        <w:rPr>
          <w:sz w:val="22"/>
          <w:szCs w:val="22"/>
        </w:rPr>
        <w:t xml:space="preserve">3. Sustainability Metrics &amp; Analytical Approaches</w:t>
      </w:r>
    </w:p>
    <w:p>
      <w:pPr>
        <w:spacing w:before="0" w:after="120"/>
        <w:rPr>
          <w:b/>
          <w:sz w:val="22"/>
          <w:szCs w:val="22"/>
        </w:rPr>
      </w:pPr>
      <w:r>
        <w:rPr>
          <w:b/>
          <w:sz w:val="22"/>
          <w:szCs w:val="22"/>
        </w:rPr>
        <w:t xml:space="preserve">Part II — Green Processing Technologies</w:t>
      </w:r>
    </w:p>
    <w:p>
      <w:pPr>
        <w:spacing w:before="0" w:after="40"/>
        <w:ind w:left="360"/>
        <w:rPr>
          <w:sz w:val="22"/>
          <w:szCs w:val="22"/>
        </w:rPr>
      </w:pPr>
      <w:r>
        <w:rPr>
          <w:sz w:val="22"/>
          <w:szCs w:val="22"/>
        </w:rPr>
        <w:t xml:space="preserve">4. Non-thermal Processing (HPP, PEF, Ultrasound, RF, Cold Plasma)</w:t>
      </w:r>
    </w:p>
    <w:p>
      <w:pPr>
        <w:spacing w:before="0" w:after="40"/>
        <w:ind w:left="360"/>
        <w:rPr>
          <w:sz w:val="22"/>
          <w:szCs w:val="22"/>
        </w:rPr>
      </w:pPr>
      <w:r>
        <w:rPr>
          <w:sz w:val="22"/>
          <w:szCs w:val="22"/>
        </w:rPr>
        <w:t xml:space="preserve">5. Green Extraction Technologies (DES, NADES, Microwave, Ultrasound, SC-CO2)</w:t>
      </w:r>
    </w:p>
    <w:p>
      <w:pPr>
        <w:spacing w:before="0" w:after="40"/>
        <w:ind w:left="360"/>
        <w:rPr>
          <w:sz w:val="22"/>
          <w:szCs w:val="22"/>
        </w:rPr>
      </w:pPr>
      <w:r>
        <w:rPr>
          <w:sz w:val="22"/>
          <w:szCs w:val="22"/>
        </w:rPr>
        <w:t xml:space="preserve">6. Energy-Efficient Drying, Fermentation, Preservation &amp; Industry 5.0</w:t>
      </w:r>
    </w:p>
    <w:p>
      <w:pPr>
        <w:spacing w:before="0" w:after="120"/>
        <w:rPr>
          <w:b/>
          <w:sz w:val="22"/>
          <w:szCs w:val="22"/>
        </w:rPr>
      </w:pPr>
      <w:r>
        <w:rPr>
          <w:b/>
          <w:sz w:val="22"/>
          <w:szCs w:val="22"/>
        </w:rPr>
        <w:t xml:space="preserve">Part III — Valorization of Agri-Food Residues</w:t>
      </w:r>
    </w:p>
    <w:p>
      <w:pPr>
        <w:spacing w:before="0" w:after="40"/>
        <w:ind w:left="360"/>
        <w:rPr>
          <w:sz w:val="22"/>
          <w:szCs w:val="22"/>
        </w:rPr>
      </w:pPr>
      <w:r>
        <w:rPr>
          <w:sz w:val="22"/>
          <w:szCs w:val="22"/>
        </w:rPr>
        <w:t xml:space="preserve">7. Bioactive Compound Recovery</w:t>
      </w:r>
    </w:p>
    <w:p>
      <w:pPr>
        <w:spacing w:before="0" w:after="40"/>
        <w:ind w:left="360"/>
        <w:rPr>
          <w:sz w:val="22"/>
          <w:szCs w:val="22"/>
        </w:rPr>
      </w:pPr>
      <w:r>
        <w:rPr>
          <w:sz w:val="22"/>
          <w:szCs w:val="22"/>
        </w:rPr>
        <w:t xml:space="preserve">8. Upcycling of Plant &amp; Animal By-Products</w:t>
      </w:r>
    </w:p>
    <w:p>
      <w:pPr>
        <w:spacing w:before="0" w:after="40"/>
        <w:ind w:left="360"/>
        <w:rPr>
          <w:sz w:val="22"/>
          <w:szCs w:val="22"/>
        </w:rPr>
      </w:pPr>
      <w:r>
        <w:rPr>
          <w:sz w:val="22"/>
          <w:szCs w:val="22"/>
        </w:rPr>
        <w:t xml:space="preserve">9. Circular Economy Models in Food Systems (Including Developing Countries)</w:t>
      </w:r>
    </w:p>
    <w:p>
      <w:pPr>
        <w:spacing w:before="0" w:after="120"/>
        <w:rPr>
          <w:b/>
          <w:sz w:val="22"/>
          <w:szCs w:val="22"/>
        </w:rPr>
      </w:pPr>
      <w:r>
        <w:rPr>
          <w:b/>
          <w:sz w:val="22"/>
          <w:szCs w:val="22"/>
        </w:rPr>
        <w:t xml:space="preserve">Part IV — Analytical Tools for Quality &amp; Sustainability</w:t>
      </w:r>
    </w:p>
    <w:p>
      <w:pPr>
        <w:spacing w:before="0" w:after="40"/>
        <w:ind w:left="360"/>
        <w:rPr>
          <w:sz w:val="22"/>
          <w:szCs w:val="22"/>
        </w:rPr>
      </w:pPr>
      <w:r>
        <w:rPr>
          <w:sz w:val="22"/>
          <w:szCs w:val="22"/>
        </w:rPr>
        <w:t xml:space="preserve">10. Chemical &amp; Functional Characterization of Food Ingredients</w:t>
      </w:r>
    </w:p>
    <w:p>
      <w:pPr>
        <w:spacing w:before="0" w:after="40"/>
        <w:ind w:left="360"/>
        <w:rPr>
          <w:sz w:val="22"/>
          <w:szCs w:val="22"/>
        </w:rPr>
      </w:pPr>
      <w:r>
        <w:rPr>
          <w:sz w:val="22"/>
          <w:szCs w:val="22"/>
        </w:rPr>
        <w:t xml:space="preserve">11. Life Cycle Thinking, Environmental Assessment &amp; Techno-Economic Analysis</w:t>
      </w:r>
    </w:p>
    <w:p>
      <w:pPr>
        <w:spacing w:before="0" w:after="40"/>
        <w:ind w:left="360"/>
        <w:rPr>
          <w:sz w:val="22"/>
          <w:szCs w:val="22"/>
        </w:rPr>
      </w:pPr>
      <w:r>
        <w:rPr>
          <w:sz w:val="22"/>
          <w:szCs w:val="22"/>
        </w:rPr>
        <w:t xml:space="preserve">12. Digital Tools &amp; Data-Driven Approaches</w:t>
      </w:r>
    </w:p>
    <w:p>
      <w:pPr>
        <w:spacing w:before="0" w:after="120"/>
        <w:rPr>
          <w:b/>
          <w:sz w:val="22"/>
          <w:szCs w:val="22"/>
        </w:rPr>
      </w:pPr>
      <w:r>
        <w:rPr>
          <w:b/>
          <w:sz w:val="22"/>
          <w:szCs w:val="22"/>
        </w:rPr>
        <w:t xml:space="preserve">Part V — Global Case Studies &amp; Future Perspectives</w:t>
      </w:r>
    </w:p>
    <w:p>
      <w:pPr>
        <w:spacing w:before="0" w:after="40"/>
        <w:ind w:left="360"/>
        <w:rPr>
          <w:sz w:val="22"/>
          <w:szCs w:val="22"/>
        </w:rPr>
      </w:pPr>
      <w:r>
        <w:rPr>
          <w:sz w:val="22"/>
          <w:szCs w:val="22"/>
        </w:rPr>
        <w:t xml:space="preserve">13. Case Studies from Europe, Asia, Africa &amp; the Americas</w:t>
      </w:r>
    </w:p>
    <w:p>
      <w:pPr>
        <w:spacing w:before="0" w:after="40"/>
        <w:ind w:left="360"/>
        <w:rPr>
          <w:sz w:val="22"/>
          <w:szCs w:val="22"/>
        </w:rPr>
      </w:pPr>
      <w:r>
        <w:rPr>
          <w:sz w:val="22"/>
          <w:szCs w:val="22"/>
        </w:rPr>
        <w:t xml:space="preserve">14. Future Directions in Sustainable Food Systems</w:t>
      </w:r>
    </w:p>
    <w:p>
      <w:pPr>
        <w:spacing w:before="120" w:after="60"/>
        <w:rPr>
          <w:b/>
          <w:color w:val="1F3864"/>
          <w:sz w:val="24"/>
          <w:szCs w:val="24"/>
        </w:rPr>
      </w:pPr>
      <w:r>
        <w:rPr>
          <w:b/>
          <w:color w:val="1F3864"/>
          <w:sz w:val="24"/>
          <w:szCs w:val="24"/>
        </w:rPr>
        <w:t xml:space="preserve">Key Dates</w:t>
      </w:r>
    </w:p>
    <w:p>
      <w:pPr>
        <w:spacing w:before="0" w:after="60"/>
      </w:pPr>
      <w:r>
        <w:rPr>
          <w:b/>
        </w:rPr>
        <w:t xml:space="preserve">Contributor List &amp; Final ToC: </w:t>
      </w:r>
      <w:r>
        <w:t xml:space="preserve">1 October 2026</w:t>
      </w:r>
    </w:p>
    <w:p>
      <w:pPr>
        <w:spacing w:before="0" w:after="60"/>
      </w:pPr>
      <w:r>
        <w:rPr>
          <w:b/>
        </w:rPr>
        <w:t xml:space="preserve">Final Chapter Submission: </w:t>
      </w:r>
      <w:r>
        <w:t xml:space="preserve">15 January 2028</w:t>
      </w:r>
    </w:p>
    <w:p>
      <w:pPr>
        <w:spacing w:before="0" w:after="60"/>
      </w:pPr>
      <w:r>
        <w:rPr>
          <w:b/>
        </w:rPr>
        <w:t xml:space="preserve">Contact: </w:t>
      </w:r>
      <w:r>
        <w:t xml:space="preserve">vaathanasiadis@uth.gr</w:t>
      </w:r>
    </w:p>
    <w:p>
      <w:pPr>
        <w:spacing w:before="240" w:after="100"/>
        <w:rPr>
          <w:b/>
          <w:color w:val="C00000"/>
          <w:sz w:val="30"/>
          <w:szCs w:val="30"/>
        </w:rPr>
      </w:pPr>
      <w:r>
        <w:rPr>
          <w:b/>
          <w:color w:val="C00000"/>
          <w:sz w:val="30"/>
          <w:szCs w:val="30"/>
        </w:rPr>
        <w:t xml:space="preserve">Image 47: AI-Enabled Smart Grids for Energy Optimization and Fault Prediction</w:t>
      </w:r>
    </w:p>
    <w:p>
      <w:pPr>
        <w:spacing w:before="0" w:after="60"/>
      </w:pPr>
      <w:r>
        <w:rPr>
          <w:b/>
        </w:rPr>
        <w:t xml:space="preserve">Publisher: </w:t>
      </w:r>
      <w:r>
        <w:t xml:space="preserve">Apple Academic Press / CRC Press (Taylor &amp; Francis Group) — Scopus indexed</w:t>
      </w:r>
    </w:p>
    <w:p>
      <w:pPr>
        <w:spacing w:before="0" w:after="60"/>
      </w:pPr>
      <w:r>
        <w:rPr>
          <w:b/>
        </w:rPr>
        <w:t xml:space="preserve">Series: </w:t>
      </w:r>
      <w:r>
        <w:t xml:space="preserve">AAP Advances in Artificial Intelligence and Robotics</w:t>
      </w:r>
    </w:p>
    <w:p>
      <w:pPr>
        <w:spacing w:before="120" w:after="60"/>
        <w:rPr>
          <w:b/>
          <w:color w:val="1F3864"/>
          <w:sz w:val="24"/>
          <w:szCs w:val="24"/>
        </w:rPr>
      </w:pPr>
      <w:r>
        <w:rPr>
          <w:b/>
          <w:color w:val="1F3864"/>
          <w:sz w:val="24"/>
          <w:szCs w:val="24"/>
        </w:rPr>
        <w:t xml:space="preserve">Overview</w:t>
      </w:r>
    </w:p>
    <w:p>
      <w:pPr>
        <w:spacing w:before="0" w:after="80"/>
        <w:rPr>
          <w:sz w:val="22"/>
          <w:szCs w:val="22"/>
        </w:rPr>
      </w:pPr>
      <w:r>
        <w:rPr>
          <w:sz w:val="22"/>
          <w:szCs w:val="22"/>
        </w:rPr>
        <w:t xml:space="preserve">This volume seeks original contributions on integrating AI technologies in the modernization of smart electrical grids, inviting research papers and case studies on advanced optimization techniques, fault prediction models and sustainable energy management strategies. Global contributions welcome. (Content rephrased for compliance.)</w:t>
      </w:r>
    </w:p>
    <w:p>
      <w:pPr>
        <w:spacing w:before="120" w:after="60"/>
        <w:rPr>
          <w:b/>
          <w:color w:val="1F3864"/>
          <w:sz w:val="24"/>
          <w:szCs w:val="24"/>
        </w:rPr>
      </w:pPr>
      <w:r>
        <w:rPr>
          <w:b/>
          <w:color w:val="1F3864"/>
          <w:sz w:val="24"/>
          <w:szCs w:val="24"/>
        </w:rPr>
        <w:t xml:space="preserve">Recommended Topics (Not Limited To)</w:t>
      </w:r>
    </w:p>
    <w:p>
      <w:pPr>
        <w:spacing w:before="0" w:after="40"/>
        <w:ind w:left="360"/>
        <w:rPr>
          <w:sz w:val="22"/>
          <w:szCs w:val="22"/>
        </w:rPr>
      </w:pPr>
      <w:r>
        <w:rPr>
          <w:sz w:val="22"/>
          <w:szCs w:val="22"/>
        </w:rPr>
        <w:t xml:space="preserve">•  AI-driven Energy Management Systems</w:t>
      </w:r>
    </w:p>
    <w:p>
      <w:pPr>
        <w:spacing w:before="0" w:after="40"/>
        <w:ind w:left="360"/>
        <w:rPr>
          <w:sz w:val="22"/>
          <w:szCs w:val="22"/>
        </w:rPr>
      </w:pPr>
      <w:r>
        <w:rPr>
          <w:sz w:val="22"/>
          <w:szCs w:val="22"/>
        </w:rPr>
        <w:t xml:space="preserve">•  Fault Detection and Diagnosis in Smart Grids</w:t>
      </w:r>
    </w:p>
    <w:p>
      <w:pPr>
        <w:spacing w:before="0" w:after="40"/>
        <w:ind w:left="360"/>
        <w:rPr>
          <w:sz w:val="22"/>
          <w:szCs w:val="22"/>
        </w:rPr>
      </w:pPr>
      <w:r>
        <w:rPr>
          <w:sz w:val="22"/>
          <w:szCs w:val="22"/>
        </w:rPr>
        <w:t xml:space="preserve">•  Renewable Energy Integration and Forecasting</w:t>
      </w:r>
    </w:p>
    <w:p>
      <w:pPr>
        <w:spacing w:before="0" w:after="40"/>
        <w:ind w:left="360"/>
        <w:rPr>
          <w:sz w:val="22"/>
          <w:szCs w:val="22"/>
        </w:rPr>
      </w:pPr>
      <w:r>
        <w:rPr>
          <w:sz w:val="22"/>
          <w:szCs w:val="22"/>
        </w:rPr>
        <w:t xml:space="preserve">•  Cyber-Security for Smart Grids</w:t>
      </w:r>
    </w:p>
    <w:p>
      <w:pPr>
        <w:spacing w:before="0" w:after="40"/>
        <w:ind w:left="360"/>
        <w:rPr>
          <w:sz w:val="22"/>
          <w:szCs w:val="22"/>
        </w:rPr>
      </w:pPr>
      <w:r>
        <w:rPr>
          <w:sz w:val="22"/>
          <w:szCs w:val="22"/>
        </w:rPr>
        <w:t xml:space="preserve">•  Machine Learning in Power Systems</w:t>
      </w:r>
    </w:p>
    <w:p>
      <w:pPr>
        <w:spacing w:before="0" w:after="40"/>
        <w:ind w:left="360"/>
        <w:rPr>
          <w:sz w:val="22"/>
          <w:szCs w:val="22"/>
        </w:rPr>
      </w:pPr>
      <w:r>
        <w:rPr>
          <w:sz w:val="22"/>
          <w:szCs w:val="22"/>
        </w:rPr>
        <w:t xml:space="preserve">•  IoT and Big Data Analytics</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Dr. Mudassir Khan</w:t>
      </w:r>
    </w:p>
    <w:p>
      <w:pPr>
        <w:spacing w:before="0" w:after="40"/>
        <w:ind w:left="360"/>
        <w:rPr>
          <w:sz w:val="22"/>
          <w:szCs w:val="22"/>
        </w:rPr>
      </w:pPr>
      <w:r>
        <w:rPr>
          <w:sz w:val="22"/>
          <w:szCs w:val="22"/>
        </w:rPr>
        <w:t xml:space="preserve">•  Dr. Ayodeji Olalekan Salau</w:t>
      </w:r>
    </w:p>
    <w:p>
      <w:pPr>
        <w:spacing w:before="0" w:after="40"/>
        <w:ind w:left="360"/>
        <w:rPr>
          <w:sz w:val="22"/>
          <w:szCs w:val="22"/>
        </w:rPr>
      </w:pPr>
      <w:r>
        <w:rPr>
          <w:sz w:val="22"/>
          <w:szCs w:val="22"/>
        </w:rPr>
        <w:t xml:space="preserve">•  Dr. Rajesh De</w:t>
      </w:r>
    </w:p>
    <w:p>
      <w:pPr>
        <w:spacing w:before="0" w:after="40"/>
        <w:ind w:left="360"/>
        <w:rPr>
          <w:sz w:val="22"/>
          <w:szCs w:val="22"/>
        </w:rPr>
      </w:pPr>
      <w:r>
        <w:rPr>
          <w:sz w:val="22"/>
          <w:szCs w:val="22"/>
        </w:rPr>
        <w:t xml:space="preserve">•  Dr. Rupali Atul Mahajan</w:t>
      </w:r>
    </w:p>
    <w:p>
      <w:pPr>
        <w:spacing w:before="120" w:after="60"/>
        <w:rPr>
          <w:b/>
          <w:color w:val="1F3864"/>
          <w:sz w:val="24"/>
          <w:szCs w:val="24"/>
        </w:rPr>
      </w:pPr>
      <w:r>
        <w:rPr>
          <w:b/>
          <w:color w:val="1F3864"/>
          <w:sz w:val="24"/>
          <w:szCs w:val="24"/>
        </w:rPr>
        <w:t xml:space="preserve">Submission Guidelines &amp; Important Dates</w:t>
      </w:r>
    </w:p>
    <w:p>
      <w:pPr>
        <w:spacing w:before="0" w:after="60"/>
      </w:pPr>
      <w:r>
        <w:rPr>
          <w:b/>
        </w:rPr>
        <w:t xml:space="preserve">Submission Deadline: </w:t>
      </w:r>
      <w:r>
        <w:t xml:space="preserve">August 2027</w:t>
      </w:r>
    </w:p>
    <w:p>
      <w:pPr>
        <w:spacing w:before="0" w:after="60"/>
      </w:pPr>
      <w:r>
        <w:rPr>
          <w:b/>
        </w:rPr>
        <w:t xml:space="preserve">Chapter Length: </w:t>
      </w:r>
      <w:r>
        <w:t xml:space="preserve">10–15 pages (approx. 3,000–5,000 words)</w:t>
      </w:r>
    </w:p>
    <w:p>
      <w:pPr>
        <w:spacing w:before="0" w:after="60"/>
      </w:pPr>
      <w:r>
        <w:rPr>
          <w:b/>
        </w:rPr>
        <w:t xml:space="preserve">Format: </w:t>
      </w:r>
      <w:r>
        <w:t xml:space="preserve">11 point font, Times New Roman, 1.5 line spacing</w:t>
      </w:r>
    </w:p>
    <w:p>
      <w:pPr>
        <w:spacing w:before="0" w:after="60"/>
      </w:pPr>
      <w:r>
        <w:rPr>
          <w:b/>
        </w:rPr>
        <w:t xml:space="preserve">Submit Proposals &amp; Inquiries: </w:t>
      </w:r>
      <w:r>
        <w:t xml:space="preserve">rrmresearch25@gmail.com</w:t>
      </w:r>
    </w:p>
    <w:p>
      <w:pPr>
        <w:spacing w:before="240" w:after="100"/>
        <w:rPr>
          <w:b/>
          <w:color w:val="C00000"/>
          <w:sz w:val="30"/>
          <w:szCs w:val="30"/>
        </w:rPr>
      </w:pPr>
      <w:r>
        <w:rPr>
          <w:b/>
          <w:color w:val="C00000"/>
          <w:sz w:val="30"/>
          <w:szCs w:val="30"/>
        </w:rPr>
        <w:t xml:space="preserve">Image 48: Innovations in Neuropharmacology: From Molecular Targets to Clinical Applications</w:t>
      </w:r>
    </w:p>
    <w:p>
      <w:pPr>
        <w:spacing w:before="0" w:after="60"/>
      </w:pPr>
      <w:r>
        <w:rPr>
          <w:b/>
        </w:rPr>
        <w:t xml:space="preserve">Publisher: </w:t>
      </w:r>
      <w:r>
        <w:t xml:space="preserve">Bentham Science — Book will be submitted to Scopus for indexing</w:t>
      </w:r>
    </w:p>
    <w:p>
      <w:pPr>
        <w:spacing w:before="0" w:after="60"/>
      </w:pPr>
      <w:r>
        <w:rPr>
          <w:b/>
        </w:rPr>
        <w:t xml:space="preserve">Charges: </w:t>
      </w:r>
      <w:r>
        <w:t xml:space="preserve">No Article Processing Fee</w:t>
      </w:r>
    </w:p>
    <w:p>
      <w:pPr>
        <w:spacing w:before="120" w:after="60"/>
        <w:rPr>
          <w:b/>
          <w:color w:val="1F3864"/>
          <w:sz w:val="24"/>
          <w:szCs w:val="24"/>
        </w:rPr>
      </w:pPr>
      <w:r>
        <w:rPr>
          <w:b/>
          <w:color w:val="1F3864"/>
          <w:sz w:val="24"/>
          <w:szCs w:val="24"/>
        </w:rPr>
        <w:t xml:space="preserve">Proposed Chapters</w:t>
      </w:r>
    </w:p>
    <w:p>
      <w:pPr>
        <w:spacing w:before="0" w:after="120"/>
        <w:rPr>
          <w:b/>
          <w:sz w:val="22"/>
          <w:szCs w:val="22"/>
        </w:rPr>
      </w:pPr>
      <w:r>
        <w:rPr>
          <w:b/>
          <w:sz w:val="22"/>
          <w:szCs w:val="22"/>
        </w:rPr>
        <w:t xml:space="preserve">Section I: Molecular Foundations &amp; Emerging Targets</w:t>
      </w:r>
    </w:p>
    <w:p>
      <w:pPr>
        <w:spacing w:before="0" w:after="40"/>
        <w:ind w:left="360"/>
        <w:rPr>
          <w:sz w:val="22"/>
          <w:szCs w:val="22"/>
        </w:rPr>
      </w:pPr>
      <w:r>
        <w:rPr>
          <w:sz w:val="22"/>
          <w:szCs w:val="22"/>
        </w:rPr>
        <w:t xml:space="preserve">1. Neuropharmacology in the 21st Century: Scope, Challenges, Emerging Targets and Opportunities</w:t>
      </w:r>
    </w:p>
    <w:p>
      <w:pPr>
        <w:spacing w:before="0" w:after="40"/>
        <w:ind w:left="360"/>
        <w:rPr>
          <w:sz w:val="22"/>
          <w:szCs w:val="22"/>
        </w:rPr>
      </w:pPr>
      <w:r>
        <w:rPr>
          <w:sz w:val="22"/>
          <w:szCs w:val="22"/>
        </w:rPr>
        <w:t xml:space="preserve">2. Neurotransmitter Systems, Synaptic Signaling and Neuroinflammation</w:t>
      </w:r>
    </w:p>
    <w:p>
      <w:pPr>
        <w:spacing w:before="0" w:after="40"/>
        <w:ind w:left="360"/>
        <w:rPr>
          <w:sz w:val="22"/>
          <w:szCs w:val="22"/>
        </w:rPr>
      </w:pPr>
      <w:r>
        <w:rPr>
          <w:sz w:val="22"/>
          <w:szCs w:val="22"/>
        </w:rPr>
        <w:t xml:space="preserve">3. Blood–Brain Barrier, Drug Delivery and Nanotechnology-Based CNS Therapeutics</w:t>
      </w:r>
    </w:p>
    <w:p>
      <w:pPr>
        <w:spacing w:before="0" w:after="40"/>
        <w:ind w:left="360"/>
        <w:rPr>
          <w:sz w:val="22"/>
          <w:szCs w:val="22"/>
        </w:rPr>
      </w:pPr>
      <w:r>
        <w:rPr>
          <w:sz w:val="22"/>
          <w:szCs w:val="22"/>
        </w:rPr>
        <w:t xml:space="preserve">4. Epigenetics, Neuropharmacogenomics and Precision Neuropharmacology</w:t>
      </w:r>
    </w:p>
    <w:p>
      <w:pPr>
        <w:spacing w:before="0" w:after="120"/>
        <w:rPr>
          <w:b/>
          <w:sz w:val="22"/>
          <w:szCs w:val="22"/>
        </w:rPr>
      </w:pPr>
      <w:r>
        <w:rPr>
          <w:b/>
          <w:sz w:val="22"/>
          <w:szCs w:val="22"/>
        </w:rPr>
        <w:t xml:space="preserve">Section II: Advanced Drug Discovery &amp; Technological Innovations</w:t>
      </w:r>
    </w:p>
    <w:p>
      <w:pPr>
        <w:spacing w:before="0" w:after="40"/>
        <w:ind w:left="360"/>
        <w:rPr>
          <w:sz w:val="22"/>
          <w:szCs w:val="22"/>
        </w:rPr>
      </w:pPr>
      <w:r>
        <w:rPr>
          <w:sz w:val="22"/>
          <w:szCs w:val="22"/>
        </w:rPr>
        <w:t xml:space="preserve">5. Structure-Based Drug Design, QSAR and Artificial Intelligence in CNS Drug Discovery</w:t>
      </w:r>
    </w:p>
    <w:p>
      <w:pPr>
        <w:spacing w:before="0" w:after="40"/>
        <w:ind w:left="360"/>
        <w:rPr>
          <w:sz w:val="22"/>
          <w:szCs w:val="22"/>
        </w:rPr>
      </w:pPr>
      <w:r>
        <w:rPr>
          <w:sz w:val="22"/>
          <w:szCs w:val="22"/>
        </w:rPr>
        <w:t xml:space="preserve">6. Pharmacokinetics, Pharmacodynamics and Translational Drug Development in Neuropharmacology</w:t>
      </w:r>
    </w:p>
    <w:p>
      <w:pPr>
        <w:spacing w:before="0" w:after="120"/>
        <w:rPr>
          <w:b/>
          <w:sz w:val="22"/>
          <w:szCs w:val="22"/>
        </w:rPr>
      </w:pPr>
      <w:r>
        <w:rPr>
          <w:b/>
          <w:sz w:val="22"/>
          <w:szCs w:val="22"/>
        </w:rPr>
        <w:t xml:space="preserve">Section III: Disease-Oriented Neuropharmacology</w:t>
      </w:r>
    </w:p>
    <w:p>
      <w:pPr>
        <w:spacing w:before="0" w:after="40"/>
        <w:ind w:left="360"/>
        <w:rPr>
          <w:sz w:val="22"/>
          <w:szCs w:val="22"/>
        </w:rPr>
      </w:pPr>
      <w:r>
        <w:rPr>
          <w:sz w:val="22"/>
          <w:szCs w:val="22"/>
        </w:rPr>
        <w:t xml:space="preserve">7. Neurodegenerative Disorders: Emerging Targets and Multi-Target Therapeutic Strategies</w:t>
      </w:r>
    </w:p>
    <w:p>
      <w:pPr>
        <w:spacing w:before="0" w:after="40"/>
        <w:ind w:left="360"/>
        <w:rPr>
          <w:sz w:val="22"/>
          <w:szCs w:val="22"/>
        </w:rPr>
      </w:pPr>
      <w:r>
        <w:rPr>
          <w:sz w:val="22"/>
          <w:szCs w:val="22"/>
        </w:rPr>
        <w:t xml:space="preserve">8. Psychiatric Disorders, Pain and Epilepsy: Contemporary Advances in CNS Pharmacotherapy</w:t>
      </w:r>
    </w:p>
    <w:p>
      <w:pPr>
        <w:spacing w:before="0" w:after="40"/>
        <w:ind w:left="360"/>
        <w:rPr>
          <w:sz w:val="22"/>
          <w:szCs w:val="22"/>
        </w:rPr>
      </w:pPr>
      <w:r>
        <w:rPr>
          <w:sz w:val="22"/>
          <w:szCs w:val="22"/>
        </w:rPr>
        <w:t xml:space="preserve">9. Stroke and CNS Injury: Neuroprotection, Neuroinflammation and Regenerative Therapeutics</w:t>
      </w:r>
    </w:p>
    <w:p>
      <w:pPr>
        <w:spacing w:before="0" w:after="120"/>
        <w:rPr>
          <w:b/>
          <w:sz w:val="22"/>
          <w:szCs w:val="22"/>
        </w:rPr>
      </w:pPr>
      <w:r>
        <w:rPr>
          <w:b/>
          <w:sz w:val="22"/>
          <w:szCs w:val="22"/>
        </w:rPr>
        <w:t xml:space="preserve">Section IV: Translational &amp; Clinical Neuropharmacology</w:t>
      </w:r>
    </w:p>
    <w:p>
      <w:pPr>
        <w:spacing w:before="0" w:after="40"/>
        <w:ind w:left="360"/>
        <w:rPr>
          <w:sz w:val="22"/>
          <w:szCs w:val="22"/>
        </w:rPr>
      </w:pPr>
      <w:r>
        <w:rPr>
          <w:sz w:val="22"/>
          <w:szCs w:val="22"/>
        </w:rPr>
        <w:t xml:space="preserve">10. Clinical Translation, Regulatory Challenges and Future Perspectives in Neuropharmacology</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Prof. (Dr.) Deepika Paliwal — School of Medical &amp; Allied Sciences, Galgotias University, Uttar Pradesh, India</w:t>
      </w:r>
    </w:p>
    <w:p>
      <w:pPr>
        <w:spacing w:before="0" w:after="40"/>
        <w:ind w:left="360"/>
        <w:rPr>
          <w:sz w:val="22"/>
          <w:szCs w:val="22"/>
        </w:rPr>
      </w:pPr>
      <w:r>
        <w:rPr>
          <w:sz w:val="22"/>
          <w:szCs w:val="22"/>
        </w:rPr>
        <w:t xml:space="preserve">•  Aman Thakur — Adarsh Vijendra Institute of Pharmaceutical Sciences, Shobhit University, Gangoh, Saharanpur, Uttar Pradesh, India</w:t>
      </w:r>
    </w:p>
    <w:p>
      <w:pPr>
        <w:spacing w:before="0" w:after="40"/>
        <w:ind w:left="360"/>
        <w:rPr>
          <w:sz w:val="22"/>
          <w:szCs w:val="22"/>
        </w:rPr>
      </w:pPr>
      <w:r>
        <w:rPr>
          <w:sz w:val="22"/>
          <w:szCs w:val="22"/>
        </w:rPr>
        <w:t xml:space="preserve">•  Prof. (Dr.) Ranjit Singh — Adarsh Vijendra Institute of Pharmaceutical Sciences, Shobhit University, Gangoh, Saharanpur, Uttar Pradesh, India</w:t>
      </w:r>
    </w:p>
    <w:p>
      <w:pPr>
        <w:spacing w:before="0" w:after="40"/>
        <w:ind w:left="360"/>
        <w:rPr>
          <w:sz w:val="22"/>
          <w:szCs w:val="22"/>
        </w:rPr>
      </w:pPr>
      <w:r>
        <w:rPr>
          <w:sz w:val="22"/>
          <w:szCs w:val="22"/>
        </w:rPr>
        <w:t xml:space="preserve">•  Saurabh Singh — School of Pharmaceutical Sciences, CT University, Ludhiana, Punjab, India</w:t>
      </w:r>
    </w:p>
    <w:p>
      <w:pPr>
        <w:spacing w:before="120" w:after="60"/>
        <w:rPr>
          <w:b/>
          <w:color w:val="1F3864"/>
          <w:sz w:val="24"/>
          <w:szCs w:val="24"/>
        </w:rPr>
      </w:pPr>
      <w:r>
        <w:rPr>
          <w:b/>
          <w:color w:val="1F3864"/>
          <w:sz w:val="24"/>
          <w:szCs w:val="24"/>
        </w:rPr>
        <w:t xml:space="preserve">Guidelines for Submission</w:t>
      </w:r>
    </w:p>
    <w:p>
      <w:pPr>
        <w:spacing w:before="0" w:after="40"/>
        <w:ind w:left="360"/>
        <w:rPr>
          <w:sz w:val="22"/>
          <w:szCs w:val="22"/>
        </w:rPr>
      </w:pPr>
      <w:r>
        <w:rPr>
          <w:sz w:val="22"/>
          <w:szCs w:val="22"/>
        </w:rPr>
        <w:t xml:space="preserve">•  Original and unpublished work only; 8,000–10,000 words (including references)</w:t>
      </w:r>
    </w:p>
    <w:p>
      <w:pPr>
        <w:spacing w:before="0" w:after="40"/>
        <w:ind w:left="360"/>
        <w:rPr>
          <w:sz w:val="22"/>
          <w:szCs w:val="22"/>
        </w:rPr>
      </w:pPr>
      <w:r>
        <w:rPr>
          <w:sz w:val="22"/>
          <w:szCs w:val="22"/>
        </w:rPr>
        <w:t xml:space="preserve">•  MS-Word format; Vancouver referencing style</w:t>
      </w:r>
    </w:p>
    <w:p>
      <w:pPr>
        <w:spacing w:before="0" w:after="40"/>
        <w:ind w:left="360"/>
        <w:rPr>
          <w:sz w:val="22"/>
          <w:szCs w:val="22"/>
        </w:rPr>
      </w:pPr>
      <w:r>
        <w:rPr>
          <w:sz w:val="22"/>
          <w:szCs w:val="22"/>
        </w:rPr>
        <w:t xml:space="preserve">•  Minimum figures: 2; minimum tables: 2</w:t>
      </w:r>
    </w:p>
    <w:p>
      <w:pPr>
        <w:spacing w:before="0" w:after="40"/>
        <w:ind w:left="360"/>
        <w:rPr>
          <w:sz w:val="22"/>
          <w:szCs w:val="22"/>
        </w:rPr>
      </w:pPr>
      <w:r>
        <w:rPr>
          <w:sz w:val="22"/>
          <w:szCs w:val="22"/>
        </w:rPr>
        <w:t xml:space="preserve">•  Corresponding author should have H-index greater than 10</w:t>
      </w:r>
    </w:p>
    <w:p>
      <w:pPr>
        <w:spacing w:before="0" w:after="40"/>
        <w:ind w:left="360"/>
        <w:rPr>
          <w:sz w:val="22"/>
          <w:szCs w:val="22"/>
        </w:rPr>
      </w:pPr>
      <w:r>
        <w:rPr>
          <w:sz w:val="22"/>
          <w:szCs w:val="22"/>
        </w:rPr>
        <w:t xml:space="preserve">•  Plagiarism less than 10%; AI should be 0%</w:t>
      </w:r>
    </w:p>
    <w:p>
      <w:pPr>
        <w:spacing w:before="120" w:after="60"/>
        <w:rPr>
          <w:b/>
          <w:color w:val="1F3864"/>
          <w:sz w:val="24"/>
          <w:szCs w:val="24"/>
        </w:rPr>
      </w:pPr>
      <w:r>
        <w:rPr>
          <w:b/>
          <w:color w:val="1F3864"/>
          <w:sz w:val="24"/>
          <w:szCs w:val="24"/>
        </w:rPr>
        <w:t xml:space="preserve">Important Dates</w:t>
      </w:r>
    </w:p>
    <w:p>
      <w:pPr>
        <w:spacing w:before="0" w:after="60"/>
      </w:pPr>
      <w:r>
        <w:rPr>
          <w:b/>
        </w:rPr>
        <w:t xml:space="preserve">Chapter Proposal Submission Deadline: </w:t>
      </w:r>
      <w:r>
        <w:t xml:space="preserve">15 Sep 2026</w:t>
      </w:r>
    </w:p>
    <w:p>
      <w:pPr>
        <w:spacing w:before="0" w:after="60"/>
      </w:pPr>
      <w:r>
        <w:rPr>
          <w:b/>
        </w:rPr>
        <w:t xml:space="preserve">Acceptance Notification: </w:t>
      </w:r>
      <w:r>
        <w:t xml:space="preserve">25 Sep 2026</w:t>
      </w:r>
    </w:p>
    <w:p>
      <w:pPr>
        <w:spacing w:before="0" w:after="60"/>
      </w:pPr>
      <w:r>
        <w:rPr>
          <w:b/>
        </w:rPr>
        <w:t xml:space="preserve">Final Chapter Submission: </w:t>
      </w:r>
      <w:r>
        <w:t xml:space="preserve">31 Oct 2026</w:t>
      </w:r>
    </w:p>
    <w:p>
      <w:pPr>
        <w:spacing w:before="0" w:after="60"/>
      </w:pPr>
      <w:r>
        <w:rPr>
          <w:b/>
        </w:rPr>
        <w:t xml:space="preserve">Submission Email: </w:t>
      </w:r>
      <w:r>
        <w:t xml:space="preserve">deepika14paliwal@gmail.com</w:t>
      </w:r>
    </w:p>
    <w:p>
      <w:pPr>
        <w:spacing w:before="240" w:after="100"/>
        <w:rPr>
          <w:b/>
          <w:color w:val="C00000"/>
          <w:sz w:val="30"/>
          <w:szCs w:val="30"/>
        </w:rPr>
      </w:pPr>
      <w:r>
        <w:rPr>
          <w:b/>
          <w:color w:val="C00000"/>
          <w:sz w:val="30"/>
          <w:szCs w:val="30"/>
        </w:rPr>
        <w:t xml:space="preserve">Image 49: Smart Hospitality: Digital Media, AI, and Responsible Tourism Futures</w:t>
      </w:r>
    </w:p>
    <w:p>
      <w:pPr>
        <w:spacing w:before="0" w:after="60"/>
      </w:pPr>
      <w:r>
        <w:rPr>
          <w:b/>
        </w:rPr>
        <w:t xml:space="preserve">Publisher: </w:t>
      </w:r>
      <w:r>
        <w:t xml:space="preserve">CRC Press (Taylor &amp; Francis Group) — Scopus/WoS (submitted post-publication)</w:t>
      </w:r>
    </w:p>
    <w:p>
      <w:pPr>
        <w:spacing w:before="0" w:after="60"/>
      </w:pPr>
      <w:r>
        <w:rPr>
          <w:b/>
        </w:rPr>
        <w:t xml:space="preserve">Charges: </w:t>
      </w:r>
      <w:r>
        <w:t xml:space="preserve">No APC — free to publish</w:t>
      </w:r>
    </w:p>
    <w:p>
      <w:pPr>
        <w:spacing w:before="120" w:after="60"/>
        <w:rPr>
          <w:b/>
          <w:color w:val="1F3864"/>
          <w:sz w:val="24"/>
          <w:szCs w:val="24"/>
        </w:rPr>
      </w:pPr>
      <w:r>
        <w:rPr>
          <w:b/>
          <w:color w:val="1F3864"/>
          <w:sz w:val="24"/>
          <w:szCs w:val="24"/>
        </w:rPr>
        <w:t xml:space="preserve">Proposed Chapters</w:t>
      </w:r>
    </w:p>
    <w:p>
      <w:pPr>
        <w:spacing w:before="0" w:after="40"/>
        <w:ind w:left="360"/>
        <w:rPr>
          <w:sz w:val="22"/>
          <w:szCs w:val="22"/>
        </w:rPr>
      </w:pPr>
      <w:r>
        <w:rPr>
          <w:sz w:val="22"/>
          <w:szCs w:val="22"/>
        </w:rPr>
        <w:t xml:space="preserve">•  Smart Hospitality and Digital Transformation</w:t>
      </w:r>
    </w:p>
    <w:p>
      <w:pPr>
        <w:spacing w:before="0" w:after="40"/>
        <w:ind w:left="360"/>
        <w:rPr>
          <w:sz w:val="22"/>
          <w:szCs w:val="22"/>
        </w:rPr>
      </w:pPr>
      <w:r>
        <w:rPr>
          <w:sz w:val="22"/>
          <w:szCs w:val="22"/>
        </w:rPr>
        <w:t xml:space="preserve">•  AI and Automation in Tourism Industries</w:t>
      </w:r>
    </w:p>
    <w:p>
      <w:pPr>
        <w:spacing w:before="0" w:after="40"/>
        <w:ind w:left="360"/>
        <w:rPr>
          <w:sz w:val="22"/>
          <w:szCs w:val="22"/>
        </w:rPr>
      </w:pPr>
      <w:r>
        <w:rPr>
          <w:sz w:val="22"/>
          <w:szCs w:val="22"/>
        </w:rPr>
        <w:t xml:space="preserve">•  Digital Media and Tourism Communication</w:t>
      </w:r>
    </w:p>
    <w:p>
      <w:pPr>
        <w:spacing w:before="0" w:after="40"/>
        <w:ind w:left="360"/>
        <w:rPr>
          <w:sz w:val="22"/>
          <w:szCs w:val="22"/>
        </w:rPr>
      </w:pPr>
      <w:r>
        <w:rPr>
          <w:sz w:val="22"/>
          <w:szCs w:val="22"/>
        </w:rPr>
        <w:t xml:space="preserve">•  Smart Destinations and Visitor Experience Design</w:t>
      </w:r>
    </w:p>
    <w:p>
      <w:pPr>
        <w:spacing w:before="0" w:after="40"/>
        <w:ind w:left="360"/>
        <w:rPr>
          <w:sz w:val="22"/>
          <w:szCs w:val="22"/>
        </w:rPr>
      </w:pPr>
      <w:r>
        <w:rPr>
          <w:sz w:val="22"/>
          <w:szCs w:val="22"/>
        </w:rPr>
        <w:t xml:space="preserve">•  Social Media Influencers and Tourism Marketing</w:t>
      </w:r>
    </w:p>
    <w:p>
      <w:pPr>
        <w:spacing w:before="0" w:after="40"/>
        <w:ind w:left="360"/>
        <w:rPr>
          <w:sz w:val="22"/>
          <w:szCs w:val="22"/>
        </w:rPr>
      </w:pPr>
      <w:r>
        <w:rPr>
          <w:sz w:val="22"/>
          <w:szCs w:val="22"/>
        </w:rPr>
        <w:t xml:space="preserve">•  Hospitality Analytics and Consumer Behavior</w:t>
      </w:r>
    </w:p>
    <w:p>
      <w:pPr>
        <w:spacing w:before="0" w:after="40"/>
        <w:ind w:left="360"/>
        <w:rPr>
          <w:sz w:val="22"/>
          <w:szCs w:val="22"/>
        </w:rPr>
      </w:pPr>
      <w:r>
        <w:rPr>
          <w:sz w:val="22"/>
          <w:szCs w:val="22"/>
        </w:rPr>
        <w:t xml:space="preserve">•  Sustainable Tourism and Responsible Innovation</w:t>
      </w:r>
    </w:p>
    <w:p>
      <w:pPr>
        <w:spacing w:before="0" w:after="40"/>
        <w:ind w:left="360"/>
        <w:rPr>
          <w:sz w:val="22"/>
          <w:szCs w:val="22"/>
        </w:rPr>
      </w:pPr>
      <w:r>
        <w:rPr>
          <w:sz w:val="22"/>
          <w:szCs w:val="22"/>
        </w:rPr>
        <w:t xml:space="preserve">•  Ethical AI and Data Governance in Tourism</w:t>
      </w:r>
    </w:p>
    <w:p>
      <w:pPr>
        <w:spacing w:before="0" w:after="40"/>
        <w:ind w:left="360"/>
        <w:rPr>
          <w:sz w:val="22"/>
          <w:szCs w:val="22"/>
        </w:rPr>
      </w:pPr>
      <w:r>
        <w:rPr>
          <w:sz w:val="22"/>
          <w:szCs w:val="22"/>
        </w:rPr>
        <w:t xml:space="preserve">•  Virtual Reality, Metaverse, and Immersive Tourism</w:t>
      </w:r>
    </w:p>
    <w:p>
      <w:pPr>
        <w:spacing w:before="0" w:after="40"/>
        <w:ind w:left="360"/>
        <w:rPr>
          <w:sz w:val="22"/>
          <w:szCs w:val="22"/>
        </w:rPr>
      </w:pPr>
      <w:r>
        <w:rPr>
          <w:sz w:val="22"/>
          <w:szCs w:val="22"/>
        </w:rPr>
        <w:t xml:space="preserve">•  Hospitality Platforms and Gig Economy Challenges</w:t>
      </w:r>
    </w:p>
    <w:p>
      <w:pPr>
        <w:spacing w:before="0" w:after="40"/>
        <w:ind w:left="360"/>
        <w:rPr>
          <w:sz w:val="22"/>
          <w:szCs w:val="22"/>
        </w:rPr>
      </w:pPr>
      <w:r>
        <w:rPr>
          <w:sz w:val="22"/>
          <w:szCs w:val="22"/>
        </w:rPr>
        <w:t xml:space="preserve">•  Smart Hotels and Intelligent Service Systems</w:t>
      </w:r>
    </w:p>
    <w:p>
      <w:pPr>
        <w:spacing w:before="0" w:after="40"/>
        <w:ind w:left="360"/>
        <w:rPr>
          <w:sz w:val="22"/>
          <w:szCs w:val="22"/>
        </w:rPr>
      </w:pPr>
      <w:r>
        <w:rPr>
          <w:sz w:val="22"/>
          <w:szCs w:val="22"/>
        </w:rPr>
        <w:t xml:space="preserve">•  Digital Storytelling and Destination Branding</w:t>
      </w:r>
    </w:p>
    <w:p>
      <w:pPr>
        <w:spacing w:before="0" w:after="40"/>
        <w:ind w:left="360"/>
        <w:rPr>
          <w:sz w:val="22"/>
          <w:szCs w:val="22"/>
        </w:rPr>
      </w:pPr>
      <w:r>
        <w:rPr>
          <w:sz w:val="22"/>
          <w:szCs w:val="22"/>
        </w:rPr>
        <w:t xml:space="preserve">•  Tourism Resilience and Crisis Communication</w:t>
      </w:r>
    </w:p>
    <w:p>
      <w:pPr>
        <w:spacing w:before="0" w:after="40"/>
        <w:ind w:left="360"/>
        <w:rPr>
          <w:sz w:val="22"/>
          <w:szCs w:val="22"/>
        </w:rPr>
      </w:pPr>
      <w:r>
        <w:rPr>
          <w:sz w:val="22"/>
          <w:szCs w:val="22"/>
        </w:rPr>
        <w:t xml:space="preserve">•  Inclusive Tourism and Accessibility Technologies</w:t>
      </w:r>
    </w:p>
    <w:p>
      <w:pPr>
        <w:spacing w:before="0" w:after="40"/>
        <w:ind w:left="360"/>
        <w:rPr>
          <w:sz w:val="22"/>
          <w:szCs w:val="22"/>
        </w:rPr>
      </w:pPr>
      <w:r>
        <w:rPr>
          <w:sz w:val="22"/>
          <w:szCs w:val="22"/>
        </w:rPr>
        <w:t xml:space="preserve">•  Green Hospitality and Sustainable Futures</w:t>
      </w:r>
    </w:p>
    <w:p>
      <w:pPr>
        <w:spacing w:before="0" w:after="40"/>
        <w:ind w:left="360"/>
        <w:rPr>
          <w:sz w:val="22"/>
          <w:szCs w:val="22"/>
        </w:rPr>
      </w:pPr>
      <w:r>
        <w:rPr>
          <w:sz w:val="22"/>
          <w:szCs w:val="22"/>
        </w:rPr>
        <w:t xml:space="preserve">•  Future Trends in Smart Hospitality Ecosystems</w:t>
      </w:r>
    </w:p>
    <w:p>
      <w:pPr>
        <w:spacing w:before="120" w:after="60"/>
        <w:rPr>
          <w:b/>
          <w:color w:val="1F3864"/>
          <w:sz w:val="24"/>
          <w:szCs w:val="24"/>
        </w:rPr>
      </w:pPr>
      <w:r>
        <w:rPr>
          <w:b/>
          <w:color w:val="1F3864"/>
          <w:sz w:val="24"/>
          <w:szCs w:val="24"/>
        </w:rPr>
        <w:t xml:space="preserve">Book Editors</w:t>
      </w:r>
    </w:p>
    <w:p>
      <w:pPr>
        <w:spacing w:before="0" w:after="40"/>
        <w:ind w:left="360"/>
        <w:rPr>
          <w:sz w:val="22"/>
          <w:szCs w:val="22"/>
        </w:rPr>
      </w:pPr>
      <w:r>
        <w:rPr>
          <w:sz w:val="22"/>
          <w:szCs w:val="22"/>
        </w:rPr>
        <w:t xml:space="preserve">•  Dr. Rakesh Kumar — School of Journalism and Mass Communication, AAFT University of Media and Arts, Raipur, Chhattisgarh, India - 492325</w:t>
      </w:r>
    </w:p>
    <w:p>
      <w:pPr>
        <w:spacing w:before="0" w:after="40"/>
        <w:ind w:left="360"/>
        <w:rPr>
          <w:sz w:val="22"/>
          <w:szCs w:val="22"/>
        </w:rPr>
      </w:pPr>
      <w:r>
        <w:rPr>
          <w:sz w:val="22"/>
          <w:szCs w:val="22"/>
        </w:rPr>
        <w:t xml:space="preserve">•  Prof. (Dr.) Ahmad Albattat — Asia Pacific University of Technology &amp; Innovation (APU), Kuala Lumpur, Malaysia - 57000</w:t>
      </w:r>
    </w:p>
    <w:p>
      <w:pPr>
        <w:spacing w:before="0" w:after="40"/>
        <w:ind w:left="360"/>
        <w:rPr>
          <w:sz w:val="22"/>
          <w:szCs w:val="22"/>
        </w:rPr>
      </w:pPr>
      <w:r>
        <w:rPr>
          <w:sz w:val="22"/>
          <w:szCs w:val="22"/>
        </w:rPr>
        <w:t xml:space="preserve">•  Prof. (Dr.) Marco Valeri — Faculty of Economics, Niccolò Cusano University, Italy - 00166</w:t>
      </w:r>
    </w:p>
    <w:p>
      <w:pPr>
        <w:spacing w:before="120" w:after="60"/>
        <w:rPr>
          <w:b/>
          <w:color w:val="1F3864"/>
          <w:sz w:val="24"/>
          <w:szCs w:val="24"/>
        </w:rPr>
      </w:pPr>
      <w:r>
        <w:rPr>
          <w:b/>
          <w:color w:val="1F3864"/>
          <w:sz w:val="24"/>
          <w:szCs w:val="24"/>
        </w:rPr>
        <w:t xml:space="preserve">Important Dates</w:t>
      </w:r>
    </w:p>
    <w:p>
      <w:pPr>
        <w:spacing w:before="0" w:after="60"/>
      </w:pPr>
      <w:r>
        <w:rPr>
          <w:b/>
        </w:rPr>
        <w:t xml:space="preserve">Abstract Submission: </w:t>
      </w:r>
      <w:r>
        <w:t xml:space="preserve">30 October 2026</w:t>
      </w:r>
    </w:p>
    <w:p>
      <w:pPr>
        <w:spacing w:before="0" w:after="60"/>
      </w:pPr>
      <w:r>
        <w:rPr>
          <w:b/>
        </w:rPr>
        <w:t xml:space="preserve">Abstract Acceptance: </w:t>
      </w:r>
      <w:r>
        <w:t xml:space="preserve">15 November 2026</w:t>
      </w:r>
    </w:p>
    <w:p>
      <w:pPr>
        <w:spacing w:before="0" w:after="60"/>
      </w:pPr>
      <w:r>
        <w:rPr>
          <w:b/>
        </w:rPr>
        <w:t xml:space="preserve">Full Chapter Submission: </w:t>
      </w:r>
      <w:r>
        <w:t xml:space="preserve">15 February 2027</w:t>
      </w:r>
    </w:p>
    <w:p>
      <w:pPr>
        <w:spacing w:before="0" w:after="60"/>
      </w:pPr>
      <w:r>
        <w:rPr>
          <w:b/>
        </w:rPr>
        <w:t xml:space="preserve">Review Notification: </w:t>
      </w:r>
      <w:r>
        <w:t xml:space="preserve">25 April 2027</w:t>
      </w:r>
    </w:p>
    <w:p>
      <w:pPr>
        <w:spacing w:before="0" w:after="60"/>
      </w:pPr>
      <w:r>
        <w:rPr>
          <w:b/>
        </w:rPr>
        <w:t xml:space="preserve">Revised Chapter Submission: </w:t>
      </w:r>
      <w:r>
        <w:t xml:space="preserve">15 June 2027</w:t>
      </w:r>
    </w:p>
    <w:p>
      <w:pPr>
        <w:spacing w:before="0" w:after="60"/>
      </w:pPr>
      <w:r>
        <w:rPr>
          <w:b/>
        </w:rPr>
        <w:t xml:space="preserve">Final Acceptance: </w:t>
      </w:r>
      <w:r>
        <w:t xml:space="preserve">15 July 2027</w:t>
      </w:r>
    </w:p>
    <w:p>
      <w:pPr>
        <w:spacing w:before="120" w:after="60"/>
        <w:rPr>
          <w:b/>
          <w:color w:val="1F3864"/>
          <w:sz w:val="24"/>
          <w:szCs w:val="24"/>
        </w:rPr>
      </w:pPr>
      <w:r>
        <w:rPr>
          <w:b/>
          <w:color w:val="1F3864"/>
          <w:sz w:val="24"/>
          <w:szCs w:val="24"/>
        </w:rPr>
        <w:t xml:space="preserve">Submission Guidelines</w:t>
      </w:r>
    </w:p>
    <w:p>
      <w:pPr>
        <w:spacing w:before="0" w:after="40"/>
        <w:ind w:left="360"/>
        <w:rPr>
          <w:sz w:val="22"/>
          <w:szCs w:val="22"/>
        </w:rPr>
      </w:pPr>
      <w:r>
        <w:rPr>
          <w:sz w:val="22"/>
          <w:szCs w:val="22"/>
        </w:rPr>
        <w:t xml:space="preserve">•  Abstract: 250–300 words with 4–6 keywords</w:t>
      </w:r>
    </w:p>
    <w:p>
      <w:pPr>
        <w:spacing w:before="0" w:after="40"/>
        <w:ind w:left="360"/>
        <w:rPr>
          <w:sz w:val="22"/>
          <w:szCs w:val="22"/>
        </w:rPr>
      </w:pPr>
      <w:r>
        <w:rPr>
          <w:sz w:val="22"/>
          <w:szCs w:val="22"/>
        </w:rPr>
        <w:t xml:space="preserve">•  Typical chapter length: 5,000–6,500 words (including references)</w:t>
      </w:r>
    </w:p>
    <w:p>
      <w:pPr>
        <w:spacing w:before="0" w:after="40"/>
        <w:ind w:left="360"/>
        <w:rPr>
          <w:sz w:val="22"/>
          <w:szCs w:val="22"/>
        </w:rPr>
      </w:pPr>
      <w:r>
        <w:rPr>
          <w:sz w:val="22"/>
          <w:szCs w:val="22"/>
        </w:rPr>
        <w:t xml:space="preserve">•  Formatting: APA (7th edition) referencing; follow publisher's guidelines</w:t>
      </w:r>
    </w:p>
    <w:p>
      <w:pPr>
        <w:spacing w:before="0" w:after="40"/>
        <w:ind w:left="360"/>
        <w:rPr>
          <w:sz w:val="22"/>
          <w:szCs w:val="22"/>
        </w:rPr>
      </w:pPr>
      <w:r>
        <w:rPr>
          <w:sz w:val="22"/>
          <w:szCs w:val="22"/>
        </w:rPr>
        <w:t xml:space="preserve">•  Originality: original and unpublished work; rigorous peer review</w:t>
      </w:r>
    </w:p>
    <w:p>
      <w:pPr>
        <w:spacing w:before="0" w:after="40"/>
        <w:ind w:left="360"/>
        <w:rPr>
          <w:sz w:val="22"/>
          <w:szCs w:val="22"/>
        </w:rPr>
      </w:pPr>
      <w:r>
        <w:rPr>
          <w:sz w:val="22"/>
          <w:szCs w:val="22"/>
        </w:rPr>
        <w:t xml:space="preserve">•  AI &amp; Plagiarism index must be below 5%</w:t>
      </w:r>
    </w:p>
    <w:p>
      <w:pPr>
        <w:spacing w:before="0" w:after="60"/>
      </w:pPr>
      <w:r>
        <w:rPr>
          <w:b/>
        </w:rPr>
        <w:t xml:space="preserve">Note: </w:t>
      </w:r>
      <w:r>
        <w:t xml:space="preserve">If none of a chapter's authors have an H-index of 10+, include a senior co-author (H-index ≥10), preferably from an advanced country</w:t>
      </w:r>
    </w:p>
    <w:p>
      <w:pPr>
        <w:spacing w:before="0" w:after="60"/>
      </w:pPr>
      <w:r>
        <w:rPr>
          <w:b/>
        </w:rPr>
        <w:t xml:space="preserve">Queries: </w:t>
      </w:r>
      <w:r>
        <w:t xml:space="preserve">rkmasscom@gmail.com (Subject line: Smart Hospitality)</w:t>
      </w:r>
    </w:p>
    <w:p>
      <w:pPr>
        <w:spacing w:before="240" w:after="100"/>
        <w:rPr>
          <w:b/>
          <w:color w:val="C00000"/>
          <w:sz w:val="30"/>
          <w:szCs w:val="30"/>
        </w:rPr>
      </w:pPr>
      <w:r>
        <w:rPr>
          <w:b/>
          <w:color w:val="C00000"/>
          <w:sz w:val="30"/>
          <w:szCs w:val="30"/>
        </w:rPr>
        <w:t xml:space="preserve">Image 50: AI-Driven Governance and Intelligent Enterprises (CRC Press) — repeat flyer</w:t>
      </w:r>
    </w:p>
    <w:p>
      <w:pPr>
        <w:spacing w:before="0" w:after="80"/>
        <w:rPr>
          <w:i/>
          <w:sz w:val="22"/>
          <w:szCs w:val="22"/>
        </w:rPr>
      </w:pPr>
      <w:r>
        <w:rPr>
          <w:i/>
          <w:sz w:val="22"/>
          <w:szCs w:val="22"/>
        </w:rPr>
        <w:t xml:space="preserve">This flyer repeats the CRC Press / Taylor &amp; Francis call captured in earlier compilations. Key details below.</w:t>
      </w:r>
    </w:p>
    <w:p>
      <w:pPr>
        <w:spacing w:before="0" w:after="60"/>
      </w:pPr>
      <w:r>
        <w:rPr>
          <w:b/>
        </w:rPr>
        <w:t xml:space="preserve">Publisher: </w:t>
      </w:r>
      <w:r>
        <w:t xml:space="preserve">CRC Press (Taylor &amp; Francis Group)</w:t>
      </w:r>
    </w:p>
    <w:p>
      <w:pPr>
        <w:spacing w:before="0" w:after="60"/>
      </w:pPr>
      <w:r>
        <w:rPr>
          <w:b/>
        </w:rPr>
        <w:t xml:space="preserve">Subtitle: </w:t>
      </w:r>
      <w:r>
        <w:t xml:space="preserve">Concepts, Technologies, Management, and the Future of Intelligent Economies</w:t>
      </w:r>
    </w:p>
    <w:p>
      <w:pPr>
        <w:spacing w:before="0" w:after="60"/>
      </w:pPr>
      <w:r>
        <w:rPr>
          <w:b/>
        </w:rPr>
        <w:t xml:space="preserve">Editors: </w:t>
      </w:r>
      <w:r>
        <w:t xml:space="preserve">Dr. Hamed Taherdoost; Dr. Deepanjana Varshney; Dr. Mitra Madanchian; Dr. Vishal Jain</w:t>
      </w:r>
    </w:p>
    <w:p>
      <w:pPr>
        <w:spacing w:before="0" w:after="60"/>
      </w:pPr>
      <w:r>
        <w:rPr>
          <w:b/>
        </w:rPr>
        <w:t xml:space="preserve">Structure: </w:t>
      </w:r>
      <w:r>
        <w:t xml:space="preserve">Part I Foundations; Part II Emerging Technologies; Part III Management, Leadership &amp; Organizational Transformation; Part IV Future Governance and the Intelligent Economy</w:t>
      </w:r>
    </w:p>
    <w:p>
      <w:pPr>
        <w:spacing w:before="0" w:after="60"/>
      </w:pPr>
      <w:r>
        <w:rPr>
          <w:b/>
        </w:rPr>
        <w:t xml:space="preserve">Proposal Submission: </w:t>
      </w:r>
      <w:r>
        <w:t xml:space="preserve">30 August 2026</w:t>
      </w:r>
    </w:p>
    <w:p>
      <w:pPr>
        <w:spacing w:before="0" w:after="60"/>
      </w:pPr>
      <w:r>
        <w:rPr>
          <w:b/>
        </w:rPr>
        <w:t xml:space="preserve">Full Chapter Submission: </w:t>
      </w:r>
      <w:r>
        <w:t xml:space="preserve">30 September 2026</w:t>
      </w:r>
    </w:p>
    <w:p>
      <w:pPr>
        <w:spacing w:before="0" w:after="60"/>
      </w:pPr>
      <w:r>
        <w:rPr>
          <w:b/>
        </w:rPr>
        <w:t xml:space="preserve">Acceptance Notification: </w:t>
      </w:r>
      <w:r>
        <w:t xml:space="preserve">30 October 2026</w:t>
      </w:r>
    </w:p>
    <w:p>
      <w:pPr>
        <w:spacing w:before="0" w:after="60"/>
      </w:pPr>
      <w:r>
        <w:rPr>
          <w:b/>
        </w:rPr>
        <w:t xml:space="preserve">Submission Email: </w:t>
      </w:r>
      <w:r>
        <w:t xml:space="preserve">bookchapteraidrivengovernance@gmail.com</w:t>
      </w:r>
    </w:p>
    <w:p>
      <w:pPr>
        <w:spacing w:before="240" w:after="100"/>
        <w:rPr>
          <w:b/>
          <w:color w:val="C00000"/>
          <w:sz w:val="30"/>
          <w:szCs w:val="30"/>
        </w:rPr>
      </w:pPr>
      <w:r>
        <w:rPr>
          <w:b/>
          <w:color w:val="C00000"/>
          <w:sz w:val="30"/>
          <w:szCs w:val="30"/>
        </w:rPr>
        <w:t xml:space="preserve">Image 51: Systems Biology as a Novel Approach to Understand Neurological Disorders</w:t>
      </w:r>
    </w:p>
    <w:p>
      <w:pPr>
        <w:spacing w:before="0" w:after="60"/>
      </w:pPr>
      <w:r>
        <w:rPr>
          <w:b/>
        </w:rPr>
        <w:t xml:space="preserve">Publisher: </w:t>
      </w:r>
      <w:r>
        <w:t xml:space="preserve">CRC Press (Taylor &amp; Francis Group)</w:t>
      </w:r>
    </w:p>
    <w:p>
      <w:pPr>
        <w:spacing w:before="120" w:after="60"/>
        <w:rPr>
          <w:b/>
          <w:color w:val="1F3864"/>
          <w:sz w:val="24"/>
          <w:szCs w:val="24"/>
        </w:rPr>
      </w:pPr>
      <w:r>
        <w:rPr>
          <w:b/>
          <w:color w:val="1F3864"/>
          <w:sz w:val="24"/>
          <w:szCs w:val="24"/>
        </w:rPr>
        <w:t xml:space="preserve">About the Book</w:t>
      </w:r>
    </w:p>
    <w:p>
      <w:pPr>
        <w:spacing w:before="0" w:after="80"/>
        <w:rPr>
          <w:sz w:val="22"/>
          <w:szCs w:val="22"/>
        </w:rPr>
      </w:pPr>
      <w:r>
        <w:rPr>
          <w:sz w:val="22"/>
          <w:szCs w:val="22"/>
        </w:rPr>
        <w:t xml:space="preserve">Provides a comprehensive resource on how systems biology approaches and emerging technologies are transforming the understanding of neurological disorders. Part I applies systems biology and network approaches to major neurological and neuropsychological disorders; Part II covers experimental and computational methodologies including multi-omics, single-cell analysis, connectomics and AI. (Content rephrased for compliance.)</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Vijay Kumar, PhD — Professor, Dept. of Biotechnology, Anand School of Engineering and Technology, Sharda University, Agra, UP-282007 (aiims.vijay@gmail.com)</w:t>
      </w:r>
    </w:p>
    <w:p>
      <w:pPr>
        <w:spacing w:before="0" w:after="40"/>
        <w:ind w:left="360"/>
        <w:rPr>
          <w:sz w:val="22"/>
          <w:szCs w:val="22"/>
        </w:rPr>
      </w:pPr>
      <w:r>
        <w:rPr>
          <w:sz w:val="22"/>
          <w:szCs w:val="22"/>
        </w:rPr>
        <w:t xml:space="preserve">•  Abhishek Kumar Singh, PhD — Associate Professor, Dept. of Biotherapeutics Research, Manipal Academy of Higher Education, Manipal, Karnataka - 576104</w:t>
      </w:r>
    </w:p>
    <w:p>
      <w:pPr>
        <w:spacing w:before="120" w:after="60"/>
        <w:rPr>
          <w:b/>
          <w:color w:val="1F3864"/>
          <w:sz w:val="24"/>
          <w:szCs w:val="24"/>
        </w:rPr>
      </w:pPr>
      <w:r>
        <w:rPr>
          <w:b/>
          <w:color w:val="1F3864"/>
          <w:sz w:val="24"/>
          <w:szCs w:val="24"/>
        </w:rPr>
        <w:t xml:space="preserve">Chapters</w:t>
      </w:r>
    </w:p>
    <w:p>
      <w:pPr>
        <w:spacing w:before="0" w:after="120"/>
        <w:rPr>
          <w:b/>
          <w:sz w:val="22"/>
          <w:szCs w:val="22"/>
        </w:rPr>
      </w:pPr>
      <w:r>
        <w:rPr>
          <w:b/>
          <w:sz w:val="22"/>
          <w:szCs w:val="22"/>
        </w:rPr>
        <w:t xml:space="preserve">Part I: Systems Biology and Neurological Disorders</w:t>
      </w:r>
    </w:p>
    <w:p>
      <w:pPr>
        <w:spacing w:before="0" w:after="40"/>
        <w:ind w:left="360"/>
        <w:rPr>
          <w:sz w:val="22"/>
          <w:szCs w:val="22"/>
        </w:rPr>
      </w:pPr>
      <w:r>
        <w:rPr>
          <w:sz w:val="22"/>
          <w:szCs w:val="22"/>
        </w:rPr>
        <w:t xml:space="preserve">1. Systems Biology approaches to understand and mitigate Alzheimer Disease</w:t>
      </w:r>
    </w:p>
    <w:p>
      <w:pPr>
        <w:spacing w:before="0" w:after="40"/>
        <w:ind w:left="360"/>
        <w:rPr>
          <w:sz w:val="22"/>
          <w:szCs w:val="22"/>
        </w:rPr>
      </w:pPr>
      <w:r>
        <w:rPr>
          <w:sz w:val="22"/>
          <w:szCs w:val="22"/>
        </w:rPr>
        <w:t xml:space="preserve">2. Amyotrophic Lateral Sclerosis: Systems Biology and Beyond</w:t>
      </w:r>
    </w:p>
    <w:p>
      <w:pPr>
        <w:spacing w:before="0" w:after="40"/>
        <w:ind w:left="360"/>
        <w:rPr>
          <w:sz w:val="22"/>
          <w:szCs w:val="22"/>
        </w:rPr>
      </w:pPr>
      <w:r>
        <w:rPr>
          <w:sz w:val="22"/>
          <w:szCs w:val="22"/>
        </w:rPr>
        <w:t xml:space="preserve">3. Multi-Omics analysis of Parkinson Disease</w:t>
      </w:r>
    </w:p>
    <w:p>
      <w:pPr>
        <w:spacing w:before="0" w:after="40"/>
        <w:ind w:left="360"/>
        <w:rPr>
          <w:sz w:val="22"/>
          <w:szCs w:val="22"/>
        </w:rPr>
      </w:pPr>
      <w:r>
        <w:rPr>
          <w:sz w:val="22"/>
          <w:szCs w:val="22"/>
        </w:rPr>
        <w:t xml:space="preserve">4. Insights into Systems Biology of Prion Disease: Towards therapeutic interventions</w:t>
      </w:r>
    </w:p>
    <w:p>
      <w:pPr>
        <w:spacing w:before="0" w:after="40"/>
        <w:ind w:left="360"/>
        <w:rPr>
          <w:sz w:val="22"/>
          <w:szCs w:val="22"/>
        </w:rPr>
      </w:pPr>
      <w:r>
        <w:rPr>
          <w:sz w:val="22"/>
          <w:szCs w:val="22"/>
        </w:rPr>
        <w:t xml:space="preserve">5. Network Biology to comprehend Huntington Disease</w:t>
      </w:r>
    </w:p>
    <w:p>
      <w:pPr>
        <w:spacing w:before="0" w:after="40"/>
        <w:ind w:left="360"/>
        <w:rPr>
          <w:sz w:val="22"/>
          <w:szCs w:val="22"/>
        </w:rPr>
      </w:pPr>
      <w:r>
        <w:rPr>
          <w:sz w:val="22"/>
          <w:szCs w:val="22"/>
        </w:rPr>
        <w:t xml:space="preserve">6. Network biology to comprehend Autism and ADHD</w:t>
      </w:r>
    </w:p>
    <w:p>
      <w:pPr>
        <w:spacing w:before="0" w:after="40"/>
        <w:ind w:left="360"/>
        <w:rPr>
          <w:sz w:val="22"/>
          <w:szCs w:val="22"/>
        </w:rPr>
      </w:pPr>
      <w:r>
        <w:rPr>
          <w:sz w:val="22"/>
          <w:szCs w:val="22"/>
        </w:rPr>
        <w:t xml:space="preserve">7. Applications of Systems biology in exploring Neuropsychological disorders</w:t>
      </w:r>
    </w:p>
    <w:p>
      <w:pPr>
        <w:spacing w:before="0" w:after="120"/>
        <w:rPr>
          <w:b/>
          <w:sz w:val="22"/>
          <w:szCs w:val="22"/>
        </w:rPr>
      </w:pPr>
      <w:r>
        <w:rPr>
          <w:b/>
          <w:sz w:val="22"/>
          <w:szCs w:val="22"/>
        </w:rPr>
        <w:t xml:space="preserve">Part II: Experimental Systems Biology</w:t>
      </w:r>
    </w:p>
    <w:p>
      <w:pPr>
        <w:spacing w:before="0" w:after="40"/>
        <w:ind w:left="360"/>
        <w:rPr>
          <w:sz w:val="22"/>
          <w:szCs w:val="22"/>
        </w:rPr>
      </w:pPr>
      <w:r>
        <w:rPr>
          <w:sz w:val="22"/>
          <w:szCs w:val="22"/>
        </w:rPr>
        <w:t xml:space="preserve">8. Transcriptomic methods to study Neurodegeneration</w:t>
      </w:r>
    </w:p>
    <w:p>
      <w:pPr>
        <w:spacing w:before="0" w:after="40"/>
        <w:ind w:left="360"/>
        <w:rPr>
          <w:sz w:val="22"/>
          <w:szCs w:val="22"/>
        </w:rPr>
      </w:pPr>
      <w:r>
        <w:rPr>
          <w:sz w:val="22"/>
          <w:szCs w:val="22"/>
        </w:rPr>
        <w:t xml:space="preserve">9. Next generation sequencing in Neurodegenerative diseases</w:t>
      </w:r>
    </w:p>
    <w:p>
      <w:pPr>
        <w:spacing w:before="0" w:after="40"/>
        <w:ind w:left="360"/>
        <w:rPr>
          <w:sz w:val="22"/>
          <w:szCs w:val="22"/>
        </w:rPr>
      </w:pPr>
      <w:r>
        <w:rPr>
          <w:sz w:val="22"/>
          <w:szCs w:val="22"/>
        </w:rPr>
        <w:t xml:space="preserve">10. Genome wide association studies and its application in Neurodegenerative diseases</w:t>
      </w:r>
    </w:p>
    <w:p>
      <w:pPr>
        <w:spacing w:before="0" w:after="40"/>
        <w:ind w:left="360"/>
        <w:rPr>
          <w:sz w:val="22"/>
          <w:szCs w:val="22"/>
        </w:rPr>
      </w:pPr>
      <w:r>
        <w:rPr>
          <w:sz w:val="22"/>
          <w:szCs w:val="22"/>
        </w:rPr>
        <w:t xml:space="preserve">11. RNA-Seq to elucidate early neurodevelopmental disorders</w:t>
      </w:r>
    </w:p>
    <w:p>
      <w:pPr>
        <w:spacing w:before="0" w:after="40"/>
        <w:ind w:left="360"/>
        <w:rPr>
          <w:sz w:val="22"/>
          <w:szCs w:val="22"/>
        </w:rPr>
      </w:pPr>
      <w:r>
        <w:rPr>
          <w:sz w:val="22"/>
          <w:szCs w:val="22"/>
        </w:rPr>
        <w:t xml:space="preserve">12. Modeling Single cell study in neurological disorders</w:t>
      </w:r>
    </w:p>
    <w:p>
      <w:pPr>
        <w:spacing w:before="0" w:after="40"/>
        <w:ind w:left="360"/>
        <w:rPr>
          <w:sz w:val="22"/>
          <w:szCs w:val="22"/>
        </w:rPr>
      </w:pPr>
      <w:r>
        <w:rPr>
          <w:sz w:val="22"/>
          <w:szCs w:val="22"/>
        </w:rPr>
        <w:t xml:space="preserve">13. Connectome and Dynome concepts for CNS disorders</w:t>
      </w:r>
    </w:p>
    <w:p>
      <w:pPr>
        <w:spacing w:before="0" w:after="40"/>
        <w:ind w:left="360"/>
        <w:rPr>
          <w:sz w:val="22"/>
          <w:szCs w:val="22"/>
        </w:rPr>
      </w:pPr>
      <w:r>
        <w:rPr>
          <w:sz w:val="22"/>
          <w:szCs w:val="22"/>
        </w:rPr>
        <w:t xml:space="preserve">14. Multi-Omics integration to Target Neurodegenerative diseases</w:t>
      </w:r>
    </w:p>
    <w:p>
      <w:pPr>
        <w:spacing w:before="0" w:after="40"/>
        <w:ind w:left="360"/>
        <w:rPr>
          <w:sz w:val="22"/>
          <w:szCs w:val="22"/>
        </w:rPr>
      </w:pPr>
      <w:r>
        <w:rPr>
          <w:sz w:val="22"/>
          <w:szCs w:val="22"/>
        </w:rPr>
        <w:t xml:space="preserve">15. Artificial Intelligence in Systems biology</w:t>
      </w:r>
    </w:p>
    <w:p>
      <w:pPr>
        <w:spacing w:before="0" w:after="60"/>
      </w:pPr>
      <w:r>
        <w:rPr>
          <w:b/>
        </w:rPr>
        <w:t xml:space="preserve">Last Date of Submission: </w:t>
      </w:r>
      <w:r>
        <w:t xml:space="preserve">December 20, 2026</w:t>
      </w:r>
    </w:p>
    <w:p>
      <w:pPr>
        <w:spacing w:before="240" w:after="100"/>
        <w:rPr>
          <w:b/>
          <w:color w:val="C00000"/>
          <w:sz w:val="30"/>
          <w:szCs w:val="30"/>
        </w:rPr>
      </w:pPr>
      <w:r>
        <w:rPr>
          <w:b/>
          <w:color w:val="C00000"/>
          <w:sz w:val="30"/>
          <w:szCs w:val="30"/>
        </w:rPr>
        <w:t xml:space="preserve">Image 52: Hybrid Materials in Environmental Forensics: Bridging Advanced Materials and Environmental Forensics for a Sustainable Future</w:t>
      </w:r>
    </w:p>
    <w:p>
      <w:pPr>
        <w:spacing w:before="0" w:after="60"/>
      </w:pPr>
      <w:r>
        <w:rPr>
          <w:b/>
        </w:rPr>
        <w:t xml:space="preserve">Publisher: </w:t>
      </w:r>
      <w:r>
        <w:t xml:space="preserve">Elsevier — will be indexed in Scopus</w:t>
      </w:r>
    </w:p>
    <w:p>
      <w:pPr>
        <w:spacing w:before="120" w:after="60"/>
        <w:rPr>
          <w:b/>
          <w:color w:val="1F3864"/>
          <w:sz w:val="24"/>
          <w:szCs w:val="24"/>
        </w:rPr>
      </w:pPr>
      <w:r>
        <w:rPr>
          <w:b/>
          <w:color w:val="1F3864"/>
          <w:sz w:val="24"/>
          <w:szCs w:val="24"/>
        </w:rPr>
        <w:t xml:space="preserve">About the Book</w:t>
      </w:r>
    </w:p>
    <w:p>
      <w:pPr>
        <w:spacing w:before="0" w:after="80"/>
        <w:rPr>
          <w:sz w:val="22"/>
          <w:szCs w:val="22"/>
        </w:rPr>
      </w:pPr>
      <w:r>
        <w:rPr>
          <w:sz w:val="22"/>
          <w:szCs w:val="22"/>
        </w:rPr>
        <w:t xml:space="preserve">Explores the intersection of hybrid materials and environmental forensics, covering fundamentals, advanced materials, smart systems, analytical techniques and real-world applications for environmental monitoring, pollution detection and sustainability. (Content rephrased for compliance.)</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Dr. Mahipal Singh Sankhla — Assistant Professor, School of Basic and Applied Sciences, K.R. Mangalam University, Gurugram, India</w:t>
      </w:r>
    </w:p>
    <w:p>
      <w:pPr>
        <w:spacing w:before="0" w:after="40"/>
        <w:ind w:left="360"/>
        <w:rPr>
          <w:sz w:val="22"/>
          <w:szCs w:val="22"/>
        </w:rPr>
      </w:pPr>
      <w:r>
        <w:rPr>
          <w:sz w:val="22"/>
          <w:szCs w:val="22"/>
        </w:rPr>
        <w:t xml:space="preserve">•  Dr. Kumud Kant Awasthi — Professor, School of Basic and Applied Sciences, K.R. Mangalam University, Gurugram, India</w:t>
      </w:r>
    </w:p>
    <w:p>
      <w:pPr>
        <w:spacing w:before="120" w:after="60"/>
        <w:rPr>
          <w:b/>
          <w:color w:val="1F3864"/>
          <w:sz w:val="24"/>
          <w:szCs w:val="24"/>
        </w:rPr>
      </w:pPr>
      <w:r>
        <w:rPr>
          <w:b/>
          <w:color w:val="1F3864"/>
          <w:sz w:val="24"/>
          <w:szCs w:val="24"/>
        </w:rPr>
        <w:t xml:space="preserve">Proposed Chapters</w:t>
      </w:r>
    </w:p>
    <w:p>
      <w:pPr>
        <w:spacing w:before="0" w:after="40"/>
        <w:ind w:left="360"/>
        <w:rPr>
          <w:sz w:val="22"/>
          <w:szCs w:val="22"/>
        </w:rPr>
      </w:pPr>
      <w:r>
        <w:rPr>
          <w:sz w:val="22"/>
          <w:szCs w:val="22"/>
        </w:rPr>
        <w:t xml:space="preserve">1. Introduction to Environmental Forensics and Advanced Hybrid Materials</w:t>
      </w:r>
    </w:p>
    <w:p>
      <w:pPr>
        <w:spacing w:before="0" w:after="40"/>
        <w:ind w:left="360"/>
        <w:rPr>
          <w:sz w:val="22"/>
          <w:szCs w:val="22"/>
        </w:rPr>
      </w:pPr>
      <w:r>
        <w:rPr>
          <w:sz w:val="22"/>
          <w:szCs w:val="22"/>
        </w:rPr>
        <w:t xml:space="preserve">2. Fundamentals of 3D and 4D Hybrid Materials</w:t>
      </w:r>
    </w:p>
    <w:p>
      <w:pPr>
        <w:spacing w:before="0" w:after="40"/>
        <w:ind w:left="360"/>
        <w:rPr>
          <w:sz w:val="22"/>
          <w:szCs w:val="22"/>
        </w:rPr>
      </w:pPr>
      <w:r>
        <w:rPr>
          <w:sz w:val="22"/>
          <w:szCs w:val="22"/>
        </w:rPr>
        <w:t xml:space="preserve">3. Environmental Nanotechnology and Hybrid Materials</w:t>
      </w:r>
    </w:p>
    <w:p>
      <w:pPr>
        <w:spacing w:before="0" w:after="40"/>
        <w:ind w:left="360"/>
        <w:rPr>
          <w:sz w:val="22"/>
          <w:szCs w:val="22"/>
        </w:rPr>
      </w:pPr>
      <w:r>
        <w:rPr>
          <w:sz w:val="22"/>
          <w:szCs w:val="22"/>
        </w:rPr>
        <w:t xml:space="preserve">4. Case Studies in Environmental Forensics and Advanced Materials</w:t>
      </w:r>
    </w:p>
    <w:p>
      <w:pPr>
        <w:spacing w:before="0" w:after="40"/>
        <w:ind w:left="360"/>
        <w:rPr>
          <w:sz w:val="22"/>
          <w:szCs w:val="22"/>
        </w:rPr>
      </w:pPr>
      <w:r>
        <w:rPr>
          <w:sz w:val="22"/>
          <w:szCs w:val="22"/>
        </w:rPr>
        <w:t xml:space="preserve">5. Design and Synthesis Protocols for 3D Hybrid Materials</w:t>
      </w:r>
    </w:p>
    <w:p>
      <w:pPr>
        <w:spacing w:before="0" w:after="40"/>
        <w:ind w:left="360"/>
        <w:rPr>
          <w:sz w:val="22"/>
          <w:szCs w:val="22"/>
        </w:rPr>
      </w:pPr>
      <w:r>
        <w:rPr>
          <w:sz w:val="22"/>
          <w:szCs w:val="22"/>
        </w:rPr>
        <w:t xml:space="preserve">6. Smart and 4D Stimuli-Responsive Materials</w:t>
      </w:r>
    </w:p>
    <w:p>
      <w:pPr>
        <w:spacing w:before="0" w:after="40"/>
        <w:ind w:left="360"/>
        <w:rPr>
          <w:sz w:val="22"/>
          <w:szCs w:val="22"/>
        </w:rPr>
      </w:pPr>
      <w:r>
        <w:rPr>
          <w:sz w:val="22"/>
          <w:szCs w:val="22"/>
        </w:rPr>
        <w:t xml:space="preserve">7. Advanced Characterization Techniques for Hybrid Materials</w:t>
      </w:r>
    </w:p>
    <w:p>
      <w:pPr>
        <w:spacing w:before="0" w:after="40"/>
        <w:ind w:left="360"/>
        <w:rPr>
          <w:sz w:val="22"/>
          <w:szCs w:val="22"/>
        </w:rPr>
      </w:pPr>
      <w:r>
        <w:rPr>
          <w:sz w:val="22"/>
          <w:szCs w:val="22"/>
        </w:rPr>
        <w:t xml:space="preserve">8. Hybrid Materials for Environmental Sensing and Biosensors</w:t>
      </w:r>
    </w:p>
    <w:p>
      <w:pPr>
        <w:spacing w:before="0" w:after="40"/>
        <w:ind w:left="360"/>
        <w:rPr>
          <w:sz w:val="22"/>
          <w:szCs w:val="22"/>
        </w:rPr>
      </w:pPr>
      <w:r>
        <w:rPr>
          <w:sz w:val="22"/>
          <w:szCs w:val="22"/>
        </w:rPr>
        <w:t xml:space="preserve">9. Analytical Detection Methods and Sample Preparation in Environmental Forensics</w:t>
      </w:r>
    </w:p>
    <w:p>
      <w:pPr>
        <w:spacing w:before="0" w:after="40"/>
        <w:ind w:left="360"/>
        <w:rPr>
          <w:sz w:val="22"/>
          <w:szCs w:val="22"/>
        </w:rPr>
      </w:pPr>
      <w:r>
        <w:rPr>
          <w:sz w:val="22"/>
          <w:szCs w:val="22"/>
        </w:rPr>
        <w:t xml:space="preserve">10. Smart Systems for Real-Time Environmental Monitoring</w:t>
      </w:r>
    </w:p>
    <w:p>
      <w:pPr>
        <w:spacing w:before="0" w:after="40"/>
        <w:ind w:left="360"/>
        <w:rPr>
          <w:sz w:val="22"/>
          <w:szCs w:val="22"/>
        </w:rPr>
      </w:pPr>
      <w:r>
        <w:rPr>
          <w:sz w:val="22"/>
          <w:szCs w:val="22"/>
        </w:rPr>
        <w:t xml:space="preserve">11. Integration with AI, IoT, and Sensor Technologies</w:t>
      </w:r>
    </w:p>
    <w:p>
      <w:pPr>
        <w:spacing w:before="0" w:after="40"/>
        <w:ind w:left="360"/>
        <w:rPr>
          <w:sz w:val="22"/>
          <w:szCs w:val="22"/>
        </w:rPr>
      </w:pPr>
      <w:r>
        <w:rPr>
          <w:sz w:val="22"/>
          <w:szCs w:val="22"/>
        </w:rPr>
        <w:t xml:space="preserve">12. Case Studies in Environmental Monitoring and Smart Detection Systems</w:t>
      </w:r>
    </w:p>
    <w:p>
      <w:pPr>
        <w:spacing w:before="0" w:after="40"/>
        <w:ind w:left="360"/>
        <w:rPr>
          <w:sz w:val="22"/>
          <w:szCs w:val="22"/>
        </w:rPr>
      </w:pPr>
      <w:r>
        <w:rPr>
          <w:sz w:val="22"/>
          <w:szCs w:val="22"/>
        </w:rPr>
        <w:t xml:space="preserve">13. Nanotechnology in Environmental and Forensic Science Applications</w:t>
      </w:r>
    </w:p>
    <w:p>
      <w:pPr>
        <w:spacing w:before="0" w:after="40"/>
        <w:ind w:left="360"/>
        <w:rPr>
          <w:sz w:val="22"/>
          <w:szCs w:val="22"/>
        </w:rPr>
      </w:pPr>
      <w:r>
        <w:rPr>
          <w:sz w:val="22"/>
          <w:szCs w:val="22"/>
        </w:rPr>
        <w:t xml:space="preserve">14. Applications in Water Pollution Detection and Remediation</w:t>
      </w:r>
    </w:p>
    <w:p>
      <w:pPr>
        <w:spacing w:before="0" w:after="40"/>
        <w:ind w:left="360"/>
        <w:rPr>
          <w:sz w:val="22"/>
          <w:szCs w:val="22"/>
        </w:rPr>
      </w:pPr>
      <w:r>
        <w:rPr>
          <w:sz w:val="22"/>
          <w:szCs w:val="22"/>
        </w:rPr>
        <w:t xml:space="preserve">15. Soil and Sediment Environmental Forensics</w:t>
      </w:r>
    </w:p>
    <w:p>
      <w:pPr>
        <w:spacing w:before="0" w:after="40"/>
        <w:ind w:left="360"/>
        <w:rPr>
          <w:sz w:val="22"/>
          <w:szCs w:val="22"/>
        </w:rPr>
      </w:pPr>
      <w:r>
        <w:rPr>
          <w:sz w:val="22"/>
          <w:szCs w:val="22"/>
        </w:rPr>
        <w:t xml:space="preserve">16. Air Pollution Monitoring Using Hybrid Materials</w:t>
      </w:r>
    </w:p>
    <w:p>
      <w:pPr>
        <w:spacing w:before="0" w:after="40"/>
        <w:ind w:left="360"/>
        <w:rPr>
          <w:sz w:val="22"/>
          <w:szCs w:val="22"/>
        </w:rPr>
      </w:pPr>
      <w:r>
        <w:rPr>
          <w:sz w:val="22"/>
          <w:szCs w:val="22"/>
        </w:rPr>
        <w:t xml:space="preserve">17. Hybrid Materials for Emerging Contaminants</w:t>
      </w:r>
    </w:p>
    <w:p>
      <w:pPr>
        <w:spacing w:before="0" w:after="40"/>
        <w:ind w:left="360"/>
        <w:rPr>
          <w:sz w:val="22"/>
          <w:szCs w:val="22"/>
        </w:rPr>
      </w:pPr>
      <w:r>
        <w:rPr>
          <w:sz w:val="22"/>
          <w:szCs w:val="22"/>
        </w:rPr>
        <w:t xml:space="preserve">18. Microplastics and Nanoplastics in Environmental Forensics</w:t>
      </w:r>
    </w:p>
    <w:p>
      <w:pPr>
        <w:spacing w:before="0" w:after="40"/>
        <w:ind w:left="360"/>
        <w:rPr>
          <w:sz w:val="22"/>
          <w:szCs w:val="22"/>
        </w:rPr>
      </w:pPr>
      <w:r>
        <w:rPr>
          <w:sz w:val="22"/>
          <w:szCs w:val="22"/>
        </w:rPr>
        <w:t xml:space="preserve">19. Adsorption and Catalysis Using 3D/4D Hybrid Materials</w:t>
      </w:r>
    </w:p>
    <w:p>
      <w:pPr>
        <w:spacing w:before="0" w:after="40"/>
        <w:ind w:left="360"/>
        <w:rPr>
          <w:sz w:val="22"/>
          <w:szCs w:val="22"/>
        </w:rPr>
      </w:pPr>
      <w:r>
        <w:rPr>
          <w:sz w:val="22"/>
          <w:szCs w:val="22"/>
        </w:rPr>
        <w:t xml:space="preserve">20. Case Studies in Applied Environmental Forensic Investigations</w:t>
      </w:r>
    </w:p>
    <w:p>
      <w:pPr>
        <w:spacing w:before="0" w:after="40"/>
        <w:ind w:left="360"/>
        <w:rPr>
          <w:sz w:val="22"/>
          <w:szCs w:val="22"/>
        </w:rPr>
      </w:pPr>
      <w:r>
        <w:rPr>
          <w:sz w:val="22"/>
          <w:szCs w:val="22"/>
        </w:rPr>
        <w:t xml:space="preserve">21. Toxicological and Environmental Impact of Hybrid Materials</w:t>
      </w:r>
    </w:p>
    <w:p>
      <w:pPr>
        <w:spacing w:before="0" w:after="40"/>
        <w:ind w:left="360"/>
        <w:rPr>
          <w:sz w:val="22"/>
          <w:szCs w:val="22"/>
        </w:rPr>
      </w:pPr>
      <w:r>
        <w:rPr>
          <w:sz w:val="22"/>
          <w:szCs w:val="22"/>
        </w:rPr>
        <w:t xml:space="preserve">22. Sustainable and Green Synthesis Approaches</w:t>
      </w:r>
    </w:p>
    <w:p>
      <w:pPr>
        <w:spacing w:before="0" w:after="40"/>
        <w:ind w:left="360"/>
        <w:rPr>
          <w:sz w:val="22"/>
          <w:szCs w:val="22"/>
        </w:rPr>
      </w:pPr>
      <w:r>
        <w:rPr>
          <w:sz w:val="22"/>
          <w:szCs w:val="22"/>
        </w:rPr>
        <w:t xml:space="preserve">23. Regulatory Frameworks, QA/QC, and Environmental Policies</w:t>
      </w:r>
    </w:p>
    <w:p>
      <w:pPr>
        <w:spacing w:before="0" w:after="40"/>
        <w:ind w:left="360"/>
        <w:rPr>
          <w:sz w:val="22"/>
          <w:szCs w:val="22"/>
        </w:rPr>
      </w:pPr>
      <w:r>
        <w:rPr>
          <w:sz w:val="22"/>
          <w:szCs w:val="22"/>
        </w:rPr>
        <w:t xml:space="preserve">24. Case Studies in Environmental Risk Assessment and Policy Implementation</w:t>
      </w:r>
    </w:p>
    <w:p>
      <w:pPr>
        <w:spacing w:before="0" w:after="40"/>
        <w:ind w:left="360"/>
        <w:rPr>
          <w:sz w:val="22"/>
          <w:szCs w:val="22"/>
        </w:rPr>
      </w:pPr>
      <w:r>
        <w:rPr>
          <w:sz w:val="22"/>
          <w:szCs w:val="22"/>
        </w:rPr>
        <w:t xml:space="preserve">25. Environmental Forensic Challenges, Risk Assessment, and Limitations</w:t>
      </w:r>
    </w:p>
    <w:p>
      <w:pPr>
        <w:spacing w:before="0" w:after="40"/>
        <w:ind w:left="360"/>
        <w:rPr>
          <w:sz w:val="22"/>
          <w:szCs w:val="22"/>
        </w:rPr>
      </w:pPr>
      <w:r>
        <w:rPr>
          <w:sz w:val="22"/>
          <w:szCs w:val="22"/>
        </w:rPr>
        <w:t xml:space="preserve">26. Future Perspectives and Emerging Trends</w:t>
      </w:r>
    </w:p>
    <w:p>
      <w:pPr>
        <w:spacing w:before="0" w:after="60"/>
      </w:pPr>
      <w:r>
        <w:rPr>
          <w:b/>
        </w:rPr>
        <w:t xml:space="preserve">Author Criteria: </w:t>
      </w:r>
      <w:r>
        <w:t xml:space="preserve">The author must have an H-index above 10</w:t>
      </w:r>
    </w:p>
    <w:p>
      <w:pPr>
        <w:spacing w:before="0" w:after="60"/>
      </w:pPr>
      <w:r>
        <w:rPr>
          <w:b/>
        </w:rPr>
        <w:t xml:space="preserve">Contact: </w:t>
      </w:r>
      <w:r>
        <w:t xml:space="preserve">mahipal4n6@gmail.com</w:t>
      </w:r>
    </w:p>
    <w:p>
      <w:pPr>
        <w:spacing w:before="240" w:after="100"/>
        <w:rPr>
          <w:b/>
          <w:color w:val="C00000"/>
          <w:sz w:val="30"/>
          <w:szCs w:val="30"/>
        </w:rPr>
      </w:pPr>
      <w:r>
        <w:rPr>
          <w:b/>
          <w:color w:val="C00000"/>
          <w:sz w:val="30"/>
          <w:szCs w:val="30"/>
        </w:rPr>
        <w:t xml:space="preserve">Image 53: AI for Security and Privacy in the IoT and Edge Continuum (Special Issue — Call for Papers)</w:t>
      </w:r>
    </w:p>
    <w:p>
      <w:pPr>
        <w:spacing w:before="0" w:after="60"/>
      </w:pPr>
      <w:r>
        <w:rPr>
          <w:b/>
        </w:rPr>
        <w:t xml:space="preserve">Publisher / Journal: </w:t>
      </w:r>
      <w:r>
        <w:t xml:space="preserve">Security and Privacy — Wiley (Wiley Online Library)</w:t>
      </w:r>
    </w:p>
    <w:p>
      <w:pPr>
        <w:spacing w:before="0" w:after="60"/>
      </w:pPr>
      <w:r>
        <w:rPr>
          <w:b/>
        </w:rPr>
        <w:t xml:space="preserve">Type: </w:t>
      </w:r>
      <w:r>
        <w:t xml:space="preserve">Special Issue Call for Papers</w:t>
      </w:r>
    </w:p>
    <w:p>
      <w:pPr>
        <w:spacing w:before="120" w:after="60"/>
        <w:rPr>
          <w:b/>
          <w:color w:val="1F3864"/>
          <w:sz w:val="24"/>
          <w:szCs w:val="24"/>
        </w:rPr>
      </w:pPr>
      <w:r>
        <w:rPr>
          <w:b/>
          <w:color w:val="1F3864"/>
          <w:sz w:val="24"/>
          <w:szCs w:val="24"/>
        </w:rPr>
        <w:t xml:space="preserve">Aim and Scope</w:t>
      </w:r>
    </w:p>
    <w:p>
      <w:pPr>
        <w:spacing w:before="0" w:after="80"/>
        <w:rPr>
          <w:sz w:val="22"/>
          <w:szCs w:val="22"/>
        </w:rPr>
      </w:pPr>
      <w:r>
        <w:rPr>
          <w:sz w:val="22"/>
          <w:szCs w:val="22"/>
        </w:rPr>
        <w:t xml:space="preserve">This special issue explores the convergence of AI, security and privacy within the IoT and edge continuum, inviting submissions on novel AI techniques, frameworks and architectures for enhancing security and privacy — including regulatory compliance, ethical AI for privacy preservation and responsible AI-driven security practices. (Content rephrased for compliance.)</w:t>
      </w:r>
    </w:p>
    <w:p>
      <w:pPr>
        <w:spacing w:before="120" w:after="60"/>
        <w:rPr>
          <w:b/>
          <w:color w:val="1F3864"/>
          <w:sz w:val="24"/>
          <w:szCs w:val="24"/>
        </w:rPr>
      </w:pPr>
      <w:r>
        <w:rPr>
          <w:b/>
          <w:color w:val="1F3864"/>
          <w:sz w:val="24"/>
          <w:szCs w:val="24"/>
        </w:rPr>
        <w:t xml:space="preserve">Topics (Not Restricted To)</w:t>
      </w:r>
    </w:p>
    <w:p>
      <w:pPr>
        <w:spacing w:before="0" w:after="40"/>
        <w:ind w:left="360"/>
        <w:rPr>
          <w:sz w:val="22"/>
          <w:szCs w:val="22"/>
        </w:rPr>
      </w:pPr>
      <w:r>
        <w:rPr>
          <w:sz w:val="22"/>
          <w:szCs w:val="22"/>
        </w:rPr>
        <w:t xml:space="preserve">•  AI-driven Threat Detection and Mitigation</w:t>
      </w:r>
    </w:p>
    <w:p>
      <w:pPr>
        <w:spacing w:before="0" w:after="40"/>
        <w:ind w:left="360"/>
        <w:rPr>
          <w:sz w:val="22"/>
          <w:szCs w:val="22"/>
        </w:rPr>
      </w:pPr>
      <w:r>
        <w:rPr>
          <w:sz w:val="22"/>
          <w:szCs w:val="22"/>
        </w:rPr>
        <w:t xml:space="preserve">•  Privacy-Preserving AI for IoT and Edge</w:t>
      </w:r>
    </w:p>
    <w:p>
      <w:pPr>
        <w:spacing w:before="0" w:after="40"/>
        <w:ind w:left="360"/>
        <w:rPr>
          <w:sz w:val="22"/>
          <w:szCs w:val="22"/>
        </w:rPr>
      </w:pPr>
      <w:r>
        <w:rPr>
          <w:sz w:val="22"/>
          <w:szCs w:val="22"/>
        </w:rPr>
        <w:t xml:space="preserve">•  AI for Access Control and Authentication</w:t>
      </w:r>
    </w:p>
    <w:p>
      <w:pPr>
        <w:spacing w:before="0" w:after="40"/>
        <w:ind w:left="360"/>
        <w:rPr>
          <w:sz w:val="22"/>
          <w:szCs w:val="22"/>
        </w:rPr>
      </w:pPr>
      <w:r>
        <w:rPr>
          <w:sz w:val="22"/>
          <w:szCs w:val="22"/>
        </w:rPr>
        <w:t xml:space="preserve">•  AI for Secure Data Governance, Management, and Sharing</w:t>
      </w:r>
    </w:p>
    <w:p>
      <w:pPr>
        <w:spacing w:before="0" w:after="40"/>
        <w:ind w:left="360"/>
        <w:rPr>
          <w:sz w:val="22"/>
          <w:szCs w:val="22"/>
        </w:rPr>
      </w:pPr>
      <w:r>
        <w:rPr>
          <w:sz w:val="22"/>
          <w:szCs w:val="22"/>
        </w:rPr>
        <w:t xml:space="preserve">•  AI for Trust and Reputation Management</w:t>
      </w:r>
    </w:p>
    <w:p>
      <w:pPr>
        <w:spacing w:before="0" w:after="40"/>
        <w:ind w:left="360"/>
        <w:rPr>
          <w:sz w:val="22"/>
          <w:szCs w:val="22"/>
        </w:rPr>
      </w:pPr>
      <w:r>
        <w:rPr>
          <w:sz w:val="22"/>
          <w:szCs w:val="22"/>
        </w:rPr>
        <w:t xml:space="preserve">•  AI for Security and Privacy in Specific IoT Applications</w:t>
      </w:r>
    </w:p>
    <w:p>
      <w:pPr>
        <w:spacing w:before="0" w:after="40"/>
        <w:ind w:left="360"/>
        <w:rPr>
          <w:sz w:val="22"/>
          <w:szCs w:val="22"/>
        </w:rPr>
      </w:pPr>
      <w:r>
        <w:rPr>
          <w:sz w:val="22"/>
          <w:szCs w:val="22"/>
        </w:rPr>
        <w:t xml:space="preserve">•  AI for Vulnerability Discovery and Patching</w:t>
      </w:r>
    </w:p>
    <w:p>
      <w:pPr>
        <w:spacing w:before="0" w:after="40"/>
        <w:ind w:left="360"/>
        <w:rPr>
          <w:sz w:val="22"/>
          <w:szCs w:val="22"/>
        </w:rPr>
      </w:pPr>
      <w:r>
        <w:rPr>
          <w:sz w:val="22"/>
          <w:szCs w:val="22"/>
        </w:rPr>
        <w:t xml:space="preserve">•  AI-enhanced Security and Privacy for Edge Computing</w:t>
      </w:r>
    </w:p>
    <w:p>
      <w:pPr>
        <w:spacing w:before="0" w:after="40"/>
        <w:ind w:left="360"/>
        <w:rPr>
          <w:sz w:val="22"/>
          <w:szCs w:val="22"/>
        </w:rPr>
      </w:pPr>
      <w:r>
        <w:rPr>
          <w:sz w:val="22"/>
          <w:szCs w:val="22"/>
        </w:rPr>
        <w:t xml:space="preserve">•  Explainable AI (XAI) for Security and Privacy Assurance</w:t>
      </w:r>
    </w:p>
    <w:p>
      <w:pPr>
        <w:spacing w:before="0" w:after="40"/>
        <w:ind w:left="360"/>
        <w:rPr>
          <w:sz w:val="22"/>
          <w:szCs w:val="22"/>
        </w:rPr>
      </w:pPr>
      <w:r>
        <w:rPr>
          <w:sz w:val="22"/>
          <w:szCs w:val="22"/>
        </w:rPr>
        <w:t xml:space="preserve">•  Adversarial Machine Learning for Threat Resilience in IoT</w:t>
      </w:r>
    </w:p>
    <w:p>
      <w:pPr>
        <w:spacing w:before="120" w:after="60"/>
        <w:rPr>
          <w:b/>
          <w:color w:val="1F3864"/>
          <w:sz w:val="24"/>
          <w:szCs w:val="24"/>
        </w:rPr>
      </w:pPr>
      <w:r>
        <w:rPr>
          <w:b/>
          <w:color w:val="1F3864"/>
          <w:sz w:val="24"/>
          <w:szCs w:val="24"/>
        </w:rPr>
        <w:t xml:space="preserve">Guest Editors</w:t>
      </w:r>
    </w:p>
    <w:p>
      <w:pPr>
        <w:spacing w:before="0" w:after="40"/>
        <w:ind w:left="360"/>
        <w:rPr>
          <w:sz w:val="22"/>
          <w:szCs w:val="22"/>
        </w:rPr>
      </w:pPr>
      <w:r>
        <w:rPr>
          <w:sz w:val="22"/>
          <w:szCs w:val="22"/>
        </w:rPr>
        <w:t xml:space="preserve">•  Dr. Niranjan Kumar Ray — KIIT University, India (niranjan.rayfcs@kiit.ac.in)</w:t>
      </w:r>
    </w:p>
    <w:p>
      <w:pPr>
        <w:spacing w:before="0" w:after="40"/>
        <w:ind w:left="360"/>
        <w:rPr>
          <w:sz w:val="22"/>
          <w:szCs w:val="22"/>
        </w:rPr>
      </w:pPr>
      <w:r>
        <w:rPr>
          <w:sz w:val="22"/>
          <w:szCs w:val="22"/>
        </w:rPr>
        <w:t xml:space="preserve">•  Dr. Prabha Sundaravadivel — The University of Texas at Tyler, United States (PSundaravadivel@uttyler.edu)</w:t>
      </w:r>
    </w:p>
    <w:p>
      <w:pPr>
        <w:spacing w:before="0" w:after="40"/>
        <w:ind w:left="360"/>
        <w:rPr>
          <w:sz w:val="22"/>
          <w:szCs w:val="22"/>
        </w:rPr>
      </w:pPr>
      <w:r>
        <w:rPr>
          <w:sz w:val="22"/>
          <w:szCs w:val="22"/>
        </w:rPr>
        <w:t xml:space="preserve">•  Dr. Chan Yeob Yeun — Khalifa University, United Arab Emirates (chan.yeun@ku.ac.ae)</w:t>
      </w:r>
    </w:p>
    <w:p>
      <w:pPr>
        <w:spacing w:before="0" w:after="40"/>
        <w:ind w:left="360"/>
        <w:rPr>
          <w:sz w:val="22"/>
          <w:szCs w:val="22"/>
        </w:rPr>
      </w:pPr>
      <w:r>
        <w:rPr>
          <w:sz w:val="22"/>
          <w:szCs w:val="22"/>
        </w:rPr>
        <w:t xml:space="preserve">•  Dr. Amit Kumar Mishra — Visiting Professor, University West, Sweden; Innovation Manager, RC Fornax, United Kingdom (akmishra@ieee.org)</w:t>
      </w:r>
    </w:p>
    <w:p>
      <w:pPr>
        <w:spacing w:before="0" w:after="60"/>
      </w:pPr>
      <w:r>
        <w:rPr>
          <w:b/>
        </w:rPr>
        <w:t xml:space="preserve">Submission Deadline: </w:t>
      </w:r>
      <w:r>
        <w:t xml:space="preserve">15 September 2026</w:t>
      </w:r>
    </w:p>
    <w:p>
      <w:pPr>
        <w:spacing w:before="0" w:after="60"/>
      </w:pPr>
      <w:r>
        <w:rPr>
          <w:b/>
        </w:rPr>
        <w:t xml:space="preserve">Keywords: </w:t>
      </w:r>
      <w:r>
        <w:t xml:space="preserve">computer science; edge computing; interconnectedness</w:t>
      </w:r>
    </w:p>
    <w:p>
      <w:pPr>
        <w:spacing w:before="0" w:after="60"/>
      </w:pPr>
      <w:r>
        <w:rPr>
          <w:b/>
        </w:rPr>
        <w:t xml:space="preserve">Submission: </w:t>
      </w:r>
      <w:r>
        <w:t xml:space="preserve">Follow the journal's Author Guidelines; select the special issue title from the drop-down list</w:t>
      </w:r>
    </w:p>
    <w:p>
      <w:pPr>
        <w:spacing w:before="240" w:after="100"/>
        <w:rPr>
          <w:b/>
          <w:color w:val="C00000"/>
          <w:sz w:val="30"/>
          <w:szCs w:val="30"/>
        </w:rPr>
      </w:pPr>
      <w:r>
        <w:rPr>
          <w:b/>
          <w:color w:val="C00000"/>
          <w:sz w:val="30"/>
          <w:szCs w:val="30"/>
        </w:rPr>
        <w:t xml:space="preserve">Image 54: Water Purification by 3D-Printing Devices</w:t>
      </w:r>
    </w:p>
    <w:p>
      <w:pPr>
        <w:spacing w:before="0" w:after="60"/>
      </w:pPr>
      <w:r>
        <w:rPr>
          <w:b/>
        </w:rPr>
        <w:t xml:space="preserve">Publisher: </w:t>
      </w:r>
      <w:r>
        <w:t xml:space="preserve">Wiley Scrivener — Scopus indexed</w:t>
      </w:r>
    </w:p>
    <w:p>
      <w:pPr>
        <w:spacing w:before="120" w:after="60"/>
        <w:rPr>
          <w:b/>
          <w:color w:val="1F3864"/>
          <w:sz w:val="24"/>
          <w:szCs w:val="24"/>
        </w:rPr>
      </w:pPr>
      <w:r>
        <w:rPr>
          <w:b/>
          <w:color w:val="1F3864"/>
          <w:sz w:val="24"/>
          <w:szCs w:val="24"/>
        </w:rPr>
        <w:t xml:space="preserve">About the Book</w:t>
      </w:r>
    </w:p>
    <w:p>
      <w:pPr>
        <w:spacing w:before="0" w:after="80"/>
        <w:rPr>
          <w:sz w:val="22"/>
          <w:szCs w:val="22"/>
        </w:rPr>
      </w:pPr>
      <w:r>
        <w:rPr>
          <w:sz w:val="22"/>
          <w:szCs w:val="22"/>
        </w:rPr>
        <w:t xml:space="preserve">This edited volume explores recent advances, innovative technologies and practical applications of 3D-printed devices for sustainable water purification. Researchers, academicians, industry experts and practitioners are invited to contribute high-quality book chapters. (Content rephrased for compliance.)</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Dr. Surajit Mondal — Associate Professor, Amity University, Bangalore, India</w:t>
      </w:r>
    </w:p>
    <w:p>
      <w:pPr>
        <w:spacing w:before="0" w:after="40"/>
        <w:ind w:left="360"/>
        <w:rPr>
          <w:sz w:val="22"/>
          <w:szCs w:val="22"/>
        </w:rPr>
      </w:pPr>
      <w:r>
        <w:rPr>
          <w:sz w:val="22"/>
          <w:szCs w:val="22"/>
        </w:rPr>
        <w:t xml:space="preserve">•  Dr. Mudassir Khan — Assistant Professor, King Khalid University, Saudi Arabia</w:t>
      </w:r>
    </w:p>
    <w:p>
      <w:pPr>
        <w:spacing w:before="120" w:after="60"/>
        <w:rPr>
          <w:b/>
          <w:color w:val="1F3864"/>
          <w:sz w:val="24"/>
          <w:szCs w:val="24"/>
        </w:rPr>
      </w:pPr>
      <w:r>
        <w:rPr>
          <w:b/>
          <w:color w:val="1F3864"/>
          <w:sz w:val="24"/>
          <w:szCs w:val="24"/>
        </w:rPr>
        <w:t xml:space="preserve">Suggested Chapter Topics</w:t>
      </w:r>
    </w:p>
    <w:p>
      <w:pPr>
        <w:spacing w:before="0" w:after="40"/>
        <w:ind w:left="360"/>
        <w:rPr>
          <w:sz w:val="22"/>
          <w:szCs w:val="22"/>
        </w:rPr>
      </w:pPr>
      <w:r>
        <w:rPr>
          <w:sz w:val="22"/>
          <w:szCs w:val="22"/>
        </w:rPr>
        <w:t xml:space="preserve">1. Introduction: Need, Scope, and Opportunities</w:t>
      </w:r>
    </w:p>
    <w:p>
      <w:pPr>
        <w:spacing w:before="0" w:after="40"/>
        <w:ind w:left="360"/>
        <w:rPr>
          <w:sz w:val="22"/>
          <w:szCs w:val="22"/>
        </w:rPr>
      </w:pPr>
      <w:r>
        <w:rPr>
          <w:sz w:val="22"/>
          <w:szCs w:val="22"/>
        </w:rPr>
        <w:t xml:space="preserve">2. Basics of 3D Printing for Fluid Devices</w:t>
      </w:r>
    </w:p>
    <w:p>
      <w:pPr>
        <w:spacing w:before="0" w:after="40"/>
        <w:ind w:left="360"/>
        <w:rPr>
          <w:sz w:val="22"/>
          <w:szCs w:val="22"/>
        </w:rPr>
      </w:pPr>
      <w:r>
        <w:rPr>
          <w:sz w:val="22"/>
          <w:szCs w:val="22"/>
        </w:rPr>
        <w:t xml:space="preserve">3. Printable Materials and Post-Processing for Water Contact</w:t>
      </w:r>
    </w:p>
    <w:p>
      <w:pPr>
        <w:spacing w:before="0" w:after="40"/>
        <w:ind w:left="360"/>
        <w:rPr>
          <w:sz w:val="22"/>
          <w:szCs w:val="22"/>
        </w:rPr>
      </w:pPr>
      <w:r>
        <w:rPr>
          <w:sz w:val="22"/>
          <w:szCs w:val="22"/>
        </w:rPr>
        <w:t xml:space="preserve">4. Design Principles for Porous Media, Membranes, and Microchannels</w:t>
      </w:r>
    </w:p>
    <w:p>
      <w:pPr>
        <w:spacing w:before="0" w:after="40"/>
        <w:ind w:left="360"/>
        <w:rPr>
          <w:sz w:val="22"/>
          <w:szCs w:val="22"/>
        </w:rPr>
      </w:pPr>
      <w:r>
        <w:rPr>
          <w:sz w:val="22"/>
          <w:szCs w:val="22"/>
        </w:rPr>
        <w:t xml:space="preserve">5. Integrating Filtration, Adsorption, and Advanced Oxidation</w:t>
      </w:r>
    </w:p>
    <w:p>
      <w:pPr>
        <w:spacing w:before="0" w:after="40"/>
        <w:ind w:left="360"/>
        <w:rPr>
          <w:sz w:val="22"/>
          <w:szCs w:val="22"/>
        </w:rPr>
      </w:pPr>
      <w:r>
        <w:rPr>
          <w:sz w:val="22"/>
          <w:szCs w:val="22"/>
        </w:rPr>
        <w:t xml:space="preserve">6. Manufacturing for Scale</w:t>
      </w:r>
    </w:p>
    <w:p>
      <w:pPr>
        <w:spacing w:before="0" w:after="40"/>
        <w:ind w:left="360"/>
        <w:rPr>
          <w:sz w:val="22"/>
          <w:szCs w:val="22"/>
        </w:rPr>
      </w:pPr>
      <w:r>
        <w:rPr>
          <w:sz w:val="22"/>
          <w:szCs w:val="22"/>
        </w:rPr>
        <w:t xml:space="preserve">7. Testing and Validation</w:t>
      </w:r>
    </w:p>
    <w:p>
      <w:pPr>
        <w:spacing w:before="0" w:after="40"/>
        <w:ind w:left="360"/>
        <w:rPr>
          <w:sz w:val="22"/>
          <w:szCs w:val="22"/>
        </w:rPr>
      </w:pPr>
      <w:r>
        <w:rPr>
          <w:sz w:val="22"/>
          <w:szCs w:val="22"/>
        </w:rPr>
        <w:t xml:space="preserve">8. Case Studies</w:t>
      </w:r>
    </w:p>
    <w:p>
      <w:pPr>
        <w:spacing w:before="0" w:after="40"/>
        <w:ind w:left="360"/>
        <w:rPr>
          <w:sz w:val="22"/>
          <w:szCs w:val="22"/>
        </w:rPr>
      </w:pPr>
      <w:r>
        <w:rPr>
          <w:sz w:val="22"/>
          <w:szCs w:val="22"/>
        </w:rPr>
        <w:t xml:space="preserve">9. Biofouling, Maintenance, and Device Longevity</w:t>
      </w:r>
    </w:p>
    <w:p>
      <w:pPr>
        <w:spacing w:before="0" w:after="40"/>
        <w:ind w:left="360"/>
        <w:rPr>
          <w:sz w:val="22"/>
          <w:szCs w:val="22"/>
        </w:rPr>
      </w:pPr>
      <w:r>
        <w:rPr>
          <w:sz w:val="22"/>
          <w:szCs w:val="22"/>
        </w:rPr>
        <w:t xml:space="preserve">10. Safety, Regulation, and Environmental Impact</w:t>
      </w:r>
    </w:p>
    <w:p>
      <w:pPr>
        <w:spacing w:before="0" w:after="40"/>
        <w:ind w:left="360"/>
        <w:rPr>
          <w:sz w:val="22"/>
          <w:szCs w:val="22"/>
        </w:rPr>
      </w:pPr>
      <w:r>
        <w:rPr>
          <w:sz w:val="22"/>
          <w:szCs w:val="22"/>
        </w:rPr>
        <w:t xml:space="preserve">11. Business Models and Deployment Pathways</w:t>
      </w:r>
    </w:p>
    <w:p>
      <w:pPr>
        <w:spacing w:before="0" w:after="40"/>
        <w:ind w:left="360"/>
        <w:rPr>
          <w:sz w:val="22"/>
          <w:szCs w:val="22"/>
        </w:rPr>
      </w:pPr>
      <w:r>
        <w:rPr>
          <w:sz w:val="22"/>
          <w:szCs w:val="22"/>
        </w:rPr>
        <w:t xml:space="preserve">12. Future Directions and Research Gaps</w:t>
      </w:r>
    </w:p>
    <w:p>
      <w:pPr>
        <w:spacing w:before="0" w:after="60"/>
      </w:pPr>
      <w:r>
        <w:rPr>
          <w:b/>
        </w:rPr>
        <w:t xml:space="preserve">Full Chapter Submission Deadline: </w:t>
      </w:r>
      <w:r>
        <w:t xml:space="preserve">30 September 2026</w:t>
      </w:r>
    </w:p>
    <w:p>
      <w:pPr>
        <w:spacing w:before="0" w:after="60"/>
      </w:pPr>
      <w:r>
        <w:rPr>
          <w:b/>
        </w:rPr>
        <w:t xml:space="preserve">Submit Your Chapter: </w:t>
      </w:r>
      <w:r>
        <w:t xml:space="preserve">mkhankku@gmail.com</w:t>
      </w:r>
    </w:p>
    <w:p>
      <w:pPr>
        <w:spacing w:before="0" w:after="60"/>
      </w:pPr>
      <w:r>
        <w:rPr>
          <w:b/>
        </w:rPr>
        <w:t xml:space="preserve">Who Can Contribute: </w:t>
      </w:r>
      <w:r>
        <w:t xml:space="preserve">Researchers; Faculty Members; Scientists; Industry Professionals; Postgraduate Scholars</w:t>
      </w:r>
    </w:p>
    <w:p>
      <w:pPr>
        <w:spacing w:before="240" w:after="100"/>
        <w:rPr>
          <w:b/>
          <w:color w:val="C00000"/>
          <w:sz w:val="30"/>
          <w:szCs w:val="30"/>
        </w:rPr>
      </w:pPr>
      <w:r>
        <w:rPr>
          <w:b/>
          <w:color w:val="C00000"/>
          <w:sz w:val="30"/>
          <w:szCs w:val="30"/>
        </w:rPr>
        <w:t xml:space="preserve">Image 55: Advances in Electrochemical Sensing Technology for Air Quality Monitoring and Management (Springer) — repeat flyer</w:t>
      </w:r>
    </w:p>
    <w:p>
      <w:pPr>
        <w:spacing w:before="0" w:after="80"/>
        <w:rPr>
          <w:i/>
          <w:sz w:val="22"/>
          <w:szCs w:val="22"/>
        </w:rPr>
      </w:pPr>
      <w:r>
        <w:rPr>
          <w:i/>
          <w:sz w:val="22"/>
          <w:szCs w:val="22"/>
        </w:rPr>
        <w:t xml:space="preserve">This flyer repeats the Springer electrochemical-sensing call captured earlier (Image 24). Key details below.</w:t>
      </w:r>
    </w:p>
    <w:p>
      <w:pPr>
        <w:spacing w:before="0" w:after="60"/>
      </w:pPr>
      <w:r>
        <w:rPr>
          <w:b/>
        </w:rPr>
        <w:t xml:space="preserve">Publisher: </w:t>
      </w:r>
      <w:r>
        <w:t xml:space="preserve">Springer (upcoming book)</w:t>
      </w:r>
    </w:p>
    <w:p>
      <w:pPr>
        <w:spacing w:before="0" w:after="60"/>
      </w:pPr>
      <w:r>
        <w:rPr>
          <w:b/>
        </w:rPr>
        <w:t xml:space="preserve">Editors: </w:t>
      </w:r>
      <w:r>
        <w:t xml:space="preserve">Dr. Arun Lal Srivastav (Tulas University, Dehradun, India); Dr. Shivendu Prashar (Chitkara University, HP, India); Dr. Ajeet Kaushik (Florida Polytechnic University, USA); Dr. Sughosh Madhav (Jamia Millia Islamia, New Delhi, India)</w:t>
      </w:r>
    </w:p>
    <w:p>
      <w:pPr>
        <w:spacing w:before="0" w:after="60"/>
      </w:pPr>
      <w:r>
        <w:rPr>
          <w:b/>
        </w:rPr>
        <w:t xml:space="preserve">Structure: </w:t>
      </w:r>
      <w:r>
        <w:t xml:space="preserve">22 titles across Section I (air quality indexing/management), Section II (real-world case studies) and Section III (sustainable air quality management)</w:t>
      </w:r>
    </w:p>
    <w:p>
      <w:pPr>
        <w:spacing w:before="0" w:after="60"/>
      </w:pPr>
      <w:r>
        <w:rPr>
          <w:b/>
        </w:rPr>
        <w:t xml:space="preserve">Submission Procedure: </w:t>
      </w:r>
      <w:r>
        <w:t xml:space="preserve">Review paper/case study; ~7000 words; 3–4 figures/tables; plagiarism &lt;10%; AI content NIL; Harvard referencing</w:t>
      </w:r>
    </w:p>
    <w:p>
      <w:pPr>
        <w:spacing w:before="0" w:after="60"/>
      </w:pPr>
      <w:r>
        <w:rPr>
          <w:b/>
        </w:rPr>
        <w:t xml:space="preserve">Abstract Submission Deadline: </w:t>
      </w:r>
      <w:r>
        <w:t xml:space="preserve">September 05, 2026</w:t>
      </w:r>
    </w:p>
    <w:p>
      <w:pPr>
        <w:spacing w:before="0" w:after="60"/>
      </w:pPr>
      <w:r>
        <w:rPr>
          <w:b/>
        </w:rPr>
        <w:t xml:space="preserve">Full Paper Submission Deadline: </w:t>
      </w:r>
      <w:r>
        <w:t xml:space="preserve">November 10, 2026</w:t>
      </w:r>
    </w:p>
    <w:p>
      <w:pPr>
        <w:spacing w:before="0" w:after="60"/>
      </w:pPr>
      <w:r>
        <w:rPr>
          <w:b/>
        </w:rPr>
        <w:t xml:space="preserve">Charges: </w:t>
      </w:r>
      <w:r>
        <w:t xml:space="preserve">No APC</w:t>
      </w:r>
    </w:p>
    <w:p>
      <w:pPr>
        <w:spacing w:before="0" w:after="60"/>
      </w:pPr>
      <w:r>
        <w:rPr>
          <w:b/>
        </w:rPr>
        <w:t xml:space="preserve">Email: </w:t>
      </w:r>
      <w:r>
        <w:t xml:space="preserve">drarunlalsrivastav@gmail.com</w:t>
      </w:r>
    </w:p>
    <w:p>
      <w:pPr>
        <w:spacing w:before="240" w:after="100"/>
        <w:rPr>
          <w:b/>
          <w:color w:val="C00000"/>
          <w:sz w:val="30"/>
          <w:szCs w:val="30"/>
        </w:rPr>
      </w:pPr>
      <w:r>
        <w:rPr>
          <w:b/>
          <w:color w:val="C00000"/>
          <w:sz w:val="30"/>
          <w:szCs w:val="30"/>
        </w:rPr>
        <w:t xml:space="preserve">Image 56: Lightweight Deep Learning for Efficient AI: Models, Methods and Applications (Springer) — repeat flyer</w:t>
      </w:r>
    </w:p>
    <w:p>
      <w:pPr>
        <w:spacing w:before="0" w:after="80"/>
        <w:rPr>
          <w:i/>
          <w:sz w:val="22"/>
          <w:szCs w:val="22"/>
        </w:rPr>
      </w:pPr>
      <w:r>
        <w:rPr>
          <w:i/>
          <w:sz w:val="22"/>
          <w:szCs w:val="22"/>
        </w:rPr>
        <w:t xml:space="preserve">This flyer repeats the Springer lightweight deep-learning call captured earlier. Key details below.</w:t>
      </w:r>
    </w:p>
    <w:p>
      <w:pPr>
        <w:spacing w:before="0" w:after="60"/>
      </w:pPr>
      <w:r>
        <w:rPr>
          <w:b/>
        </w:rPr>
        <w:t xml:space="preserve">Publisher: </w:t>
      </w:r>
      <w:r>
        <w:t xml:space="preserve">Springer — all chapters submitted to Scopus Index</w:t>
      </w:r>
    </w:p>
    <w:p>
      <w:pPr>
        <w:spacing w:before="0" w:after="60"/>
      </w:pPr>
      <w:r>
        <w:rPr>
          <w:b/>
        </w:rPr>
        <w:t xml:space="preserve">Charges: </w:t>
      </w:r>
      <w:r>
        <w:t xml:space="preserve">No Processing / Publication Charges</w:t>
      </w:r>
    </w:p>
    <w:p>
      <w:pPr>
        <w:spacing w:before="0" w:after="60"/>
      </w:pPr>
      <w:r>
        <w:rPr>
          <w:b/>
        </w:rPr>
        <w:t xml:space="preserve">Editors: </w:t>
      </w:r>
      <w:r>
        <w:t xml:space="preserve">Dr. Naeem Ahmad (National Institute of Technology Raipur, India); Dr. Khalid Raza (Jamia Millia Islamia, New Delhi, India)</w:t>
      </w:r>
    </w:p>
    <w:p>
      <w:pPr>
        <w:spacing w:before="0" w:after="60"/>
      </w:pPr>
      <w:r>
        <w:rPr>
          <w:b/>
        </w:rPr>
        <w:t xml:space="preserve">Scope: </w:t>
      </w:r>
      <w:r>
        <w:t xml:space="preserve">Model compression, pruning, quantisation, NAS, lightweight CNNs/transformers, efficient generative AI/LLMs, edge AI/TinyML, federated learning and green AI</w:t>
      </w:r>
    </w:p>
    <w:p>
      <w:pPr>
        <w:spacing w:before="0" w:after="60"/>
      </w:pPr>
      <w:r>
        <w:rPr>
          <w:b/>
        </w:rPr>
        <w:t xml:space="preserve">Abstract Submission: </w:t>
      </w:r>
      <w:r>
        <w:t xml:space="preserve">15-09-2026</w:t>
      </w:r>
    </w:p>
    <w:p>
      <w:pPr>
        <w:spacing w:before="0" w:after="60"/>
      </w:pPr>
      <w:r>
        <w:rPr>
          <w:b/>
        </w:rPr>
        <w:t xml:space="preserve">Decision on Abstract: </w:t>
      </w:r>
      <w:r>
        <w:t xml:space="preserve">30-09-2026</w:t>
      </w:r>
    </w:p>
    <w:p>
      <w:pPr>
        <w:spacing w:before="0" w:after="60"/>
      </w:pPr>
      <w:r>
        <w:rPr>
          <w:b/>
        </w:rPr>
        <w:t xml:space="preserve">Full Chapter Submission: </w:t>
      </w:r>
      <w:r>
        <w:t xml:space="preserve">30-11-2026</w:t>
      </w:r>
    </w:p>
    <w:p>
      <w:pPr>
        <w:spacing w:before="0" w:after="60"/>
      </w:pPr>
      <w:r>
        <w:rPr>
          <w:b/>
        </w:rPr>
        <w:t xml:space="preserve">Peer Review &amp; Decision: </w:t>
      </w:r>
      <w:r>
        <w:t xml:space="preserve">31-01-2027</w:t>
      </w:r>
    </w:p>
    <w:p>
      <w:pPr>
        <w:spacing w:before="0" w:after="60"/>
      </w:pPr>
      <w:r>
        <w:rPr>
          <w:b/>
        </w:rPr>
        <w:t xml:space="preserve">Publication: </w:t>
      </w:r>
      <w:r>
        <w:t xml:space="preserve">June/July 2027</w:t>
      </w:r>
    </w:p>
    <w:p>
      <w:pPr>
        <w:spacing w:before="0" w:after="60"/>
      </w:pPr>
      <w:r>
        <w:rPr>
          <w:b/>
        </w:rPr>
        <w:t xml:space="preserve">Abstract Submission Link: </w:t>
      </w:r>
      <w:r>
        <w:t xml:space="preserve">https://tinyurl.com/fs43fva5</w:t>
      </w:r>
    </w:p>
    <w:p>
      <w:pPr>
        <w:spacing w:before="0" w:after="60"/>
      </w:pPr>
      <w:r>
        <w:rPr>
          <w:b/>
        </w:rPr>
        <w:t xml:space="preserve">Contact: </w:t>
      </w:r>
      <w:r>
        <w:t xml:space="preserve">nahmad.mca@nitrr.ac.in; kraza@jmi.ac.in</w:t>
      </w:r>
    </w:p>
    <w:p>
      <w:pPr>
        <w:spacing w:before="240" w:after="100"/>
        <w:rPr>
          <w:b/>
          <w:color w:val="C00000"/>
          <w:sz w:val="30"/>
          <w:szCs w:val="30"/>
        </w:rPr>
      </w:pPr>
      <w:r>
        <w:rPr>
          <w:b/>
          <w:color w:val="C00000"/>
          <w:sz w:val="30"/>
          <w:szCs w:val="30"/>
        </w:rPr>
        <w:t xml:space="preserve">Image 57: TinyML-Enabled IoT Systems: Recent Advances</w:t>
      </w:r>
    </w:p>
    <w:p>
      <w:pPr>
        <w:spacing w:before="0" w:after="60"/>
      </w:pPr>
      <w:r>
        <w:rPr>
          <w:b/>
        </w:rPr>
        <w:t xml:space="preserve">Publisher: </w:t>
      </w:r>
      <w:r>
        <w:t xml:space="preserve">Bentham Science</w:t>
      </w:r>
    </w:p>
    <w:p>
      <w:pPr>
        <w:spacing w:before="0" w:after="60"/>
      </w:pPr>
      <w:r>
        <w:rPr>
          <w:b/>
        </w:rPr>
        <w:t xml:space="preserve">Charges: </w:t>
      </w:r>
      <w:r>
        <w:t xml:space="preserve">No Publication Charges</w:t>
      </w:r>
    </w:p>
    <w:p>
      <w:pPr>
        <w:spacing w:before="120" w:after="60"/>
        <w:rPr>
          <w:b/>
          <w:color w:val="1F3864"/>
          <w:sz w:val="24"/>
          <w:szCs w:val="24"/>
        </w:rPr>
      </w:pPr>
      <w:r>
        <w:rPr>
          <w:b/>
          <w:color w:val="1F3864"/>
          <w:sz w:val="24"/>
          <w:szCs w:val="24"/>
        </w:rPr>
        <w:t xml:space="preserve">Topics</w:t>
      </w:r>
    </w:p>
    <w:p>
      <w:pPr>
        <w:spacing w:before="0" w:after="40"/>
        <w:ind w:left="360"/>
        <w:rPr>
          <w:sz w:val="22"/>
          <w:szCs w:val="22"/>
        </w:rPr>
      </w:pPr>
      <w:r>
        <w:rPr>
          <w:sz w:val="22"/>
          <w:szCs w:val="22"/>
        </w:rPr>
        <w:t xml:space="preserve">1. Introduction to TinyML and Edge-Native Intelligence for IoT Systems</w:t>
      </w:r>
    </w:p>
    <w:p>
      <w:pPr>
        <w:spacing w:before="0" w:after="40"/>
        <w:ind w:left="360"/>
        <w:rPr>
          <w:sz w:val="22"/>
          <w:szCs w:val="22"/>
        </w:rPr>
      </w:pPr>
      <w:r>
        <w:rPr>
          <w:sz w:val="22"/>
          <w:szCs w:val="22"/>
        </w:rPr>
        <w:t xml:space="preserve">2. Embedded Computing Architectures and Hardware Platforms for TinyML</w:t>
      </w:r>
    </w:p>
    <w:p>
      <w:pPr>
        <w:spacing w:before="0" w:after="40"/>
        <w:ind w:left="360"/>
        <w:rPr>
          <w:sz w:val="22"/>
          <w:szCs w:val="22"/>
        </w:rPr>
      </w:pPr>
      <w:r>
        <w:rPr>
          <w:sz w:val="22"/>
          <w:szCs w:val="22"/>
        </w:rPr>
        <w:t xml:space="preserve">3. Hardware–Software Co-Design Strategies for Resource-Constrained TinyML Systems</w:t>
      </w:r>
    </w:p>
    <w:p>
      <w:pPr>
        <w:spacing w:before="0" w:after="40"/>
        <w:ind w:left="360"/>
        <w:rPr>
          <w:sz w:val="22"/>
          <w:szCs w:val="22"/>
        </w:rPr>
      </w:pPr>
      <w:r>
        <w:rPr>
          <w:sz w:val="22"/>
          <w:szCs w:val="22"/>
        </w:rPr>
        <w:t xml:space="preserve">4. Machine Learning Algorithms and Neural Network Architectures for TinyML</w:t>
      </w:r>
    </w:p>
    <w:p>
      <w:pPr>
        <w:spacing w:before="0" w:after="40"/>
        <w:ind w:left="360"/>
        <w:rPr>
          <w:sz w:val="22"/>
          <w:szCs w:val="22"/>
        </w:rPr>
      </w:pPr>
      <w:r>
        <w:rPr>
          <w:sz w:val="22"/>
          <w:szCs w:val="22"/>
        </w:rPr>
        <w:t xml:space="preserve">5. TinyML Frameworks, Toolchains, and Software Ecosystems</w:t>
      </w:r>
    </w:p>
    <w:p>
      <w:pPr>
        <w:spacing w:before="0" w:after="40"/>
        <w:ind w:left="360"/>
        <w:rPr>
          <w:sz w:val="22"/>
          <w:szCs w:val="22"/>
        </w:rPr>
      </w:pPr>
      <w:r>
        <w:rPr>
          <w:sz w:val="22"/>
          <w:szCs w:val="22"/>
        </w:rPr>
        <w:t xml:space="preserve">6. TinyMLOps: Deployment Pipelines and Lifecycle Management for Embedded AI</w:t>
      </w:r>
    </w:p>
    <w:p>
      <w:pPr>
        <w:spacing w:before="0" w:after="40"/>
        <w:ind w:left="360"/>
        <w:rPr>
          <w:sz w:val="22"/>
          <w:szCs w:val="22"/>
        </w:rPr>
      </w:pPr>
      <w:r>
        <w:rPr>
          <w:sz w:val="22"/>
          <w:szCs w:val="22"/>
        </w:rPr>
        <w:t xml:space="preserve">7. Model Compression, Quantization, and Resource-Aware Optimization Techniques for TinyML</w:t>
      </w:r>
    </w:p>
    <w:p>
      <w:pPr>
        <w:spacing w:before="0" w:after="40"/>
        <w:ind w:left="360"/>
        <w:rPr>
          <w:sz w:val="22"/>
          <w:szCs w:val="22"/>
        </w:rPr>
      </w:pPr>
      <w:r>
        <w:rPr>
          <w:sz w:val="22"/>
          <w:szCs w:val="22"/>
        </w:rPr>
        <w:t xml:space="preserve">8. Energy-Efficient Learning and Inference for Ultra-Low-Power TinyML Systems</w:t>
      </w:r>
    </w:p>
    <w:p>
      <w:pPr>
        <w:spacing w:before="0" w:after="40"/>
        <w:ind w:left="360"/>
        <w:rPr>
          <w:sz w:val="22"/>
          <w:szCs w:val="22"/>
        </w:rPr>
      </w:pPr>
      <w:r>
        <w:rPr>
          <w:sz w:val="22"/>
          <w:szCs w:val="22"/>
        </w:rPr>
        <w:t xml:space="preserve">9. On-Device Adaptation, Continual Learning, and Federated Learning in TinyML</w:t>
      </w:r>
    </w:p>
    <w:p>
      <w:pPr>
        <w:spacing w:before="0" w:after="40"/>
        <w:ind w:left="360"/>
        <w:rPr>
          <w:sz w:val="22"/>
          <w:szCs w:val="22"/>
        </w:rPr>
      </w:pPr>
      <w:r>
        <w:rPr>
          <w:sz w:val="22"/>
          <w:szCs w:val="22"/>
        </w:rPr>
        <w:t xml:space="preserve">10. Security, Privacy, and Trustworthy Intelligence in TinyML-Enabled IoT Systems</w:t>
      </w:r>
    </w:p>
    <w:p>
      <w:pPr>
        <w:spacing w:before="0" w:after="40"/>
        <w:ind w:left="360"/>
        <w:rPr>
          <w:sz w:val="22"/>
          <w:szCs w:val="22"/>
        </w:rPr>
      </w:pPr>
      <w:r>
        <w:rPr>
          <w:sz w:val="22"/>
          <w:szCs w:val="22"/>
        </w:rPr>
        <w:t xml:space="preserve">11. Benchmarking, Performance Evaluation, and Deployment Metrics for TinyML Systems</w:t>
      </w:r>
    </w:p>
    <w:p>
      <w:pPr>
        <w:spacing w:before="0" w:after="40"/>
        <w:ind w:left="360"/>
        <w:rPr>
          <w:sz w:val="22"/>
          <w:szCs w:val="22"/>
        </w:rPr>
      </w:pPr>
      <w:r>
        <w:rPr>
          <w:sz w:val="22"/>
          <w:szCs w:val="22"/>
        </w:rPr>
        <w:t xml:space="preserve">12. TinyML Applications in Smart Healthcare, Wearable Computing, and Digital Health</w:t>
      </w:r>
    </w:p>
    <w:p>
      <w:pPr>
        <w:spacing w:before="0" w:after="40"/>
        <w:ind w:left="360"/>
        <w:rPr>
          <w:sz w:val="22"/>
          <w:szCs w:val="22"/>
        </w:rPr>
      </w:pPr>
      <w:r>
        <w:rPr>
          <w:sz w:val="22"/>
          <w:szCs w:val="22"/>
        </w:rPr>
        <w:t xml:space="preserve">13. TinyML Applications in Industrial IoT, Predictive Maintenance, and Intelligent Automation</w:t>
      </w:r>
    </w:p>
    <w:p>
      <w:pPr>
        <w:spacing w:before="0" w:after="40"/>
        <w:ind w:left="360"/>
        <w:rPr>
          <w:sz w:val="22"/>
          <w:szCs w:val="22"/>
        </w:rPr>
      </w:pPr>
      <w:r>
        <w:rPr>
          <w:sz w:val="22"/>
          <w:szCs w:val="22"/>
        </w:rPr>
        <w:t xml:space="preserve">14. TinyML Applications in Agriculture, Environmental Monitoring, and Smart Infrastructure</w:t>
      </w:r>
    </w:p>
    <w:p>
      <w:pPr>
        <w:spacing w:before="0" w:after="40"/>
        <w:ind w:left="360"/>
        <w:rPr>
          <w:sz w:val="22"/>
          <w:szCs w:val="22"/>
        </w:rPr>
      </w:pPr>
      <w:r>
        <w:rPr>
          <w:sz w:val="22"/>
          <w:szCs w:val="22"/>
        </w:rPr>
        <w:t xml:space="preserve">15. Emerging Trends, Open Challenges, and Future Directions of TinyML-Enabled IoT Systems</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Chandramouli Haldar — Independent Researcher, NovaTech Innovative Solutions</w:t>
      </w:r>
    </w:p>
    <w:p>
      <w:pPr>
        <w:spacing w:before="0" w:after="40"/>
        <w:ind w:left="360"/>
        <w:rPr>
          <w:sz w:val="22"/>
          <w:szCs w:val="22"/>
        </w:rPr>
      </w:pPr>
      <w:r>
        <w:rPr>
          <w:sz w:val="22"/>
          <w:szCs w:val="22"/>
        </w:rPr>
        <w:t xml:space="preserve">•  Dr. Lalit Garg — Professor, University of Malta, Malta</w:t>
      </w:r>
    </w:p>
    <w:p>
      <w:pPr>
        <w:spacing w:before="0" w:after="40"/>
        <w:ind w:left="360"/>
        <w:rPr>
          <w:sz w:val="22"/>
          <w:szCs w:val="22"/>
        </w:rPr>
      </w:pPr>
      <w:r>
        <w:rPr>
          <w:sz w:val="22"/>
          <w:szCs w:val="22"/>
        </w:rPr>
        <w:t xml:space="preserve">•  Dr. Suparna Biswas — Associate Professor, Guru Nanak Institute of Technology, India</w:t>
      </w:r>
    </w:p>
    <w:p>
      <w:pPr>
        <w:spacing w:before="0" w:after="40"/>
        <w:ind w:left="360"/>
        <w:rPr>
          <w:sz w:val="22"/>
          <w:szCs w:val="22"/>
        </w:rPr>
      </w:pPr>
      <w:r>
        <w:rPr>
          <w:sz w:val="22"/>
          <w:szCs w:val="22"/>
        </w:rPr>
        <w:t xml:space="preserve">•  Dr. Soumik Podder — Associate Professor, University of Engineering &amp; Management, India</w:t>
      </w:r>
    </w:p>
    <w:p>
      <w:pPr>
        <w:spacing w:before="120" w:after="60"/>
        <w:rPr>
          <w:b/>
          <w:color w:val="1F3864"/>
          <w:sz w:val="24"/>
          <w:szCs w:val="24"/>
        </w:rPr>
      </w:pPr>
      <w:r>
        <w:rPr>
          <w:b/>
          <w:color w:val="1F3864"/>
          <w:sz w:val="24"/>
          <w:szCs w:val="24"/>
        </w:rPr>
        <w:t xml:space="preserve">Important Dates</w:t>
      </w:r>
    </w:p>
    <w:p>
      <w:pPr>
        <w:spacing w:before="0" w:after="60"/>
      </w:pPr>
      <w:r>
        <w:rPr>
          <w:b/>
        </w:rPr>
        <w:t xml:space="preserve">Abstract Submission Deadline: </w:t>
      </w:r>
      <w:r>
        <w:t xml:space="preserve">Aug 31, 2026</w:t>
      </w:r>
    </w:p>
    <w:p>
      <w:pPr>
        <w:spacing w:before="0" w:after="60"/>
      </w:pPr>
      <w:r>
        <w:rPr>
          <w:b/>
        </w:rPr>
        <w:t xml:space="preserve">Notification of Acceptance: </w:t>
      </w:r>
      <w:r>
        <w:t xml:space="preserve">Sep 10, 2026</w:t>
      </w:r>
    </w:p>
    <w:p>
      <w:pPr>
        <w:spacing w:before="0" w:after="60"/>
      </w:pPr>
      <w:r>
        <w:rPr>
          <w:b/>
        </w:rPr>
        <w:t xml:space="preserve">Full Paper Submission: </w:t>
      </w:r>
      <w:r>
        <w:t xml:space="preserve">Sep 20, 2025 (as printed on flyer — likely 2026)</w:t>
      </w:r>
    </w:p>
    <w:p>
      <w:pPr>
        <w:spacing w:before="0" w:after="60"/>
      </w:pPr>
      <w:r>
        <w:rPr>
          <w:b/>
        </w:rPr>
        <w:t xml:space="preserve">Guidelines: </w:t>
      </w:r>
      <w:r>
        <w:t xml:space="preserve">Plagiarism under 10%; AI similarity 0%; corresponding author H-index &gt;10; page limit 15–20</w:t>
      </w:r>
    </w:p>
    <w:p>
      <w:pPr>
        <w:spacing w:before="0" w:after="60"/>
      </w:pPr>
      <w:r>
        <w:rPr>
          <w:b/>
        </w:rPr>
        <w:t xml:space="preserve">Submission Link: </w:t>
      </w:r>
      <w:r>
        <w:t xml:space="preserve">https://tinyurl.com/tinymlchapter</w:t>
      </w:r>
    </w:p>
    <w:p>
      <w:pPr>
        <w:spacing w:before="0" w:after="60"/>
      </w:pPr>
      <w:r>
        <w:rPr>
          <w:b/>
        </w:rPr>
        <w:t xml:space="preserve">Contact: </w:t>
      </w:r>
      <w:r>
        <w:t xml:space="preserve">editors.ratml2026@gmail.com; +91 8336001208</w:t>
      </w:r>
    </w:p>
    <w:p>
      <w:pPr>
        <w:spacing w:before="240" w:after="100"/>
        <w:rPr>
          <w:b/>
          <w:color w:val="C00000"/>
          <w:sz w:val="30"/>
          <w:szCs w:val="30"/>
        </w:rPr>
      </w:pPr>
      <w:r>
        <w:rPr>
          <w:b/>
          <w:color w:val="C00000"/>
          <w:sz w:val="30"/>
          <w:szCs w:val="30"/>
        </w:rPr>
        <w:t xml:space="preserve">Image 58: Metagenomics in Bioremediation: AI and ML-Driven Applications for Sustainable Environmental Management</w:t>
      </w:r>
    </w:p>
    <w:p>
      <w:pPr>
        <w:spacing w:before="0" w:after="60"/>
      </w:pPr>
      <w:r>
        <w:rPr>
          <w:b/>
        </w:rPr>
        <w:t xml:space="preserve">Publisher: </w:t>
      </w:r>
      <w:r>
        <w:t xml:space="preserve">Wiley</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Dr. Vineet Kumar — Assistant Professor, Dept. of Microbiology, IIMT University, Meerut, India</w:t>
      </w:r>
    </w:p>
    <w:p>
      <w:pPr>
        <w:spacing w:before="0" w:after="40"/>
        <w:ind w:left="360"/>
        <w:rPr>
          <w:sz w:val="22"/>
          <w:szCs w:val="22"/>
        </w:rPr>
      </w:pPr>
      <w:r>
        <w:rPr>
          <w:sz w:val="22"/>
          <w:szCs w:val="22"/>
        </w:rPr>
        <w:t xml:space="preserve">•  Prof. (Dr.) Ram Chandra — Professor, Dept. of Environmental Microbiology, School of Earth and Environmental Sciences, Babasaheb Bhimrao Ambedkar (A Central) University, Lucknow, India</w:t>
      </w:r>
    </w:p>
    <w:p>
      <w:pPr>
        <w:spacing w:before="120" w:after="60"/>
        <w:rPr>
          <w:b/>
          <w:color w:val="1F3864"/>
          <w:sz w:val="24"/>
          <w:szCs w:val="24"/>
        </w:rPr>
      </w:pPr>
      <w:r>
        <w:rPr>
          <w:b/>
          <w:color w:val="1F3864"/>
          <w:sz w:val="24"/>
          <w:szCs w:val="24"/>
        </w:rPr>
        <w:t xml:space="preserve">Suggested Topics / Scope</w:t>
      </w:r>
    </w:p>
    <w:p>
      <w:pPr>
        <w:spacing w:before="0" w:after="40"/>
        <w:ind w:left="360"/>
        <w:rPr>
          <w:sz w:val="22"/>
          <w:szCs w:val="22"/>
        </w:rPr>
      </w:pPr>
      <w:r>
        <w:rPr>
          <w:sz w:val="22"/>
          <w:szCs w:val="22"/>
        </w:rPr>
        <w:t xml:space="preserve">1. Environmental Pollution and Bioremediation</w:t>
      </w:r>
    </w:p>
    <w:p>
      <w:pPr>
        <w:spacing w:before="0" w:after="40"/>
        <w:ind w:left="360"/>
        <w:rPr>
          <w:sz w:val="22"/>
          <w:szCs w:val="22"/>
        </w:rPr>
      </w:pPr>
      <w:r>
        <w:rPr>
          <w:sz w:val="22"/>
          <w:szCs w:val="22"/>
        </w:rPr>
        <w:t xml:space="preserve">2. Metagenomics &amp; Next-Generation Sequencing</w:t>
      </w:r>
    </w:p>
    <w:p>
      <w:pPr>
        <w:spacing w:before="0" w:after="40"/>
        <w:ind w:left="360"/>
        <w:rPr>
          <w:sz w:val="22"/>
          <w:szCs w:val="22"/>
        </w:rPr>
      </w:pPr>
      <w:r>
        <w:rPr>
          <w:sz w:val="22"/>
          <w:szCs w:val="22"/>
        </w:rPr>
        <w:t xml:space="preserve">3. AI, Machine Learning &amp; Big Data</w:t>
      </w:r>
    </w:p>
    <w:p>
      <w:pPr>
        <w:spacing w:before="0" w:after="40"/>
        <w:ind w:left="360"/>
        <w:rPr>
          <w:sz w:val="22"/>
          <w:szCs w:val="22"/>
        </w:rPr>
      </w:pPr>
      <w:r>
        <w:rPr>
          <w:sz w:val="22"/>
          <w:szCs w:val="22"/>
        </w:rPr>
        <w:t xml:space="preserve">4. AI/ML-Driven Pollutant Remediation</w:t>
      </w:r>
    </w:p>
    <w:p>
      <w:pPr>
        <w:spacing w:before="0" w:after="40"/>
        <w:ind w:left="360"/>
        <w:rPr>
          <w:sz w:val="22"/>
          <w:szCs w:val="22"/>
        </w:rPr>
      </w:pPr>
      <w:r>
        <w:rPr>
          <w:sz w:val="22"/>
          <w:szCs w:val="22"/>
        </w:rPr>
        <w:t xml:space="preserve">5. Synthetic Biology &amp; Advanced Microbial Engineering</w:t>
      </w:r>
    </w:p>
    <w:p>
      <w:pPr>
        <w:spacing w:before="0" w:after="40"/>
        <w:ind w:left="360"/>
        <w:rPr>
          <w:sz w:val="22"/>
          <w:szCs w:val="22"/>
        </w:rPr>
      </w:pPr>
      <w:r>
        <w:rPr>
          <w:sz w:val="22"/>
          <w:szCs w:val="22"/>
        </w:rPr>
        <w:t xml:space="preserve">6. Translation, Risk, Ethics &amp; Future Perspectives</w:t>
      </w:r>
    </w:p>
    <w:p>
      <w:pPr>
        <w:spacing w:before="120" w:after="60"/>
        <w:rPr>
          <w:b/>
          <w:color w:val="1F3864"/>
          <w:sz w:val="24"/>
          <w:szCs w:val="24"/>
        </w:rPr>
      </w:pPr>
      <w:r>
        <w:rPr>
          <w:b/>
          <w:color w:val="1F3864"/>
          <w:sz w:val="24"/>
          <w:szCs w:val="24"/>
        </w:rPr>
        <w:t xml:space="preserve">Important Dates</w:t>
      </w:r>
    </w:p>
    <w:p>
      <w:pPr>
        <w:spacing w:before="0" w:after="60"/>
      </w:pPr>
      <w:r>
        <w:rPr>
          <w:b/>
        </w:rPr>
        <w:t xml:space="preserve">Submission of Consent (Chapter Title, Author(s), E-mail, Affiliation): </w:t>
      </w:r>
      <w:r>
        <w:t xml:space="preserve">6 September 2026</w:t>
      </w:r>
    </w:p>
    <w:p>
      <w:pPr>
        <w:spacing w:before="0" w:after="60"/>
      </w:pPr>
      <w:r>
        <w:rPr>
          <w:b/>
        </w:rPr>
        <w:t xml:space="preserve">Abstract Submission: </w:t>
      </w:r>
      <w:r>
        <w:t xml:space="preserve">25 September 2026</w:t>
      </w:r>
    </w:p>
    <w:p>
      <w:pPr>
        <w:spacing w:before="0" w:after="60"/>
      </w:pPr>
      <w:r>
        <w:rPr>
          <w:b/>
        </w:rPr>
        <w:t xml:space="preserve">Full Chapter Submission: </w:t>
      </w:r>
      <w:r>
        <w:t xml:space="preserve">30 December 2026</w:t>
      </w:r>
    </w:p>
    <w:p>
      <w:pPr>
        <w:spacing w:before="0" w:after="60"/>
      </w:pPr>
      <w:r>
        <w:rPr>
          <w:b/>
        </w:rPr>
        <w:t xml:space="preserve">First Review Notification: </w:t>
      </w:r>
      <w:r>
        <w:t xml:space="preserve">20 January 2027</w:t>
      </w:r>
    </w:p>
    <w:p>
      <w:pPr>
        <w:spacing w:before="0" w:after="60"/>
      </w:pPr>
      <w:r>
        <w:rPr>
          <w:b/>
        </w:rPr>
        <w:t xml:space="preserve">Revised Chapter Submission: </w:t>
      </w:r>
      <w:r>
        <w:t xml:space="preserve">10 February 2027</w:t>
      </w:r>
    </w:p>
    <w:p>
      <w:pPr>
        <w:spacing w:before="0" w:after="60"/>
      </w:pPr>
      <w:r>
        <w:rPr>
          <w:b/>
        </w:rPr>
        <w:t xml:space="preserve">Proposed Book Publication: </w:t>
      </w:r>
      <w:r>
        <w:t xml:space="preserve">2027</w:t>
      </w:r>
    </w:p>
    <w:p>
      <w:pPr>
        <w:spacing w:before="120" w:after="60"/>
        <w:rPr>
          <w:b/>
          <w:color w:val="1F3864"/>
          <w:sz w:val="24"/>
          <w:szCs w:val="24"/>
        </w:rPr>
      </w:pPr>
      <w:r>
        <w:rPr>
          <w:b/>
          <w:color w:val="1F3864"/>
          <w:sz w:val="24"/>
          <w:szCs w:val="24"/>
        </w:rPr>
        <w:t xml:space="preserve">Author Guidelines</w:t>
      </w:r>
    </w:p>
    <w:p>
      <w:pPr>
        <w:spacing w:before="0" w:after="40"/>
        <w:ind w:left="360"/>
        <w:rPr>
          <w:sz w:val="22"/>
          <w:szCs w:val="22"/>
        </w:rPr>
      </w:pPr>
      <w:r>
        <w:rPr>
          <w:sz w:val="22"/>
          <w:szCs w:val="22"/>
        </w:rPr>
        <w:t xml:space="preserve">•  Original, unpublished chapters only; double-blind peer review</w:t>
      </w:r>
    </w:p>
    <w:p>
      <w:pPr>
        <w:spacing w:before="0" w:after="40"/>
        <w:ind w:left="360"/>
        <w:rPr>
          <w:sz w:val="22"/>
          <w:szCs w:val="22"/>
        </w:rPr>
      </w:pPr>
      <w:r>
        <w:rPr>
          <w:sz w:val="22"/>
          <w:szCs w:val="22"/>
        </w:rPr>
        <w:t xml:space="preserve">•  Senior/Lead Author must have an H-index greater than 5 (Web of Science) and include their Web of Science Researcher Profile link in the proposal</w:t>
      </w:r>
    </w:p>
    <w:p>
      <w:pPr>
        <w:spacing w:before="0" w:after="40"/>
        <w:ind w:left="360"/>
        <w:rPr>
          <w:sz w:val="22"/>
          <w:szCs w:val="22"/>
        </w:rPr>
      </w:pPr>
      <w:r>
        <w:rPr>
          <w:sz w:val="22"/>
          <w:szCs w:val="22"/>
        </w:rPr>
        <w:t xml:space="preserve">•  All submissions screened for plagiarism and undisclosed AI/LLM-generated content</w:t>
      </w:r>
    </w:p>
    <w:p>
      <w:pPr>
        <w:spacing w:before="0" w:after="60"/>
      </w:pPr>
      <w:r>
        <w:rPr>
          <w:b/>
        </w:rPr>
        <w:t xml:space="preserve">Contact for Submission: </w:t>
      </w:r>
      <w:r>
        <w:t xml:space="preserve">drvineet.micro@gmail.com (CC: prof.chandrabbau@gmail.com)</w:t>
      </w:r>
    </w:p>
    <w:p>
      <w:pPr>
        <w:spacing w:before="240" w:after="100"/>
        <w:rPr>
          <w:b/>
          <w:color w:val="C00000"/>
          <w:sz w:val="30"/>
          <w:szCs w:val="30"/>
        </w:rPr>
      </w:pPr>
      <w:r>
        <w:rPr>
          <w:b/>
          <w:color w:val="C00000"/>
          <w:sz w:val="30"/>
          <w:szCs w:val="30"/>
        </w:rPr>
        <w:t xml:space="preserve">Image 59: Biosynthesized Metal Oxides for Cancer Therapeutics: Advances, Mechanisms, and Biomedical Applications</w:t>
      </w:r>
    </w:p>
    <w:p>
      <w:pPr>
        <w:spacing w:before="0" w:after="60"/>
      </w:pPr>
      <w:r>
        <w:rPr>
          <w:b/>
        </w:rPr>
        <w:t xml:space="preserve">Publisher: </w:t>
      </w:r>
      <w:r>
        <w:t xml:space="preserve">Elsevier</w:t>
      </w:r>
    </w:p>
    <w:p>
      <w:pPr>
        <w:spacing w:before="0" w:after="60"/>
      </w:pPr>
      <w:r>
        <w:rPr>
          <w:b/>
        </w:rPr>
        <w:t xml:space="preserve">Charges: </w:t>
      </w:r>
      <w:r>
        <w:t xml:space="preserve">No publication charge</w:t>
      </w:r>
    </w:p>
    <w:p>
      <w:pPr>
        <w:spacing w:before="120" w:after="60"/>
        <w:rPr>
          <w:b/>
          <w:color w:val="1F3864"/>
          <w:sz w:val="24"/>
          <w:szCs w:val="24"/>
        </w:rPr>
      </w:pPr>
      <w:r>
        <w:rPr>
          <w:b/>
          <w:color w:val="1F3864"/>
          <w:sz w:val="24"/>
          <w:szCs w:val="24"/>
        </w:rPr>
        <w:t xml:space="preserve">About the Book</w:t>
      </w:r>
    </w:p>
    <w:p>
      <w:pPr>
        <w:spacing w:before="0" w:after="80"/>
        <w:rPr>
          <w:sz w:val="22"/>
          <w:szCs w:val="22"/>
        </w:rPr>
      </w:pPr>
      <w:r>
        <w:rPr>
          <w:sz w:val="22"/>
          <w:szCs w:val="22"/>
        </w:rPr>
        <w:t xml:space="preserve">Provides a comprehensive overview of recent advances in biosynthesized metal oxide nanomaterials and their emerging applications in cancer diagnosis and therapy, bringing together cutting-edge research, methodologies, mechanistic insights and translational perspectives from nanotechnology, materials science, biotechnology and medicine. (Content rephrased for compliance.)</w:t>
      </w:r>
    </w:p>
    <w:p>
      <w:pPr>
        <w:spacing w:before="120" w:after="60"/>
        <w:rPr>
          <w:b/>
          <w:color w:val="1F3864"/>
          <w:sz w:val="24"/>
          <w:szCs w:val="24"/>
        </w:rPr>
      </w:pPr>
      <w:r>
        <w:rPr>
          <w:b/>
          <w:color w:val="1F3864"/>
          <w:sz w:val="24"/>
          <w:szCs w:val="24"/>
        </w:rPr>
        <w:t xml:space="preserve">Suggested Topics (Not Limited To)</w:t>
      </w:r>
    </w:p>
    <w:p>
      <w:pPr>
        <w:spacing w:before="0" w:after="40"/>
        <w:ind w:left="360"/>
        <w:rPr>
          <w:sz w:val="22"/>
          <w:szCs w:val="22"/>
        </w:rPr>
      </w:pPr>
      <w:r>
        <w:rPr>
          <w:sz w:val="22"/>
          <w:szCs w:val="22"/>
        </w:rPr>
        <w:t xml:space="preserve">•  Introduction to Metal Oxide Nanomaterials in Biomedicine</w:t>
      </w:r>
    </w:p>
    <w:p>
      <w:pPr>
        <w:spacing w:before="0" w:after="40"/>
        <w:ind w:left="360"/>
        <w:rPr>
          <w:sz w:val="22"/>
          <w:szCs w:val="22"/>
        </w:rPr>
      </w:pPr>
      <w:r>
        <w:rPr>
          <w:sz w:val="22"/>
          <w:szCs w:val="22"/>
        </w:rPr>
        <w:t xml:space="preserve">•  Green and Biosynthetic Approaches for Metal Oxide Nanoparticles</w:t>
      </w:r>
    </w:p>
    <w:p>
      <w:pPr>
        <w:spacing w:before="0" w:after="40"/>
        <w:ind w:left="360"/>
        <w:rPr>
          <w:sz w:val="22"/>
          <w:szCs w:val="22"/>
        </w:rPr>
      </w:pPr>
      <w:r>
        <w:rPr>
          <w:sz w:val="22"/>
          <w:szCs w:val="22"/>
        </w:rPr>
        <w:t xml:space="preserve">•  Conventional and Advanced Approaches to Cancer Therapy</w:t>
      </w:r>
    </w:p>
    <w:p>
      <w:pPr>
        <w:spacing w:before="0" w:after="40"/>
        <w:ind w:left="360"/>
        <w:rPr>
          <w:sz w:val="22"/>
          <w:szCs w:val="22"/>
        </w:rPr>
      </w:pPr>
      <w:r>
        <w:rPr>
          <w:sz w:val="22"/>
          <w:szCs w:val="22"/>
        </w:rPr>
        <w:t xml:space="preserve">•  Reactive Oxygen Species (ROS) Generation and Oxidative Stress Mechanisms</w:t>
      </w:r>
    </w:p>
    <w:p>
      <w:pPr>
        <w:spacing w:before="0" w:after="40"/>
        <w:ind w:left="360"/>
        <w:rPr>
          <w:sz w:val="22"/>
          <w:szCs w:val="22"/>
        </w:rPr>
      </w:pPr>
      <w:r>
        <w:rPr>
          <w:sz w:val="22"/>
          <w:szCs w:val="22"/>
        </w:rPr>
        <w:t xml:space="preserve">•  Apoptosis, Autophagy, and Molecular Pathways in Nanoparticle-Induced Cancer Therapy</w:t>
      </w:r>
    </w:p>
    <w:p>
      <w:pPr>
        <w:spacing w:before="0" w:after="40"/>
        <w:ind w:left="360"/>
        <w:rPr>
          <w:sz w:val="22"/>
          <w:szCs w:val="22"/>
        </w:rPr>
      </w:pPr>
      <w:r>
        <w:rPr>
          <w:sz w:val="22"/>
          <w:szCs w:val="22"/>
        </w:rPr>
        <w:t xml:space="preserve">•  Toxicological Aspects and Biocompatibility of Metal Oxide Nanoparticles</w:t>
      </w:r>
    </w:p>
    <w:p>
      <w:pPr>
        <w:spacing w:before="0" w:after="40"/>
        <w:ind w:left="360"/>
        <w:rPr>
          <w:sz w:val="22"/>
          <w:szCs w:val="22"/>
        </w:rPr>
      </w:pPr>
      <w:r>
        <w:rPr>
          <w:sz w:val="22"/>
          <w:szCs w:val="22"/>
        </w:rPr>
        <w:t xml:space="preserve">•  Zinc Oxide Nanoparticles for Cancer Therapeutics</w:t>
      </w:r>
    </w:p>
    <w:p>
      <w:pPr>
        <w:spacing w:before="0" w:after="40"/>
        <w:ind w:left="360"/>
        <w:rPr>
          <w:sz w:val="22"/>
          <w:szCs w:val="22"/>
        </w:rPr>
      </w:pPr>
      <w:r>
        <w:rPr>
          <w:sz w:val="22"/>
          <w:szCs w:val="22"/>
        </w:rPr>
        <w:t xml:space="preserve">•  Tin Oxide Nanoparticles in Biomedical Applications</w:t>
      </w:r>
    </w:p>
    <w:p>
      <w:pPr>
        <w:spacing w:before="0" w:after="40"/>
        <w:ind w:left="360"/>
        <w:rPr>
          <w:sz w:val="22"/>
          <w:szCs w:val="22"/>
        </w:rPr>
      </w:pPr>
      <w:r>
        <w:rPr>
          <w:sz w:val="22"/>
          <w:szCs w:val="22"/>
        </w:rPr>
        <w:t xml:space="preserve">•  Iron Oxide Nanoparticles for Cancer Imaging and Therapy</w:t>
      </w:r>
    </w:p>
    <w:p>
      <w:pPr>
        <w:spacing w:before="0" w:after="40"/>
        <w:ind w:left="360"/>
        <w:rPr>
          <w:sz w:val="22"/>
          <w:szCs w:val="22"/>
        </w:rPr>
      </w:pPr>
      <w:r>
        <w:rPr>
          <w:sz w:val="22"/>
          <w:szCs w:val="22"/>
        </w:rPr>
        <w:t xml:space="preserve">•  Cerium Oxide Nanoparticles in Cancer Nanomedicine</w:t>
      </w:r>
    </w:p>
    <w:p>
      <w:pPr>
        <w:spacing w:before="0" w:after="40"/>
        <w:ind w:left="360"/>
        <w:rPr>
          <w:sz w:val="22"/>
          <w:szCs w:val="22"/>
        </w:rPr>
      </w:pPr>
      <w:r>
        <w:rPr>
          <w:sz w:val="22"/>
          <w:szCs w:val="22"/>
        </w:rPr>
        <w:t xml:space="preserve">•  Copper Oxide Nanoparticles for Targeted Cancer Therapy</w:t>
      </w:r>
    </w:p>
    <w:p>
      <w:pPr>
        <w:spacing w:before="0" w:after="40"/>
        <w:ind w:left="360"/>
        <w:rPr>
          <w:sz w:val="22"/>
          <w:szCs w:val="22"/>
        </w:rPr>
      </w:pPr>
      <w:r>
        <w:rPr>
          <w:sz w:val="22"/>
          <w:szCs w:val="22"/>
        </w:rPr>
        <w:t xml:space="preserve">•  Cytotoxic Activity of Zirconium Oxide (ZrO2) Nanoparticles</w:t>
      </w:r>
    </w:p>
    <w:p>
      <w:pPr>
        <w:spacing w:before="0" w:after="40"/>
        <w:ind w:left="360"/>
        <w:rPr>
          <w:sz w:val="22"/>
          <w:szCs w:val="22"/>
        </w:rPr>
      </w:pPr>
      <w:r>
        <w:rPr>
          <w:sz w:val="22"/>
          <w:szCs w:val="22"/>
        </w:rPr>
        <w:t xml:space="preserve">•  Antimicrobial Activity of Manganese Dioxide (MnO2) Nanoparticles</w:t>
      </w:r>
    </w:p>
    <w:p>
      <w:pPr>
        <w:spacing w:before="0" w:after="40"/>
        <w:ind w:left="360"/>
        <w:rPr>
          <w:sz w:val="22"/>
          <w:szCs w:val="22"/>
        </w:rPr>
      </w:pPr>
      <w:r>
        <w:rPr>
          <w:sz w:val="22"/>
          <w:szCs w:val="22"/>
        </w:rPr>
        <w:t xml:space="preserve">•  Metal Oxide Nanoparticles for Drug Delivery Systems</w:t>
      </w:r>
    </w:p>
    <w:p>
      <w:pPr>
        <w:spacing w:before="0" w:after="40"/>
        <w:ind w:left="360"/>
        <w:rPr>
          <w:sz w:val="22"/>
          <w:szCs w:val="22"/>
        </w:rPr>
      </w:pPr>
      <w:r>
        <w:rPr>
          <w:sz w:val="22"/>
          <w:szCs w:val="22"/>
        </w:rPr>
        <w:t xml:space="preserve">•  Metal Oxide Nanomaterials in Cancer Imaging and Diagnostics</w:t>
      </w:r>
    </w:p>
    <w:p>
      <w:pPr>
        <w:spacing w:before="0" w:after="40"/>
        <w:ind w:left="360"/>
        <w:rPr>
          <w:sz w:val="22"/>
          <w:szCs w:val="22"/>
        </w:rPr>
      </w:pPr>
      <w:r>
        <w:rPr>
          <w:sz w:val="22"/>
          <w:szCs w:val="22"/>
        </w:rPr>
        <w:t xml:space="preserve">•  Photothermal and Photodynamic Therapy Using Metal Oxide Nanomaterials</w:t>
      </w:r>
    </w:p>
    <w:p>
      <w:pPr>
        <w:spacing w:before="0" w:after="40"/>
        <w:ind w:left="360"/>
        <w:rPr>
          <w:sz w:val="22"/>
          <w:szCs w:val="22"/>
        </w:rPr>
      </w:pPr>
      <w:r>
        <w:rPr>
          <w:sz w:val="22"/>
          <w:szCs w:val="22"/>
        </w:rPr>
        <w:t xml:space="preserve">•  Clinical Translation and Regulatory Considerations</w:t>
      </w:r>
    </w:p>
    <w:p>
      <w:pPr>
        <w:spacing w:before="120" w:after="60"/>
        <w:rPr>
          <w:b/>
          <w:color w:val="1F3864"/>
          <w:sz w:val="24"/>
          <w:szCs w:val="24"/>
        </w:rPr>
      </w:pPr>
      <w:r>
        <w:rPr>
          <w:b/>
          <w:color w:val="1F3864"/>
          <w:sz w:val="24"/>
          <w:szCs w:val="24"/>
        </w:rPr>
        <w:t xml:space="preserve">Editorial Team</w:t>
      </w:r>
    </w:p>
    <w:p>
      <w:pPr>
        <w:spacing w:before="0" w:after="40"/>
        <w:ind w:left="360"/>
        <w:rPr>
          <w:sz w:val="22"/>
          <w:szCs w:val="22"/>
        </w:rPr>
      </w:pPr>
      <w:r>
        <w:rPr>
          <w:sz w:val="22"/>
          <w:szCs w:val="22"/>
        </w:rPr>
        <w:t xml:space="preserve">•  Dr. Naveen Kumar — Associate Professor, Dept. of Physics, Galgotias University, Greater Noida, India</w:t>
      </w:r>
    </w:p>
    <w:p>
      <w:pPr>
        <w:spacing w:before="0" w:after="40"/>
        <w:ind w:left="360"/>
        <w:rPr>
          <w:sz w:val="22"/>
          <w:szCs w:val="22"/>
        </w:rPr>
      </w:pPr>
      <w:r>
        <w:rPr>
          <w:sz w:val="22"/>
          <w:szCs w:val="22"/>
        </w:rPr>
        <w:t xml:space="preserve">•  Dr. Nupur Aggarwal — Associate Professor, Dept. of Physics, Chandigarh University, Mohali, India</w:t>
      </w:r>
    </w:p>
    <w:p>
      <w:pPr>
        <w:spacing w:before="0" w:after="40"/>
        <w:ind w:left="360"/>
        <w:rPr>
          <w:sz w:val="22"/>
          <w:szCs w:val="22"/>
        </w:rPr>
      </w:pPr>
      <w:r>
        <w:rPr>
          <w:sz w:val="22"/>
          <w:szCs w:val="22"/>
        </w:rPr>
        <w:t xml:space="preserve">•  Dr. Reetesh Kumar — Assistant Professor, Dept. of Biotechnology and Bioengineering, Galgotias University, Greater Noida, India</w:t>
      </w:r>
    </w:p>
    <w:p>
      <w:pPr>
        <w:spacing w:before="120" w:after="60"/>
        <w:rPr>
          <w:b/>
          <w:color w:val="1F3864"/>
          <w:sz w:val="24"/>
          <w:szCs w:val="24"/>
        </w:rPr>
      </w:pPr>
      <w:r>
        <w:rPr>
          <w:b/>
          <w:color w:val="1F3864"/>
          <w:sz w:val="24"/>
          <w:szCs w:val="24"/>
        </w:rPr>
        <w:t xml:space="preserve">Important Dates</w:t>
      </w:r>
    </w:p>
    <w:p>
      <w:pPr>
        <w:spacing w:before="0" w:after="60"/>
      </w:pPr>
      <w:r>
        <w:rPr>
          <w:b/>
        </w:rPr>
        <w:t xml:space="preserve">Abstract Submission: </w:t>
      </w:r>
      <w:r>
        <w:t xml:space="preserve">till 30 September 2026</w:t>
      </w:r>
    </w:p>
    <w:p>
      <w:pPr>
        <w:spacing w:before="0" w:after="60"/>
      </w:pPr>
      <w:r>
        <w:rPr>
          <w:b/>
        </w:rPr>
        <w:t xml:space="preserve">Abstract Acceptance Notification: </w:t>
      </w:r>
      <w:r>
        <w:t xml:space="preserve">October 2026</w:t>
      </w:r>
    </w:p>
    <w:p>
      <w:pPr>
        <w:spacing w:before="0" w:after="60"/>
      </w:pPr>
      <w:r>
        <w:rPr>
          <w:b/>
        </w:rPr>
        <w:t xml:space="preserve">Full Chapter Submission: </w:t>
      </w:r>
      <w:r>
        <w:t xml:space="preserve">January 2027</w:t>
      </w:r>
    </w:p>
    <w:p>
      <w:pPr>
        <w:spacing w:before="0" w:after="60"/>
      </w:pPr>
      <w:r>
        <w:rPr>
          <w:b/>
        </w:rPr>
        <w:t xml:space="preserve">Chapter Acceptance: </w:t>
      </w:r>
      <w:r>
        <w:t xml:space="preserve">February 2027</w:t>
      </w:r>
    </w:p>
    <w:p>
      <w:pPr>
        <w:spacing w:before="0" w:after="60"/>
      </w:pPr>
      <w:r>
        <w:rPr>
          <w:b/>
        </w:rPr>
        <w:t xml:space="preserve">Submission Details: </w:t>
      </w:r>
      <w:r>
        <w:t xml:space="preserve">Submit a chapter abstract with chapter title, author name(s)/affiliation(s), corresponding author info, abstract (250–500 words) and keywords</w:t>
      </w:r>
    </w:p>
    <w:p>
      <w:pPr>
        <w:spacing w:before="0" w:after="60"/>
      </w:pPr>
      <w:r>
        <w:rPr>
          <w:b/>
        </w:rPr>
        <w:t xml:space="preserve">Submission Email: </w:t>
      </w:r>
      <w:r>
        <w:t xml:space="preserve">physicsbookwizard@gmail.com</w:t>
      </w:r>
    </w:p>
    <w:p>
      <w:pPr>
        <w:spacing w:before="0" w:after="60"/>
      </w:pPr>
      <w:r>
        <w:rPr>
          <w:b/>
        </w:rPr>
        <w:t xml:space="preserve">Mobile: </w:t>
      </w:r>
      <w:r>
        <w:t xml:space="preserve">+91-9988253747</w:t>
      </w:r>
    </w:p>
    <w:p>
      <w:pPr>
        <w:spacing w:before="240" w:after="100"/>
        <w:rPr>
          <w:b/>
          <w:color w:val="C00000"/>
          <w:sz w:val="30"/>
          <w:szCs w:val="30"/>
        </w:rPr>
      </w:pPr>
      <w:r>
        <w:rPr>
          <w:b/>
          <w:color w:val="C00000"/>
          <w:sz w:val="30"/>
          <w:szCs w:val="30"/>
        </w:rPr>
        <w:t xml:space="preserve">Image 60: Low-Carbon Electronics for Green Power: Materials, Devices, and Applications (Springer Nature) — repeat flyer</w:t>
      </w:r>
    </w:p>
    <w:p>
      <w:pPr>
        <w:spacing w:before="0" w:after="80"/>
        <w:rPr>
          <w:i/>
          <w:sz w:val="22"/>
          <w:szCs w:val="22"/>
        </w:rPr>
      </w:pPr>
      <w:r>
        <w:rPr>
          <w:i/>
          <w:sz w:val="22"/>
          <w:szCs w:val="22"/>
        </w:rPr>
        <w:t xml:space="preserve">This flyer repeats the Springer Nature low-carbon electronics call captured earlier. Key details below.</w:t>
      </w:r>
    </w:p>
    <w:p>
      <w:pPr>
        <w:spacing w:before="0" w:after="60"/>
      </w:pPr>
      <w:r>
        <w:rPr>
          <w:b/>
        </w:rPr>
        <w:t xml:space="preserve">Publisher: </w:t>
      </w:r>
      <w:r>
        <w:t xml:space="preserve">Springer Nature / Elsevier — Scopus</w:t>
      </w:r>
    </w:p>
    <w:p>
      <w:pPr>
        <w:spacing w:before="0" w:after="60"/>
      </w:pPr>
      <w:r>
        <w:rPr>
          <w:b/>
        </w:rPr>
        <w:t xml:space="preserve">Charges: </w:t>
      </w:r>
      <w:r>
        <w:t xml:space="preserve">No Publication / Processing Charges</w:t>
      </w:r>
    </w:p>
    <w:p>
      <w:pPr>
        <w:spacing w:before="0" w:after="60"/>
      </w:pPr>
      <w:r>
        <w:rPr>
          <w:b/>
        </w:rPr>
        <w:t xml:space="preserve">Editors: </w:t>
      </w:r>
      <w:r>
        <w:t xml:space="preserve">Dr. Ratneshwar Kumar Ratnesh (NSUT, Delhi, India); Dr. Ramesh Kumar (Manipal University Jaipur, India); Dr. Jay Singh (Banaras Hindu University, Varanasi, India); Dr. Abhinav Sharma (Institute of Post-LED Photonics, Tokushima University, Japan)</w:t>
      </w:r>
    </w:p>
    <w:p>
      <w:pPr>
        <w:spacing w:before="0" w:after="60"/>
      </w:pPr>
      <w:r>
        <w:rPr>
          <w:b/>
        </w:rPr>
        <w:t xml:space="preserve">Scope: </w:t>
      </w:r>
      <w:r>
        <w:t xml:space="preserve">18 topics spanning nanomaterials, green semiconductors, energy-efficient architectures, flexible electronics, low-power VLSI/IoT, neuromorphic computing, quantum materials and eco-friendly electronic materials</w:t>
      </w:r>
    </w:p>
    <w:p>
      <w:pPr>
        <w:spacing w:before="0" w:after="60"/>
      </w:pPr>
      <w:r>
        <w:rPr>
          <w:b/>
        </w:rPr>
        <w:t xml:space="preserve">Abstract Submission: </w:t>
      </w:r>
      <w:r>
        <w:t xml:space="preserve">25 Aug 2026</w:t>
      </w:r>
    </w:p>
    <w:p>
      <w:pPr>
        <w:spacing w:before="0" w:after="60"/>
      </w:pPr>
      <w:r>
        <w:rPr>
          <w:b/>
        </w:rPr>
        <w:t xml:space="preserve">Full Chapter Submission: </w:t>
      </w:r>
      <w:r>
        <w:t xml:space="preserve">05 Oct 2026</w:t>
      </w:r>
    </w:p>
    <w:p>
      <w:pPr>
        <w:spacing w:before="0" w:after="60"/>
      </w:pPr>
      <w:r>
        <w:rPr>
          <w:b/>
        </w:rPr>
        <w:t xml:space="preserve">Chapter Acceptance: </w:t>
      </w:r>
      <w:r>
        <w:t xml:space="preserve">30 October 2026</w:t>
      </w:r>
    </w:p>
    <w:p>
      <w:pPr>
        <w:spacing w:before="0" w:after="60"/>
      </w:pPr>
      <w:r>
        <w:rPr>
          <w:b/>
        </w:rPr>
        <w:t xml:space="preserve">Chapter Submission: </w:t>
      </w:r>
      <w:r>
        <w:t xml:space="preserve">30 Oct 2026</w:t>
      </w:r>
    </w:p>
    <w:p>
      <w:pPr>
        <w:spacing w:before="0" w:after="60"/>
      </w:pPr>
      <w:r>
        <w:rPr>
          <w:b/>
        </w:rPr>
        <w:t xml:space="preserve">Final Chapter Submission: </w:t>
      </w:r>
      <w:r>
        <w:t xml:space="preserve">10 November 2026</w:t>
      </w:r>
    </w:p>
    <w:p>
      <w:pPr>
        <w:spacing w:before="0" w:after="60"/>
      </w:pPr>
      <w:r>
        <w:rPr>
          <w:b/>
        </w:rPr>
        <w:t xml:space="preserve">Guidelines: </w:t>
      </w:r>
      <w:r>
        <w:t xml:space="preserve">20–25 pages, Times New Roman 12 pt single column; similarity &lt;15% (max 3% from any single source)</w:t>
      </w:r>
    </w:p>
    <w:p>
      <w:pPr>
        <w:spacing w:before="0" w:after="60"/>
      </w:pPr>
      <w:r>
        <w:rPr>
          <w:b/>
        </w:rPr>
        <w:t xml:space="preserve">Submission Link: </w:t>
      </w:r>
      <w:r>
        <w:t xml:space="preserve">https://forms.gle/uXq5XXcYYuJmNgg1A</w:t>
      </w:r>
    </w:p>
    <w:p>
      <w:pPr>
        <w:spacing w:before="0" w:after="60"/>
      </w:pPr>
      <w:r>
        <w:rPr>
          <w:b/>
        </w:rPr>
        <w:t xml:space="preserve">Queries: </w:t>
      </w:r>
      <w:r>
        <w:t xml:space="preserve">rkr.chapter@gmail.com</w:t>
      </w:r>
    </w:p>
    <w:p>
      <w:pPr>
        <w:spacing w:before="240" w:after="100"/>
        <w:rPr>
          <w:b/>
          <w:color w:val="C00000"/>
          <w:sz w:val="30"/>
          <w:szCs w:val="30"/>
        </w:rPr>
      </w:pPr>
      <w:r>
        <w:rPr>
          <w:b/>
          <w:color w:val="C00000"/>
          <w:sz w:val="30"/>
          <w:szCs w:val="30"/>
        </w:rPr>
        <w:t xml:space="preserve">Image 61: Engineering Sustainable Food Systems: Green Processing, Agri-Food Valorization, and Sustainability Analytics (Elsevier) — repeat flyer</w:t>
      </w:r>
    </w:p>
    <w:p>
      <w:pPr>
        <w:spacing w:before="0" w:after="80"/>
        <w:rPr>
          <w:i/>
          <w:sz w:val="22"/>
          <w:szCs w:val="22"/>
        </w:rPr>
      </w:pPr>
      <w:r>
        <w:rPr>
          <w:i/>
          <w:sz w:val="22"/>
          <w:szCs w:val="22"/>
        </w:rPr>
        <w:t xml:space="preserve">This flyer repeats the Elsevier sustainable food systems call captured earlier (Image 46). Key details below.</w:t>
      </w:r>
    </w:p>
    <w:p>
      <w:pPr>
        <w:spacing w:before="0" w:after="60"/>
      </w:pPr>
      <w:r>
        <w:rPr>
          <w:b/>
        </w:rPr>
        <w:t xml:space="preserve">Publisher: </w:t>
      </w:r>
      <w:r>
        <w:t xml:space="preserve">Elsevier (Edited Volume) — Call for Contributors</w:t>
      </w:r>
    </w:p>
    <w:p>
      <w:pPr>
        <w:spacing w:before="0" w:after="60"/>
      </w:pPr>
      <w:r>
        <w:rPr>
          <w:b/>
        </w:rPr>
        <w:t xml:space="preserve">Editor: </w:t>
      </w:r>
      <w:r>
        <w:t xml:space="preserve">Vassilis Athanasiadis, PhD — University of Thessaly, Karditsa, Greece</w:t>
      </w:r>
    </w:p>
    <w:p>
      <w:pPr>
        <w:spacing w:before="0" w:after="60"/>
      </w:pPr>
      <w:r>
        <w:rPr>
          <w:b/>
        </w:rPr>
        <w:t xml:space="preserve">Scope: </w:t>
      </w:r>
      <w:r>
        <w:t xml:space="preserve">Green processing, agri-food valorization, analytical tools and global sustainability case studies across five parts (14 chapters)</w:t>
      </w:r>
    </w:p>
    <w:p>
      <w:pPr>
        <w:spacing w:before="0" w:after="60"/>
      </w:pPr>
      <w:r>
        <w:rPr>
          <w:b/>
        </w:rPr>
        <w:t xml:space="preserve">Contributor List &amp; Final ToC: </w:t>
      </w:r>
      <w:r>
        <w:t xml:space="preserve">1 October 2026</w:t>
      </w:r>
    </w:p>
    <w:p>
      <w:pPr>
        <w:spacing w:before="0" w:after="60"/>
      </w:pPr>
      <w:r>
        <w:rPr>
          <w:b/>
        </w:rPr>
        <w:t xml:space="preserve">Final Chapter Submission: </w:t>
      </w:r>
      <w:r>
        <w:t xml:space="preserve">15 January 2028</w:t>
      </w:r>
    </w:p>
    <w:p>
      <w:pPr>
        <w:spacing w:before="0" w:after="60"/>
      </w:pPr>
      <w:r>
        <w:rPr>
          <w:b/>
        </w:rPr>
        <w:t xml:space="preserve">Contact: </w:t>
      </w:r>
      <w:r>
        <w:t xml:space="preserve">vaathanasiadis@uth.gr</w:t>
      </w:r>
    </w:p>
    <w:sectPr>
      <w:pgSz w:w="12240" w:h="15840"/>
      <w:pgMar w:top="1134" w:bottom="1134" w:left="1134" w:right="1134"/>
    </w:sectPr>
  </w:body>
</w:document>
</file>