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body>
    <w:p>
      <w:pPr>
        <w:pStyle w:val="Heading1"/>
      </w:pPr>
      <w:r>
        <w:rPr>
          <w:b/>
        </w:rPr>
        <w:t xml:space="preserve">Decision-Making Algorithms for Connected and Automated Vehicles</w:t>
      </w:r>
    </w:p>
    <w:p>
      <w:pPr/>
      <w:r>
        <w:rPr/>
        <w:t xml:space="preserve"/>
      </w:r>
    </w:p>
    <w:p>
      <w:pPr>
        <w:pStyle w:val="Heading2"/>
      </w:pPr>
      <w:r>
        <w:rPr>
          <w:b/>
        </w:rPr>
        <w:t xml:space="preserve">Abstract</w:t>
      </w:r>
    </w:p>
    <w:p>
      <w:pPr>
        <w:jc w:val="both"/>
      </w:pPr>
      <w:r>
        <w:rPr/>
        <w:t xml:space="preserve">Connected and automated vehicles (CAVs) represent a transformative paradigm in intelligent transportation, requiring sophisticated decision-making algorithms that operate under uncertainty, real-time constraints, and complex multi-agent interactions. This chapter provides a comprehensive examination of decision-making algorithms for CAVs, spanning from foundational architectures to emerging frontiers in artificial intelligence. We begin by establishing the architectural foundations, functional requirements, and the interplay between perception, prediction, planning, and control within dynamic traffic environments. The chapter then systematically explores knowledge-driven approaches including rule-based systems, game-theoretic models, and optimization-based planning methods. Subsequently, we examine data-driven and hybrid intelligent methodologies encompassing deep reinforcement learning, imitation learning, uncertainty-aware architectures, and the integration of large language models with retrieval-augmented generation for interactive cooperative driving. Finally, we address distributed decision-making paradigms, information-quality-aware voting mechanisms, multi-timescale joint communication-decision-control frameworks, and future directions toward transferable, explainable, human-centric, and safety-critical decision-making systems. Through detailed analysis of state-of-the-art methodologies and identification of open challenges, this chapter serves as both a technical reference and a roadmap for researchers and practitioners advancing the next generation of intelligent vehicle systems.</w:t>
      </w:r>
    </w:p>
    <w:p>
      <w:pPr/>
      <w:r>
        <w:rPr>
          <w:i/>
        </w:rPr>
        <w:t xml:space="preserve">Keywords: Connected and automated vehicles; Decision-making algorithms; Deep reinforcement learning; Game theory; Multi-agent systems; Vehicle-to-everything communication; Model predictive control; Large language models; Distributed decision-making; Safety-critical systems; Cooperative driving; Autonomous navigation; Intelligent transportation systems</w:t>
      </w:r>
    </w:p>
    <w:p>
      <w:pPr/>
      <w:r>
        <w:rPr/>
        <w:t xml:space="preserve"/>
      </w:r>
    </w:p>
    <w:p>
      <w:pPr>
        <w:pStyle w:val="Heading1"/>
      </w:pPr>
      <w:r>
        <w:rPr>
          <w:b/>
        </w:rPr>
        <w:t xml:space="preserve">1. Foundations of Decision-Making in Connected and Automated Vehicles</w:t>
      </w:r>
    </w:p>
    <w:p>
      <w:pPr>
        <w:jc w:val="both"/>
      </w:pPr>
      <w:r>
        <w:rPr/>
        <w:t xml:space="preserve">The development of connected and automated vehicles (CAVs) has emerged as one of the most significant technological endeavors of the twenty-first century, driven by the promise of enhanced safety, improved traffic efficiency, and reduced environmental impact [1]. Decision-making constitutes the cognitive core of autonomous driving systems, bridging the gap between environmental perception and physical vehicle control [2]. Unlike traditional driver assistance systems that operate within narrowly defined operational design domains, fully autonomous vehicles must navigate an extraordinary diversity of scenarios including highway merging, urban intersections, pedestrian interactions, and emergency situations, all while maintaining safety guarantees under real-time constraints [3]. The integration of vehicle-to-everything (V2X) communication further expands the decision-making landscape by enabling cooperative awareness and coordinated maneuvers among multiple vehicles and infrastructure elements [4]. This section establishes the foundational concepts, architectural frameworks, and theoretical underpinnings that support the design of robust decision-making systems for CAVs.</w:t>
      </w:r>
    </w:p>
    <w:p>
      <w:pPr>
        <w:pStyle w:val="Heading2"/>
      </w:pPr>
      <w:r>
        <w:rPr>
          <w:b/>
        </w:rPr>
        <w:t xml:space="preserve">1.1 CAV Decision-Making Architecture, Objectives, and Functional Requirements</w:t>
      </w:r>
    </w:p>
    <w:p>
      <w:pPr>
        <w:jc w:val="both"/>
      </w:pPr>
      <w:r>
        <w:rPr/>
        <w:t xml:space="preserve">The decision-making architecture of a connected and automated vehicle encompasses multiple hierarchical layers that collectively transform raw sensor data and V2X messages into executable driving commands [1]. At the strategic level, the system determines route-level decisions and high-level mission objectives. The tactical level manages lane changes, overtaking maneuvers, intersection negotiations, and speed profile optimization. The operational level generates precise trajectory commands and vehicle control inputs. This hierarchical decomposition enables managing the combinatorial complexity of driving decisions while maintaining computational tractability [5].</w:t>
      </w:r>
    </w:p>
    <w:p>
      <w:pPr>
        <w:jc w:val="both"/>
      </w:pPr>
      <w:r>
        <w:rPr/>
        <w:t xml:space="preserve">The primary objectives of CAV decision-making systems include safety assurance, traffic efficiency optimization, passenger comfort maximization, energy consumption minimization, and compliance with traffic regulations [2]. These objectives frequently conflict; for example, maximizing efficiency may require aggressive maneuvers that compromise comfort or safety margins. Multi-objective optimization frameworks and constraint-based formulations provide systematic approaches to balancing these competing demands [6]. The functional requirements span real-time performance with typical latency budgets of 50-200 milliseconds for tactical decisions, deterministic behavior for safety certification, graceful degradation under sensor failures or communication losses, and scalability across diverse operational design domains [3].</w:t>
      </w:r>
    </w:p>
    <w:p>
      <w:pPr>
        <w:jc w:val="both"/>
      </w:pPr>
      <w:r>
        <w:rPr/>
        <w:t xml:space="preserve">The architectural design must also address the integration of V2X communication capabilities, which introduce both opportunities and challenges. Cooperative awareness messages (CAMs) and decentralized environmental notification messages (DENMs) extend the perceptual horizon beyond onboard sensor ranges, enabling anticipatory decision-making [4]. However, communication latency, packet loss, and message authentication requirements impose additional constraints on the decision-making pipeline. Modern architectures increasingly adopt a sense-plan-act paradigm augmented with cooperative perception and collaborative planning modules that leverage V2X information [7]. As illustrated in Figure 1, the decision-making architecture integrates perception, prediction, planning, and control layers with V2X communication channels to enable comprehensive situational awareness and coordinated vehicle behavior.</w:t>
      </w:r>
    </w:p>
    <w:p>
      <w:pPr>
        <w:jc w:val="center"/>
      </w:pPr>
      <w:r>
        <w:drawing>
          <wp:inline distT="0" distB="0" distL="0" distR="0">
            <wp:extent cx="5400000" cy="3400000"/>
            <wp:docPr id="1" name="Picture"/>
            <a:graphic>
              <a:graphicData uri="http://schemas.openxmlformats.org/drawingml/2006/picture">
                <pic:pic xmlns:pic="http://schemas.openxmlformats.org/drawingml/2006/picture">
                  <pic:nvPicPr>
                    <pic:cNvPr id="0" name="Image"/>
                    <pic:cNvPicPr/>
                  </pic:nvPicPr>
                  <pic:blipFill>
                    <a:blip r:embed="rId1"/>
                    <a:stretch>
                      <a:fillRect/>
                    </a:stretch>
                  </pic:blipFill>
                  <pic:spPr>
                    <a:xfrm>
                      <a:off x="0" y="0"/>
                      <a:ext cx="5400000" cy="3400000"/>
                    </a:xfrm>
                    <a:prstGeom prst="rect">
                      <a:avLst/>
                    </a:prstGeom>
                  </pic:spPr>
                </pic:pic>
              </a:graphicData>
            </a:graphic>
          </wp:inline>
        </w:drawing>
      </w:r>
    </w:p>
    <w:p>
      <w:pPr>
        <w:jc w:val="center"/>
      </w:pPr>
      <w:r>
        <w:rPr>
          <w:b/>
          <w:sz w:val="20"/>
          <w:szCs w:val="20"/>
        </w:rPr>
        <w:t xml:space="preserve">Figure 1. Hierarchical decision-making architecture for connected and automated vehicles showing the integration of perception, prediction, decision-making, and control layers with V2X communication.</w:t>
      </w:r>
    </w:p>
    <w:p>
      <w:pPr/>
      <w:r>
        <w:rPr/>
        <w:t xml:space="preserve"/>
      </w:r>
    </w:p>
    <w:p>
      <w:pPr>
        <w:jc w:val="center"/>
      </w:pPr>
      <w:r>
        <w:rPr>
          <w:b/>
          <w:sz w:val="20"/>
          <w:szCs w:val="20"/>
        </w:rPr>
        <w:t xml:space="preserve">Table 1. Comparison of decision-making architecture levels for connected and automated vehicles.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4472C4"/>
          </w:tcPr>
          <w:p>
            <w:pPr>
              <w:jc w:val="center"/>
            </w:pPr>
            <w:r>
              <w:rPr>
                <w:b/>
                <w:color w:val="FFFFFF"/>
                <w:sz w:val="20"/>
              </w:rPr>
              <w:t xml:space="preserve">Architecture Level</w:t>
            </w:r>
          </w:p>
        </w:tc>
        <w:tc>
          <w:tcPr>
            <w:shd w:val="clear" w:color="auto" w:fill="4472C4"/>
          </w:tcPr>
          <w:p>
            <w:pPr>
              <w:jc w:val="center"/>
            </w:pPr>
            <w:r>
              <w:rPr>
                <w:b/>
                <w:color w:val="FFFFFF"/>
                <w:sz w:val="20"/>
              </w:rPr>
              <w:t xml:space="preserve">Decision Scope</w:t>
            </w:r>
          </w:p>
        </w:tc>
        <w:tc>
          <w:tcPr>
            <w:shd w:val="clear" w:color="auto" w:fill="4472C4"/>
          </w:tcPr>
          <w:p>
            <w:pPr>
              <w:jc w:val="center"/>
            </w:pPr>
            <w:r>
              <w:rPr>
                <w:b/>
                <w:color w:val="FFFFFF"/>
                <w:sz w:val="20"/>
              </w:rPr>
              <w:t xml:space="preserve">Time Horizon</w:t>
            </w:r>
          </w:p>
        </w:tc>
        <w:tc>
          <w:tcPr>
            <w:shd w:val="clear" w:color="auto" w:fill="4472C4"/>
          </w:tcPr>
          <w:p>
            <w:pPr>
              <w:jc w:val="center"/>
            </w:pPr>
            <w:r>
              <w:rPr>
                <w:b/>
                <w:color w:val="FFFFFF"/>
                <w:sz w:val="20"/>
              </w:rPr>
              <w:t xml:space="preserve">Key Methods</w:t>
            </w:r>
          </w:p>
        </w:tc>
        <w:tc>
          <w:tcPr>
            <w:shd w:val="clear" w:color="auto" w:fill="4472C4"/>
          </w:tcPr>
          <w:p>
            <w:pPr>
              <w:jc w:val="center"/>
            </w:pPr>
            <w:r>
              <w:rPr>
                <w:b/>
                <w:color w:val="FFFFFF"/>
                <w:sz w:val="20"/>
              </w:rPr>
              <w:t xml:space="preserve">Latency Requirement</w:t>
            </w:r>
          </w:p>
        </w:tc>
      </w:tr>
      <w:tr>
        <w:tc>
          <w:tcPr>
            <w:shd w:val="clear" w:color="auto" w:fill="F2F2F2"/>
          </w:tcPr>
          <w:p>
            <w:r>
              <w:rPr>
                <w:sz w:val="20"/>
              </w:rPr>
              <w:t xml:space="preserve">Strategic</w:t>
            </w:r>
          </w:p>
        </w:tc>
        <w:tc>
          <w:tcPr>
            <w:shd w:val="clear" w:color="auto" w:fill="F2F2F2"/>
          </w:tcPr>
          <w:p>
            <w:r>
              <w:rPr>
                <w:sz w:val="20"/>
              </w:rPr>
              <w:t xml:space="preserve">Route planning, mission goals</w:t>
            </w:r>
          </w:p>
        </w:tc>
        <w:tc>
          <w:tcPr>
            <w:shd w:val="clear" w:color="auto" w:fill="F2F2F2"/>
          </w:tcPr>
          <w:p>
            <w:r>
              <w:rPr>
                <w:sz w:val="20"/>
              </w:rPr>
              <w:t xml:space="preserve">&gt; 60 seconds</w:t>
            </w:r>
          </w:p>
        </w:tc>
        <w:tc>
          <w:tcPr>
            <w:shd w:val="clear" w:color="auto" w:fill="F2F2F2"/>
          </w:tcPr>
          <w:p>
            <w:r>
              <w:rPr>
                <w:sz w:val="20"/>
              </w:rPr>
              <w:t xml:space="preserve">Graph search, A*, D*</w:t>
            </w:r>
          </w:p>
        </w:tc>
        <w:tc>
          <w:tcPr>
            <w:shd w:val="clear" w:color="auto" w:fill="F2F2F2"/>
          </w:tcPr>
          <w:p>
            <w:r>
              <w:rPr>
                <w:sz w:val="20"/>
              </w:rPr>
              <w:t xml:space="preserve">&lt; 5 seconds</w:t>
            </w:r>
          </w:p>
        </w:tc>
      </w:tr>
      <w:tr>
        <w:tc>
          <w:tcPr>
            <w:shd w:val="clear" w:color="auto" w:fill="FFFFFF"/>
          </w:tcPr>
          <w:p>
            <w:r>
              <w:rPr>
                <w:sz w:val="20"/>
              </w:rPr>
              <w:t xml:space="preserve">Tactical</w:t>
            </w:r>
          </w:p>
        </w:tc>
        <w:tc>
          <w:tcPr>
            <w:shd w:val="clear" w:color="auto" w:fill="FFFFFF"/>
          </w:tcPr>
          <w:p>
            <w:r>
              <w:rPr>
                <w:sz w:val="20"/>
              </w:rPr>
              <w:t xml:space="preserve">Lane change, overtaking, merging</w:t>
            </w:r>
          </w:p>
        </w:tc>
        <w:tc>
          <w:tcPr>
            <w:shd w:val="clear" w:color="auto" w:fill="FFFFFF"/>
          </w:tcPr>
          <w:p>
            <w:r>
              <w:rPr>
                <w:sz w:val="20"/>
              </w:rPr>
              <w:t xml:space="preserve">2-10 seconds</w:t>
            </w:r>
          </w:p>
        </w:tc>
        <w:tc>
          <w:tcPr>
            <w:shd w:val="clear" w:color="auto" w:fill="FFFFFF"/>
          </w:tcPr>
          <w:p>
            <w:r>
              <w:rPr>
                <w:sz w:val="20"/>
              </w:rPr>
              <w:t xml:space="preserve">MPC, POMDP, Game theory</w:t>
            </w:r>
          </w:p>
        </w:tc>
        <w:tc>
          <w:tcPr>
            <w:shd w:val="clear" w:color="auto" w:fill="FFFFFF"/>
          </w:tcPr>
          <w:p>
            <w:r>
              <w:rPr>
                <w:sz w:val="20"/>
              </w:rPr>
              <w:t xml:space="preserve">50-200 ms</w:t>
            </w:r>
          </w:p>
        </w:tc>
      </w:tr>
      <w:tr>
        <w:tc>
          <w:tcPr>
            <w:shd w:val="clear" w:color="auto" w:fill="F2F2F2"/>
          </w:tcPr>
          <w:p>
            <w:r>
              <w:rPr>
                <w:sz w:val="20"/>
              </w:rPr>
              <w:t xml:space="preserve">Operational</w:t>
            </w:r>
          </w:p>
        </w:tc>
        <w:tc>
          <w:tcPr>
            <w:shd w:val="clear" w:color="auto" w:fill="F2F2F2"/>
          </w:tcPr>
          <w:p>
            <w:r>
              <w:rPr>
                <w:sz w:val="20"/>
              </w:rPr>
              <w:t xml:space="preserve">Trajectory generation, control</w:t>
            </w:r>
          </w:p>
        </w:tc>
        <w:tc>
          <w:tcPr>
            <w:shd w:val="clear" w:color="auto" w:fill="F2F2F2"/>
          </w:tcPr>
          <w:p>
            <w:r>
              <w:rPr>
                <w:sz w:val="20"/>
              </w:rPr>
              <w:t xml:space="preserve">&lt; 2 seconds</w:t>
            </w:r>
          </w:p>
        </w:tc>
        <w:tc>
          <w:tcPr>
            <w:shd w:val="clear" w:color="auto" w:fill="F2F2F2"/>
          </w:tcPr>
          <w:p>
            <w:r>
              <w:rPr>
                <w:sz w:val="20"/>
              </w:rPr>
              <w:t xml:space="preserve">PID, LQR, MPC</w:t>
            </w:r>
          </w:p>
        </w:tc>
        <w:tc>
          <w:tcPr>
            <w:shd w:val="clear" w:color="auto" w:fill="F2F2F2"/>
          </w:tcPr>
          <w:p>
            <w:r>
              <w:rPr>
                <w:sz w:val="20"/>
              </w:rPr>
              <w:t xml:space="preserve">&lt; 50 ms</w:t>
            </w:r>
          </w:p>
        </w:tc>
      </w:tr>
      <w:tr>
        <w:tc>
          <w:tcPr>
            <w:shd w:val="clear" w:color="auto" w:fill="FFFFFF"/>
          </w:tcPr>
          <w:p>
            <w:r>
              <w:rPr>
                <w:sz w:val="20"/>
              </w:rPr>
              <w:t xml:space="preserve">Cooperative</w:t>
            </w:r>
          </w:p>
        </w:tc>
        <w:tc>
          <w:tcPr>
            <w:shd w:val="clear" w:color="auto" w:fill="FFFFFF"/>
          </w:tcPr>
          <w:p>
            <w:r>
              <w:rPr>
                <w:sz w:val="20"/>
              </w:rPr>
              <w:t xml:space="preserve">Multi-vehicle coordination</w:t>
            </w:r>
          </w:p>
        </w:tc>
        <w:tc>
          <w:tcPr>
            <w:shd w:val="clear" w:color="auto" w:fill="FFFFFF"/>
          </w:tcPr>
          <w:p>
            <w:r>
              <w:rPr>
                <w:sz w:val="20"/>
              </w:rPr>
              <w:t xml:space="preserve">1-5 seconds</w:t>
            </w:r>
          </w:p>
        </w:tc>
        <w:tc>
          <w:tcPr>
            <w:shd w:val="clear" w:color="auto" w:fill="FFFFFF"/>
          </w:tcPr>
          <w:p>
            <w:r>
              <w:rPr>
                <w:sz w:val="20"/>
              </w:rPr>
              <w:t xml:space="preserve">Consensus, Voting, V2X</w:t>
            </w:r>
          </w:p>
        </w:tc>
        <w:tc>
          <w:tcPr>
            <w:shd w:val="clear" w:color="auto" w:fill="FFFFFF"/>
          </w:tcPr>
          <w:p>
            <w:r>
              <w:rPr>
                <w:sz w:val="20"/>
              </w:rPr>
              <w:t xml:space="preserve">100-500 ms</w:t>
            </w:r>
          </w:p>
        </w:tc>
      </w:tr>
      <w:tr>
        <w:tc>
          <w:tcPr>
            <w:shd w:val="clear" w:color="auto" w:fill="F2F2F2"/>
          </w:tcPr>
          <w:p>
            <w:r>
              <w:rPr>
                <w:sz w:val="20"/>
              </w:rPr>
              <w:t xml:space="preserve">Emergency</w:t>
            </w:r>
          </w:p>
        </w:tc>
        <w:tc>
          <w:tcPr>
            <w:shd w:val="clear" w:color="auto" w:fill="F2F2F2"/>
          </w:tcPr>
          <w:p>
            <w:r>
              <w:rPr>
                <w:sz w:val="20"/>
              </w:rPr>
              <w:t xml:space="preserve">Collision avoidance, fail-safe</w:t>
            </w:r>
          </w:p>
        </w:tc>
        <w:tc>
          <w:tcPr>
            <w:shd w:val="clear" w:color="auto" w:fill="F2F2F2"/>
          </w:tcPr>
          <w:p>
            <w:r>
              <w:rPr>
                <w:sz w:val="20"/>
              </w:rPr>
              <w:t xml:space="preserve">&lt; 0.5 seconds</w:t>
            </w:r>
          </w:p>
        </w:tc>
        <w:tc>
          <w:tcPr>
            <w:shd w:val="clear" w:color="auto" w:fill="F2F2F2"/>
          </w:tcPr>
          <w:p>
            <w:r>
              <w:rPr>
                <w:sz w:val="20"/>
              </w:rPr>
              <w:t xml:space="preserve">RSS, Reachability analysis</w:t>
            </w:r>
          </w:p>
        </w:tc>
        <w:tc>
          <w:tcPr>
            <w:shd w:val="clear" w:color="auto" w:fill="F2F2F2"/>
          </w:tcPr>
          <w:p>
            <w:r>
              <w:rPr>
                <w:sz w:val="20"/>
              </w:rPr>
              <w:t xml:space="preserve">&lt; 20 ms</w:t>
            </w:r>
          </w:p>
        </w:tc>
      </w:tr>
    </w:tbl>
    <w:p>
      <w:pPr/>
      <w:r>
        <w:rPr/>
        <w:t xml:space="preserve"/>
      </w:r>
    </w:p>
    <w:p>
      <w:pPr>
        <w:jc w:val="both"/>
      </w:pPr>
      <w:r>
        <w:rPr/>
        <w:t xml:space="preserve">Furthermore, the modular versus end-to-end architectural debate has significant implications for decision-making system design. Modular architectures with explicit perception, prediction, planning, and control modules offer advantages in interpretability, debuggability, and component-level validation [5]. Each module can be independently verified, tested, and updated without requiring full system retraining. However, modular systems suffer from information loss at module boundaries and error propagation through the pipeline. End-to-end architectures that directly map sensor inputs to control outputs avoid these interface losses but sacrifice interpretability and make safety certification more challenging [6]. Hybrid architectures that maintain explicit module boundaries while enabling gradient flow across them represent a promising middle ground, preserving modularity benefits while enabling joint optimization of the full decision-making pipeline.</w:t>
      </w:r>
    </w:p>
    <w:p>
      <w:pPr>
        <w:jc w:val="both"/>
      </w:pPr>
      <w:r>
        <w:rPr/>
        <w:t xml:space="preserve">The operational design domain (ODD) specification fundamentally shapes the decision-making architecture by defining the environmental conditions, traffic scenarios, and geographic boundaries within which the system must operate safely [3]. A highway-only ODD permits simpler decision-making architectures focused on lane keeping, lane changing, and car following, while urban ODDs with pedestrians, cyclists, construction zones, and complex intersections demand significantly more sophisticated reasoning capabilities. The progressive expansion of ODDs from controlled highway environments to complex urban scenarios drives the evolution from rule-based to learning-based and hybrid decision-making approaches discussed in subsequent sections of this chapter.</w:t>
      </w:r>
    </w:p>
    <w:p>
      <w:pPr>
        <w:pStyle w:val="Heading2"/>
      </w:pPr>
      <w:r>
        <w:rPr>
          <w:b/>
        </w:rPr>
        <w:t xml:space="preserve">1.2 Perception, Prediction, Planning, and Control in Dynamic Traffic Environments</w:t>
      </w:r>
    </w:p>
    <w:p>
      <w:pPr>
        <w:jc w:val="both"/>
      </w:pPr>
      <w:r>
        <w:rPr/>
        <w:t xml:space="preserve">The perception module serves as the sensory foundation of CAV decision-making, fusing data from cameras, LiDAR, radar, ultrasonic sensors, and V2X messages to construct a comprehensive representation of the driving environment [8]. Modern perception systems employ deep neural networks for object detection, semantic segmentation, and free-space estimation, achieving detection ranges of 200+ meters with centimeter-level localization accuracy. The transition from modular perception pipelines to end-to-end perception-prediction architectures has demonstrated significant improvements in capturing the temporal dynamics of traffic participants [9].</w:t>
      </w:r>
    </w:p>
    <w:p>
      <w:pPr>
        <w:jc w:val="both"/>
      </w:pPr>
      <w:r>
        <w:rPr/>
        <w:t xml:space="preserve">Prediction constitutes perhaps the most challenging component of the decision-making pipeline, requiring the system to anticipate the future trajectories and intentions of surrounding traffic participants over planning horizons of 3-8 seconds [10]. Trajectory prediction methods have evolved from physics-based kinematic models through maneuver-based approaches to deep generative models including conditional variational autoencoders (CVAEs) and diffusion models that capture the multi-modal nature of human driving behavior [11]. The inherent uncertainty in prediction necessitates probabilistic representations that propagate through the planning layer, enabling risk-aware decision-making under incomplete information.</w:t>
      </w:r>
    </w:p>
    <w:p>
      <w:pPr>
        <w:jc w:val="both"/>
      </w:pPr>
      <w:r>
        <w:rPr/>
        <w:t xml:space="preserve">The planning layer transforms the perceived and predicted environment state into a feasible and optimal trajectory that satisfies kinematic constraints, safety requirements, and comfort objectives [12]. Planning approaches range from sampling-based methods such as rapidly-exploring random trees (RRT*) through optimization-based trajectory planners to learning-based approaches that directly map scene representations to trajectories. The tight coupling between prediction and planning has motivated joint prediction-planning frameworks that account for the interactive nature of driving, where the ego vehicle's decisions influence the behavior of surrounding traffic participants [13].</w:t>
      </w:r>
    </w:p>
    <w:p>
      <w:pPr>
        <w:jc w:val="both"/>
      </w:pPr>
      <w:r>
        <w:rPr/>
        <w:t xml:space="preserve">The control layer executes the planned trajectory through precise actuator commands for steering, throttle, and braking subsystems. Model predictive control (MPC) has emerged as the predominant control paradigm for CAVs due to its ability to handle constraints, incorporate preview information, and optimize over finite horizons [14]. The integration of learning-based components within MPC frameworks, such as learned dynamics models or cost functions, bridges the gap between model-based control guarantees and data-driven adaptability.</w:t>
      </w:r>
    </w:p>
    <w:p>
      <w:pPr>
        <w:jc w:val="both"/>
      </w:pPr>
      <w:r>
        <w:rPr/>
        <w:t xml:space="preserve">The feedback interconnection between the planning and control layers introduces additional complexity in the form of tracking errors, actuator saturation, and model-plant mismatch. Robust control techniques including H-infinity synthesis, tube-based MPC, and adaptive control provide mechanisms for maintaining trajectory tracking performance under parametric and unmodeled uncertainties [14]. The emergence of learning-enabled adaptive control systems that jointly learn vehicle dynamics models and tracking controllers from operational data represents a significant advance in handling the diversity of vehicle platforms and degraded road conditions. These approaches maintain stability and tracking guarantees through Lyapunov-based analysis while enabling continuous improvement of control performance through online learning from driving experience.</w:t>
      </w:r>
    </w:p>
    <w:p>
      <w:pPr>
        <w:jc w:val="both"/>
      </w:pPr>
      <w:r>
        <w:rPr/>
        <w:t xml:space="preserve">The integration challenge between perception and planning has motivated the development of joint perception-prediction-planning frameworks that reason holistically about the driving scene [10]. Bird's-eye-view (BEV) representations have emerged as a unifying scene representation that transforms multi-sensor inputs into a common spatial frame amenable to downstream prediction and planning operations. Vectorized scene representations encode map elements, agent trajectories, and relationships as sets of vectors, enabling attention-based neural architectures to reason about complex spatial relationships without the computational overhead of dense grid representations [11]. These unified representations facilitate the tight coupling between prediction and planning that is essential for interactive driving scenarios where the ego vehicle's decisions influence other agents.</w:t>
      </w:r>
    </w:p>
    <w:p>
      <w:pPr>
        <w:jc w:val="both"/>
      </w:pPr>
      <w:r>
        <w:rPr/>
        <w:t xml:space="preserve">Temporal reasoning across multiple scales presents additional challenges for the perception-to-control pipeline. Short-term predictions (0.5-2 seconds) primarily serve collision avoidance and reactive control, requiring high confidence and low latency. Medium-term predictions (2-8 seconds) inform tactical maneuver decisions such as lane changes and gap selection, where multi-modal uncertainty must be explicitly represented [12]. Long-term predictions (8-30 seconds) support strategic route and behavior planning, where aggregate traffic patterns matter more than individual agent trajectories. The decision-making system must seamlessly integrate information across these temporal scales while maintaining consistency between decisions made at different planning horizons.</w:t>
      </w:r>
    </w:p>
    <w:p>
      <w:pPr>
        <w:pStyle w:val="Heading2"/>
      </w:pPr>
      <w:r>
        <w:rPr>
          <w:b/>
        </w:rPr>
        <w:t xml:space="preserve">1.3 Uncertainty, Risk, Safety Constraints, and Multi-Agent Interaction</w:t>
      </w:r>
    </w:p>
    <w:p>
      <w:pPr>
        <w:jc w:val="both"/>
      </w:pPr>
      <w:r>
        <w:rPr/>
        <w:t xml:space="preserve">Uncertainty pervades every layer of the CAV decision-making stack, arising from sensor noise, perception errors, prediction ambiguity, model inaccuracies, and the inherent stochasticity of human behavior [15]. Aleatory uncertainty (irreducible randomness) and epistemic uncertainty (knowledge gaps) require fundamentally different treatment strategies. Robust optimization addresses worst-case scenarios under bounded uncertainty sets, while stochastic optimization minimizes expected costs under probabilistic uncertainty models. Distributionally robust approaches provide intermediate solutions that hedge against distributional ambiguity without excessive conservatism [16].</w:t>
      </w:r>
    </w:p>
    <w:p>
      <w:pPr>
        <w:jc w:val="both"/>
      </w:pPr>
      <w:r>
        <w:rPr/>
        <w:t xml:space="preserve">The propagation of uncertainty through the decision-making pipeline compounds errors and amplifies risk if not properly managed. Perception uncertainty in object detection confidence scores, bounding box dimensions, and velocity estimates directly impacts the quality of downstream predictions. Prediction uncertainty manifests as multi-modal trajectory distributions where each mode represents a distinct behavioral intention (e.g., lane change vs. lane keep) with associated probability [15]. Planning under this compounded uncertainty requires decision-theoretic frameworks that explicitly reason about the information value of different actions and the expected costs of incorrect decisions. Partially observable Markov decision processes (POMDPs) provide the theoretical foundation for sequential decision-making under observational uncertainty, though their computational intractability for continuous state-action spaces necessitates approximation methods including point-based solvers, Monte Carlo tree search, and deep reinforcement learning with belief-state representations [16].</w:t>
      </w:r>
    </w:p>
    <w:p>
      <w:pPr>
        <w:jc w:val="both"/>
      </w:pPr>
      <w:r>
        <w:rPr/>
        <w:t xml:space="preserve">Risk assessment and safety constraint formulation represent critical aspects of CAV decision-making that directly impact public acceptance and regulatory compliance [17]. The Responsibility-Sensitive Safety (RSS) framework provides formal mathematical definitions of safe driving behavior through proper response times and minimum safe distances. Reachability analysis computes the set of states reachable by traffic participants under bounded control inputs, enabling provably safe trajectory planning. Control barrier functions (CBFs) provide a complementary approach by ensuring forward invariance of safe sets through inequality constraints on the control input [18]. These formal safety methods increasingly complement learning-based decision-making systems by providing safety filters or constrained optimization layers that prevent catastrophic failures.</w:t>
      </w:r>
    </w:p>
    <w:p>
      <w:pPr>
        <w:jc w:val="both"/>
      </w:pPr>
      <w:r>
        <w:rPr/>
        <w:t xml:space="preserve">Multi-agent interaction introduces game-theoretic complexity where each traffic participant's optimal decision depends on the decisions of others [19]. In dense traffic scenarios such as highway merging, unsignalized intersections, and roundabouts, vehicles must simultaneously predict and influence the behavior of surrounding agents. This coupling between prediction and planning creates a chicken-and-egg problem that game-theoretic and interaction-aware planning methods seek to resolve. The connected nature of CAVs enables explicit communication of intentions and cooperative planning, potentially resolving interaction deadlocks and improving system-level efficiency [20]. As shown in Table 1, different architecture levels handle these challenges with varying time horizons and methodological approaches, as further detailed in Figure 1 which depicts the layered integration of safety and interaction modules.</w:t>
      </w:r>
    </w:p>
    <w:p>
      <w:pPr/>
      <w:r>
        <w:rPr/>
        <w:t xml:space="preserve"/>
      </w:r>
    </w:p>
    <w:p>
      <w:pPr>
        <w:pStyle w:val="Heading1"/>
      </w:pPr>
      <w:r>
        <w:rPr>
          <w:b/>
        </w:rPr>
        <w:t xml:space="preserve">2. Knowledge-Driven Decision-Making Approaches</w:t>
      </w:r>
    </w:p>
    <w:p>
      <w:pPr>
        <w:jc w:val="both"/>
      </w:pPr>
      <w:r>
        <w:rPr/>
        <w:t xml:space="preserve">Knowledge-driven decision-making approaches leverage explicit domain knowledge, physical models, and logical reasoning to generate driving decisions. These methods offer interpretability, verifiability, and predictable behavior, making them particularly suitable for safety-critical applications where certification and explainability are paramount [21]. This section examines three major paradigms within knowledge-driven decision-making: rule-based systems, game-theoretic models, and optimization-based planning methods.</w:t>
      </w:r>
    </w:p>
    <w:p>
      <w:pPr>
        <w:jc w:val="both"/>
      </w:pPr>
      <w:r>
        <w:rPr/>
        <w:t xml:space="preserve">The fundamental advantage of knowledge-driven approaches lies in their transparency and the ability to provide formal guarantees about system behavior. Unlike black-box neural network policies whose decision boundaries are opaque, knowledge-driven methods operate through explicitly defined rules, mathematical models, and logical inference chains that can be inspected, validated, and certified by domain experts and regulatory authorities [22]. This transparency facilitates the safety case construction required for regulatory approval across jurisdictions with varying standards and requirements. Furthermore, knowledge-driven systems exhibit predictable failure modes that can be characterized through formal analysis, enabling the design of appropriate monitoring and fallback mechanisms. The integration of traffic law knowledge, physics-based vehicle models, and social driving conventions provides a robust foundation for decision-making that remains valid across diverse geographic and cultural contexts.</w:t>
      </w:r>
    </w:p>
    <w:p>
      <w:pPr>
        <w:pStyle w:val="Heading2"/>
      </w:pPr>
      <w:r>
        <w:rPr>
          <w:b/>
        </w:rPr>
        <w:t xml:space="preserve">2.1 Rule-Based Systems and Behavior-Based Decision-Making</w:t>
      </w:r>
    </w:p>
    <w:p>
      <w:pPr>
        <w:jc w:val="both"/>
      </w:pPr>
      <w:r>
        <w:rPr/>
        <w:t xml:space="preserve">Rule-based decision-making systems encode driving knowledge as hierarchical sets of conditional rules, finite state machines (FSMs), or behavior trees that map perceived situations to appropriate driving behaviors [21]. These systems decompose the complex driving task into manageable behavioral primitives such as lane following, lane changing, car following, intersection crossing, and emergency stopping. Each behavioral primitive is activated by specific triggering conditions and generates parameterized reference trajectories or control outputs.</w:t>
      </w:r>
    </w:p>
    <w:p>
      <w:pPr>
        <w:jc w:val="both"/>
      </w:pPr>
      <w:r>
        <w:rPr/>
        <w:t xml:space="preserve">Finite state machines represent one of the earliest and most widely deployed decision-making frameworks in autonomous driving, offering clear state transitions governed by deterministic or probabilistic rules [22]. The DARPA Urban Challenge vehicles predominantly employed hierarchical FSMs with hundreds of manually crafted states and transitions. While effective for structured environments, FSMs suffer from state explosion in complex scenarios and difficulty handling novel situations not anticipated during design. Behavior trees provide a more modular and compositional alternative, enabling dynamic composition of behavioral primitives through sequence, selector, and parallel nodes [23].</w:t>
      </w:r>
    </w:p>
    <w:p>
      <w:pPr>
        <w:jc w:val="both"/>
      </w:pPr>
      <w:r>
        <w:rPr/>
        <w:t xml:space="preserve">Rule-based systems increasingly incorporate semantic scene understanding and ontological reasoning to handle complex driving scenarios. Traffic rule formalization frameworks encode traffic regulations as machine-interpretable constraints that can be verified against planned trajectories [22]. Scene-understanding approaches classify driving situations into canonical categories (e.g., unprotected left turn, pedestrian crossing, construction zone) and activate situation-specific decision-making strategies. While rule-based systems provide strong guarantees within their design domain, they fundamentally struggle with the long-tail distribution of rare and novel scenarios that characterize real-world driving [24]. This limitation motivates the integration of learning-based components for handling out-of-distribution scenarios while maintaining rule-based safety constraints.</w:t>
      </w:r>
    </w:p>
    <w:p>
      <w:pPr>
        <w:jc w:val="both"/>
      </w:pPr>
      <w:r>
        <w:rPr/>
        <w:t xml:space="preserve">The evolution of behavior-based architectures reflects decades of experience in deploying autonomous systems in increasingly complex environments. Subsumption architectures layer behavioral primitives with increasing sophistication, where higher-level behaviors can inhibit or override lower-level ones. Modern variants incorporate probabilistic activation models where multiple behaviors compete for execution through priority-based arbitration or utility-based selection [23]. The behavior library paradigm organizes driving maneuvers as reusable components with well-defined preconditions, invariants, and postconditions, enabling formal verification of individual behaviors and systematic composition into complex driving strategies. Despite the emergence of deep learning approaches, rule-based components remain essential in production systems as safety monitors, regulatory compliance checkers, and fallback controllers that ensure deterministic behavior in critical situations [24].</w:t>
      </w:r>
    </w:p>
    <w:p>
      <w:pPr>
        <w:pStyle w:val="Heading2"/>
      </w:pPr>
      <w:r>
        <w:rPr>
          <w:b/>
        </w:rPr>
        <w:t xml:space="preserve">2.2 Game-Theoretic Models for Multi-Vehicle Interaction and Cooperative Driving</w:t>
      </w:r>
    </w:p>
    <w:p>
      <w:pPr>
        <w:jc w:val="both"/>
      </w:pPr>
      <w:r>
        <w:rPr/>
        <w:t xml:space="preserve">Game theory provides a rigorous mathematical framework for modeling strategic interactions among multiple self-interested agents, making it naturally applicable to multi-vehicle decision-making scenarios [19]. In traffic environments, vehicles continuously engage in implicit negotiations during lane changes, merges, intersection crossings, and gap acceptance maneuvers. Game-theoretic formulations capture the coupling between agents' decisions and enable computation of equilibrium strategies that account for rational behavior of all participants. The inherent structure of traffic interactions, where vehicles must share limited road space while pursuing individual objectives of reaching destinations efficiently and safely, naturally maps to game-theoretic problem formulations that balance individual optimality with system-level efficiency.</w:t>
      </w:r>
    </w:p>
    <w:p>
      <w:pPr>
        <w:jc w:val="both"/>
      </w:pPr>
      <w:r>
        <w:rPr/>
        <w:t xml:space="preserve">The choice of game formulation depends critically on the information structure and temporal dynamics of the driving interaction. Complete information games assume all vehicles observe the full state, while incomplete information formulations model private knowledge such as driver aggressiveness or intended destinations that are not directly observable [19]. Static games model one-shot interaction decisions, while repeated and dynamic games capture the temporal evolution of strategic interactions over multiple decision epochs. The information exchange enabled by V2X communication fundamentally alters the game structure by converting incomplete information games into complete information settings, potentially enabling cooperative solutions that Pareto-dominate non-cooperative equilibria [25].</w:t>
      </w:r>
    </w:p>
    <w:p>
      <w:pPr>
        <w:jc w:val="both"/>
      </w:pPr>
      <w:r>
        <w:rPr/>
        <w:t xml:space="preserve">Stackelberg games model leader-follower interactions where one vehicle commits to a strategy first and others respond optimally, representing scenarios such as assertive merging or yielding decisions [25]. Nash equilibrium concepts from simultaneous-move games capture symmetric interaction scenarios where no vehicle has a dominant position. Level-k reasoning models bounded rationality by assuming agents reason about others with limited strategic depth, providing more realistic behavioral predictions than full rationality assumptions [26]. As illustrated in Figure 2, the game-theoretic interaction model captures the payoff structure and strategic reasoning among multiple vehicles in cooperative driving scenarios.</w:t>
      </w:r>
    </w:p>
    <w:p>
      <w:pPr>
        <w:jc w:val="center"/>
      </w:pPr>
      <w:r>
        <w:drawing>
          <wp:inline distT="0" distB="0" distL="0" distR="0">
            <wp:extent cx="5400000" cy="3400000"/>
            <wp:docPr id="1" name="Picture"/>
            <a:graphic>
              <a:graphicData uri="http://schemas.openxmlformats.org/drawingml/2006/picture">
                <pic:pic xmlns:pic="http://schemas.openxmlformats.org/drawingml/2006/picture">
                  <pic:nvPicPr>
                    <pic:cNvPr id="0" name="Image"/>
                    <pic:cNvPicPr/>
                  </pic:nvPicPr>
                  <pic:blipFill>
                    <a:blip r:embed="rId2"/>
                    <a:stretch>
                      <a:fillRect/>
                    </a:stretch>
                  </pic:blipFill>
                  <pic:spPr>
                    <a:xfrm>
                      <a:off x="0" y="0"/>
                      <a:ext cx="5400000" cy="3400000"/>
                    </a:xfrm>
                    <a:prstGeom prst="rect">
                      <a:avLst/>
                    </a:prstGeom>
                  </pic:spPr>
                </pic:pic>
              </a:graphicData>
            </a:graphic>
          </wp:inline>
        </w:drawing>
      </w:r>
    </w:p>
    <w:p>
      <w:pPr>
        <w:jc w:val="center"/>
      </w:pPr>
      <w:r>
        <w:rPr>
          <w:b/>
          <w:sz w:val="20"/>
          <w:szCs w:val="20"/>
        </w:rPr>
        <w:t xml:space="preserve">Figure 2. Game-theoretic multi-vehicle interaction model showing payoff matrix structure, Nash equilibrium computation, and V2V communication-enabled cooperative strategies.</w:t>
      </w:r>
    </w:p>
    <w:p>
      <w:pPr/>
      <w:r>
        <w:rPr/>
        <w:t xml:space="preserve"/>
      </w:r>
    </w:p>
    <w:p>
      <w:pPr>
        <w:jc w:val="both"/>
      </w:pPr>
      <w:r>
        <w:rPr/>
        <w:t xml:space="preserve">Cooperative game theory extends these concepts to connected vehicles that can explicitly communicate intentions and coordinate strategies through V2X channels [27]. Coalition formation algorithms enable groups of vehicles to cooperatively plan maneuvers such as platoon formation, cooperative merge sequencing, and coordinated intersection crossing. The Shapley value and nucleolus provide fair allocation of cooperative benefits among participating vehicles. Mechanism design approaches ensure truthful reporting of intentions and compliance with cooperative agreements, addressing potential strategic manipulation in mixed-autonomy traffic [25].</w:t>
      </w:r>
    </w:p>
    <w:p>
      <w:pPr>
        <w:jc w:val="both"/>
      </w:pPr>
      <w:r>
        <w:rPr/>
        <w:t xml:space="preserve">Recent advances in dynamic and mean-field game formulations address scalability challenges in large-scale traffic scenarios [28]. Mean-field games approximate the aggregate behavior of many interacting vehicles through a continuous distribution, reducing computational complexity from exponential to polynomial in the number of agents. Differential games capture continuous-time interactions with coupled differential equations governing vehicle dynamics, enabling optimization over interaction trajectories rather than discrete action spaces. These advanced formulations increasingly integrate with deep learning for approximating equilibrium strategies in high-dimensional state spaces, as summarized in Table 2 which compares the characteristics of different game-theoretic approaches. The interaction dynamics captured in Figure 2 demonstrate how these theoretical frameworks translate into practical multi-vehicle coordination protocols.</w:t>
      </w:r>
    </w:p>
    <w:p>
      <w:pPr>
        <w:jc w:val="center"/>
      </w:pPr>
      <w:r>
        <w:rPr>
          <w:b/>
          <w:sz w:val="20"/>
          <w:szCs w:val="20"/>
        </w:rPr>
        <w:t xml:space="preserve">Table 2. Comparison of game-theoretic approaches for CAV decision-making.</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4472C4"/>
          </w:tcPr>
          <w:p>
            <w:pPr>
              <w:jc w:val="center"/>
            </w:pPr>
            <w:r>
              <w:rPr>
                <w:b/>
                <w:color w:val="FFFFFF"/>
                <w:sz w:val="20"/>
              </w:rPr>
              <w:t xml:space="preserve">Game Type</w:t>
            </w:r>
          </w:p>
        </w:tc>
        <w:tc>
          <w:tcPr>
            <w:shd w:val="clear" w:color="auto" w:fill="4472C4"/>
          </w:tcPr>
          <w:p>
            <w:pPr>
              <w:jc w:val="center"/>
            </w:pPr>
            <w:r>
              <w:rPr>
                <w:b/>
                <w:color w:val="FFFFFF"/>
                <w:sz w:val="20"/>
              </w:rPr>
              <w:t xml:space="preserve">Interaction Model</w:t>
            </w:r>
          </w:p>
        </w:tc>
        <w:tc>
          <w:tcPr>
            <w:shd w:val="clear" w:color="auto" w:fill="4472C4"/>
          </w:tcPr>
          <w:p>
            <w:pPr>
              <w:jc w:val="center"/>
            </w:pPr>
            <w:r>
              <w:rPr>
                <w:b/>
                <w:color w:val="FFFFFF"/>
                <w:sz w:val="20"/>
              </w:rPr>
              <w:t xml:space="preserve">Solution Concept</w:t>
            </w:r>
          </w:p>
        </w:tc>
        <w:tc>
          <w:tcPr>
            <w:shd w:val="clear" w:color="auto" w:fill="4472C4"/>
          </w:tcPr>
          <w:p>
            <w:pPr>
              <w:jc w:val="center"/>
            </w:pPr>
            <w:r>
              <w:rPr>
                <w:b/>
                <w:color w:val="FFFFFF"/>
                <w:sz w:val="20"/>
              </w:rPr>
              <w:t xml:space="preserve">Scalability</w:t>
            </w:r>
          </w:p>
        </w:tc>
        <w:tc>
          <w:tcPr>
            <w:shd w:val="clear" w:color="auto" w:fill="4472C4"/>
          </w:tcPr>
          <w:p>
            <w:pPr>
              <w:jc w:val="center"/>
            </w:pPr>
            <w:r>
              <w:rPr>
                <w:b/>
                <w:color w:val="FFFFFF"/>
                <w:sz w:val="20"/>
              </w:rPr>
              <w:t xml:space="preserve">Communication Req.</w:t>
            </w:r>
          </w:p>
        </w:tc>
      </w:tr>
      <w:tr>
        <w:tc>
          <w:tcPr>
            <w:shd w:val="clear" w:color="auto" w:fill="F2F2F2"/>
          </w:tcPr>
          <w:p>
            <w:r>
              <w:rPr>
                <w:sz w:val="20"/>
              </w:rPr>
              <w:t xml:space="preserve">Stackelberg</w:t>
            </w:r>
          </w:p>
        </w:tc>
        <w:tc>
          <w:tcPr>
            <w:shd w:val="clear" w:color="auto" w:fill="F2F2F2"/>
          </w:tcPr>
          <w:p>
            <w:r>
              <w:rPr>
                <w:sz w:val="20"/>
              </w:rPr>
              <w:t xml:space="preserve">Leader-follower</w:t>
            </w:r>
          </w:p>
        </w:tc>
        <w:tc>
          <w:tcPr>
            <w:shd w:val="clear" w:color="auto" w:fill="F2F2F2"/>
          </w:tcPr>
          <w:p>
            <w:r>
              <w:rPr>
                <w:sz w:val="20"/>
              </w:rPr>
              <w:t xml:space="preserve">Stackelberg equilibrium</w:t>
            </w:r>
          </w:p>
        </w:tc>
        <w:tc>
          <w:tcPr>
            <w:shd w:val="clear" w:color="auto" w:fill="F2F2F2"/>
          </w:tcPr>
          <w:p>
            <w:r>
              <w:rPr>
                <w:sz w:val="20"/>
              </w:rPr>
              <w:t xml:space="preserve">Moderate</w:t>
            </w:r>
          </w:p>
        </w:tc>
        <w:tc>
          <w:tcPr>
            <w:shd w:val="clear" w:color="auto" w:fill="F2F2F2"/>
          </w:tcPr>
          <w:p>
            <w:r>
              <w:rPr>
                <w:sz w:val="20"/>
              </w:rPr>
              <w:t xml:space="preserve">Optional</w:t>
            </w:r>
          </w:p>
        </w:tc>
      </w:tr>
      <w:tr>
        <w:tc>
          <w:tcPr>
            <w:shd w:val="clear" w:color="auto" w:fill="FFFFFF"/>
          </w:tcPr>
          <w:p>
            <w:r>
              <w:rPr>
                <w:sz w:val="20"/>
              </w:rPr>
              <w:t xml:space="preserve">Nash (simultaneous)</w:t>
            </w:r>
          </w:p>
        </w:tc>
        <w:tc>
          <w:tcPr>
            <w:shd w:val="clear" w:color="auto" w:fill="FFFFFF"/>
          </w:tcPr>
          <w:p>
            <w:r>
              <w:rPr>
                <w:sz w:val="20"/>
              </w:rPr>
              <w:t xml:space="preserve">Symmetric</w:t>
            </w:r>
          </w:p>
        </w:tc>
        <w:tc>
          <w:tcPr>
            <w:shd w:val="clear" w:color="auto" w:fill="FFFFFF"/>
          </w:tcPr>
          <w:p>
            <w:r>
              <w:rPr>
                <w:sz w:val="20"/>
              </w:rPr>
              <w:t xml:space="preserve">Nash equilibrium</w:t>
            </w:r>
          </w:p>
        </w:tc>
        <w:tc>
          <w:tcPr>
            <w:shd w:val="clear" w:color="auto" w:fill="FFFFFF"/>
          </w:tcPr>
          <w:p>
            <w:r>
              <w:rPr>
                <w:sz w:val="20"/>
              </w:rPr>
              <w:t xml:space="preserve">Low</w:t>
            </w:r>
          </w:p>
        </w:tc>
        <w:tc>
          <w:tcPr>
            <w:shd w:val="clear" w:color="auto" w:fill="FFFFFF"/>
          </w:tcPr>
          <w:p>
            <w:r>
              <w:rPr>
                <w:sz w:val="20"/>
              </w:rPr>
              <w:t xml:space="preserve">Not required</w:t>
            </w:r>
          </w:p>
        </w:tc>
      </w:tr>
      <w:tr>
        <w:tc>
          <w:tcPr>
            <w:shd w:val="clear" w:color="auto" w:fill="F2F2F2"/>
          </w:tcPr>
          <w:p>
            <w:r>
              <w:rPr>
                <w:sz w:val="20"/>
              </w:rPr>
              <w:t xml:space="preserve">Level-k reasoning</w:t>
            </w:r>
          </w:p>
        </w:tc>
        <w:tc>
          <w:tcPr>
            <w:shd w:val="clear" w:color="auto" w:fill="F2F2F2"/>
          </w:tcPr>
          <w:p>
            <w:r>
              <w:rPr>
                <w:sz w:val="20"/>
              </w:rPr>
              <w:t xml:space="preserve">Bounded rationality</w:t>
            </w:r>
          </w:p>
        </w:tc>
        <w:tc>
          <w:tcPr>
            <w:shd w:val="clear" w:color="auto" w:fill="F2F2F2"/>
          </w:tcPr>
          <w:p>
            <w:r>
              <w:rPr>
                <w:sz w:val="20"/>
              </w:rPr>
              <w:t xml:space="preserve">Level-k strategy</w:t>
            </w:r>
          </w:p>
        </w:tc>
        <w:tc>
          <w:tcPr>
            <w:shd w:val="clear" w:color="auto" w:fill="F2F2F2"/>
          </w:tcPr>
          <w:p>
            <w:r>
              <w:rPr>
                <w:sz w:val="20"/>
              </w:rPr>
              <w:t xml:space="preserve">High</w:t>
            </w:r>
          </w:p>
        </w:tc>
        <w:tc>
          <w:tcPr>
            <w:shd w:val="clear" w:color="auto" w:fill="F2F2F2"/>
          </w:tcPr>
          <w:p>
            <w:r>
              <w:rPr>
                <w:sz w:val="20"/>
              </w:rPr>
              <w:t xml:space="preserve">Not required</w:t>
            </w:r>
          </w:p>
        </w:tc>
      </w:tr>
      <w:tr>
        <w:tc>
          <w:tcPr>
            <w:shd w:val="clear" w:color="auto" w:fill="FFFFFF"/>
          </w:tcPr>
          <w:p>
            <w:r>
              <w:rPr>
                <w:sz w:val="20"/>
              </w:rPr>
              <w:t xml:space="preserve">Cooperative games</w:t>
            </w:r>
          </w:p>
        </w:tc>
        <w:tc>
          <w:tcPr>
            <w:shd w:val="clear" w:color="auto" w:fill="FFFFFF"/>
          </w:tcPr>
          <w:p>
            <w:r>
              <w:rPr>
                <w:sz w:val="20"/>
              </w:rPr>
              <w:t xml:space="preserve">Coalition-based</w:t>
            </w:r>
          </w:p>
        </w:tc>
        <w:tc>
          <w:tcPr>
            <w:shd w:val="clear" w:color="auto" w:fill="FFFFFF"/>
          </w:tcPr>
          <w:p>
            <w:r>
              <w:rPr>
                <w:sz w:val="20"/>
              </w:rPr>
              <w:t xml:space="preserve">Shapley value</w:t>
            </w:r>
          </w:p>
        </w:tc>
        <w:tc>
          <w:tcPr>
            <w:shd w:val="clear" w:color="auto" w:fill="FFFFFF"/>
          </w:tcPr>
          <w:p>
            <w:r>
              <w:rPr>
                <w:sz w:val="20"/>
              </w:rPr>
              <w:t xml:space="preserve">Low-Moderate</w:t>
            </w:r>
          </w:p>
        </w:tc>
        <w:tc>
          <w:tcPr>
            <w:shd w:val="clear" w:color="auto" w:fill="FFFFFF"/>
          </w:tcPr>
          <w:p>
            <w:r>
              <w:rPr>
                <w:sz w:val="20"/>
              </w:rPr>
              <w:t xml:space="preserve">Required (V2X)</w:t>
            </w:r>
          </w:p>
        </w:tc>
      </w:tr>
      <w:tr>
        <w:tc>
          <w:tcPr>
            <w:shd w:val="clear" w:color="auto" w:fill="F2F2F2"/>
          </w:tcPr>
          <w:p>
            <w:r>
              <w:rPr>
                <w:sz w:val="20"/>
              </w:rPr>
              <w:t xml:space="preserve">Mean-field games</w:t>
            </w:r>
          </w:p>
        </w:tc>
        <w:tc>
          <w:tcPr>
            <w:shd w:val="clear" w:color="auto" w:fill="F2F2F2"/>
          </w:tcPr>
          <w:p>
            <w:r>
              <w:rPr>
                <w:sz w:val="20"/>
              </w:rPr>
              <w:t xml:space="preserve">Population-level</w:t>
            </w:r>
          </w:p>
        </w:tc>
        <w:tc>
          <w:tcPr>
            <w:shd w:val="clear" w:color="auto" w:fill="F2F2F2"/>
          </w:tcPr>
          <w:p>
            <w:r>
              <w:rPr>
                <w:sz w:val="20"/>
              </w:rPr>
              <w:t xml:space="preserve">Mean-field equilibrium</w:t>
            </w:r>
          </w:p>
        </w:tc>
        <w:tc>
          <w:tcPr>
            <w:shd w:val="clear" w:color="auto" w:fill="F2F2F2"/>
          </w:tcPr>
          <w:p>
            <w:r>
              <w:rPr>
                <w:sz w:val="20"/>
              </w:rPr>
              <w:t xml:space="preserve">Very High</w:t>
            </w:r>
          </w:p>
        </w:tc>
        <w:tc>
          <w:tcPr>
            <w:shd w:val="clear" w:color="auto" w:fill="F2F2F2"/>
          </w:tcPr>
          <w:p>
            <w:r>
              <w:rPr>
                <w:sz w:val="20"/>
              </w:rPr>
              <w:t xml:space="preserve">Optional</w:t>
            </w:r>
          </w:p>
        </w:tc>
      </w:tr>
      <w:tr>
        <w:tc>
          <w:tcPr>
            <w:shd w:val="clear" w:color="auto" w:fill="FFFFFF"/>
          </w:tcPr>
          <w:p>
            <w:r>
              <w:rPr>
                <w:sz w:val="20"/>
              </w:rPr>
              <w:t xml:space="preserve">Differential games</w:t>
            </w:r>
          </w:p>
        </w:tc>
        <w:tc>
          <w:tcPr>
            <w:shd w:val="clear" w:color="auto" w:fill="FFFFFF"/>
          </w:tcPr>
          <w:p>
            <w:r>
              <w:rPr>
                <w:sz w:val="20"/>
              </w:rPr>
              <w:t xml:space="preserve">Continuous-time</w:t>
            </w:r>
          </w:p>
        </w:tc>
        <w:tc>
          <w:tcPr>
            <w:shd w:val="clear" w:color="auto" w:fill="FFFFFF"/>
          </w:tcPr>
          <w:p>
            <w:r>
              <w:rPr>
                <w:sz w:val="20"/>
              </w:rPr>
              <w:t xml:space="preserve">Open/closed-loop NE</w:t>
            </w:r>
          </w:p>
        </w:tc>
        <w:tc>
          <w:tcPr>
            <w:shd w:val="clear" w:color="auto" w:fill="FFFFFF"/>
          </w:tcPr>
          <w:p>
            <w:r>
              <w:rPr>
                <w:sz w:val="20"/>
              </w:rPr>
              <w:t xml:space="preserve">Low</w:t>
            </w:r>
          </w:p>
        </w:tc>
        <w:tc>
          <w:tcPr>
            <w:shd w:val="clear" w:color="auto" w:fill="FFFFFF"/>
          </w:tcPr>
          <w:p>
            <w:r>
              <w:rPr>
                <w:sz w:val="20"/>
              </w:rPr>
              <w:t xml:space="preserve">Optional</w:t>
            </w:r>
          </w:p>
        </w:tc>
      </w:tr>
    </w:tbl>
    <w:p>
      <w:pPr/>
      <w:r>
        <w:rPr/>
        <w:t xml:space="preserve"/>
      </w:r>
    </w:p>
    <w:p>
      <w:pPr>
        <w:pStyle w:val="Heading2"/>
      </w:pPr>
      <w:r>
        <w:rPr>
          <w:b/>
        </w:rPr>
        <w:t xml:space="preserve">2.3 Optimization-Based Planning, Model Predictive Control, and Constraint-Based Decision-Making</w:t>
      </w:r>
    </w:p>
    <w:p>
      <w:pPr>
        <w:jc w:val="both"/>
      </w:pPr>
      <w:r>
        <w:rPr/>
        <w:t xml:space="preserve">Optimization-based decision-making formulates the driving task as a mathematical programming problem that minimizes a cost function subject to constraints encoding safety requirements, vehicle dynamics, road geometry, and traffic regulations [14]. This formulation naturally handles multiple objectives through weighted cost terms and enforces hard safety constraints through inequality constraints on the optimization variables. The flexibility to incorporate diverse objectives and constraints makes optimization-based approaches highly versatile across different driving scenarios.</w:t>
      </w:r>
    </w:p>
    <w:p>
      <w:pPr>
        <w:jc w:val="both"/>
      </w:pPr>
      <w:r>
        <w:rPr/>
        <w:t xml:space="preserve">Model Predictive Control (MPC) has emerged as the dominant optimization-based framework for CAV decision-making due to its ability to handle constraints, incorporate preview information, and optimize over receding horizons [29]. Nonlinear MPC (NMPC) directly incorporates vehicle dynamics models including tire force models, aerodynamic effects, and actuator dynamics, enabling near-optimal performance at the limits of handling. Mixed-integer MPC extends the framework to hybrid decisions combining continuous trajectory optimization with discrete mode selection (e.g., pass left vs. pass right). Stochastic MPC incorporates probabilistic predictions of other traffic participants through chance constraints or scenario-based formulations [30].</w:t>
      </w:r>
    </w:p>
    <w:p>
      <w:pPr>
        <w:jc w:val="both"/>
      </w:pPr>
      <w:r>
        <w:rPr/>
        <w:t xml:space="preserve">Constraint-based decision-making approaches leverage formal verification techniques to ensure that generated decisions satisfy safety specifications under all possible evolutions of the environment [31]. Signal temporal logic (STL) provides an expressive specification language for encoding complex driving rules and desired behaviors with temporal operators. Optimization under STL constraints enables automatic synthesis of trajectories that provably satisfy formal specifications while optimizing performance objectives. The integration of responsibility-sensitive safety (RSS) constraints within optimization frameworks provides scalable approaches to enforcing minimum safety distances and proper response times without excessive conservatism [17]. These methods complement learning-based decision-making by providing safety layers that filter potentially unsafe learned actions.</w:t>
      </w:r>
    </w:p>
    <w:p>
      <w:pPr>
        <w:jc w:val="both"/>
      </w:pPr>
      <w:r>
        <w:rPr/>
        <w:t xml:space="preserve">Advanced optimization techniques address the computational challenges of real-time decision-making in dynamic environments. Sequential quadratic programming (SQP) and interior-point methods solve nonlinear trajectory optimization problems within the required 50-200ms computation budgets through warm-starting from previous solutions and exploiting problem structure [29]. Bilevel optimization naturally captures the hierarchical nature of driving decisions where strategic choices (which lane, which gap) define the optimization landscape for tactical trajectory planning. Alternating direction method of multipliers (ADMM) enables distributed optimization across multiple vehicles with limited communication, decomposing the coupled multi-vehicle planning problem into vehicle-level subproblems coordinated through consensus constraints [30]. The computational efficiency of these methods enables their deployment on embedded automotive hardware while maintaining the theoretical guarantees that make optimization-based approaches attractive for safety-critical applications.</w:t>
      </w:r>
    </w:p>
    <w:p>
      <w:pPr/>
      <w:r>
        <w:rPr/>
        <w:t xml:space="preserve"/>
      </w:r>
    </w:p>
    <w:p>
      <w:pPr>
        <w:pStyle w:val="Heading1"/>
      </w:pPr>
      <w:r>
        <w:rPr>
          <w:b/>
        </w:rPr>
        <w:t xml:space="preserve">3. Data-Driven and Hybrid Intelligent Decision-Making</w:t>
      </w:r>
    </w:p>
    <w:p>
      <w:pPr>
        <w:jc w:val="both"/>
      </w:pPr>
      <w:r>
        <w:rPr/>
        <w:t xml:space="preserve">The limitations of purely knowledge-driven approaches in handling the long-tail distribution of driving scenarios have motivated the development of data-driven decision-making methods that learn policies from experience [32]. Deep learning and reinforcement learning have demonstrated remarkable capabilities in mastering complex sequential decision problems, while hybrid architectures combine the complementary strengths of model-based and learning-based approaches. This section examines the state-of-the-art in data-driven and hybrid intelligent decision-making for CAVs.</w:t>
      </w:r>
    </w:p>
    <w:p>
      <w:pPr>
        <w:jc w:val="both"/>
      </w:pPr>
      <w:r>
        <w:rPr/>
        <w:t xml:space="preserve">The data-driven revolution in CAV decision-making is fundamentally enabled by the availability of large-scale driving datasets, high-fidelity simulation environments, and scalable computational infrastructure [32]. Datasets comprising millions of driving hours collected from fleet vehicles provide the experiential foundation for learning complex driving behaviors. The combination of naturalistic driving data with structured scenario databases covering rare but safety-critical events addresses the long-tail coverage challenge. Cloud computing and distributed training infrastructure enable the optimization of billion-parameter models that capture the full complexity of driving decision spaces. The resulting learned policies demonstrate impressive capabilities in handling diverse driving scenarios but raise fundamental questions about reliability, robustness, and safety assurance that continue to drive active research.</w:t>
      </w:r>
    </w:p>
    <w:p>
      <w:pPr>
        <w:pStyle w:val="Heading2"/>
      </w:pPr>
      <w:r>
        <w:rPr>
          <w:b/>
        </w:rPr>
        <w:t xml:space="preserve">3.1 Deep Reinforcement Learning and Imitation Learning for Autonomous Driving</w:t>
      </w:r>
    </w:p>
    <w:p>
      <w:pPr>
        <w:jc w:val="both"/>
      </w:pPr>
      <w:r>
        <w:rPr/>
        <w:t xml:space="preserve">Deep reinforcement learning (DRL) has emerged as a powerful paradigm for CAV decision-making, enabling agents to learn complex driving policies through trial-and-error interaction with simulated or real environments [32]. DRL methods decompose into value-based approaches (e.g., Deep Q-Networks, Dueling DQN) that learn action-value functions, policy-gradient methods (e.g., PPO, SAC, TD3) that directly optimize parameterized policies, and actor-critic architectures that combine both approaches [33]. The application of DRL to autonomous driving encompasses highway decision-making, urban navigation, intersection management, and cooperative multi-vehicle control.</w:t>
      </w:r>
    </w:p>
    <w:p>
      <w:pPr>
        <w:jc w:val="both"/>
      </w:pPr>
      <w:r>
        <w:rPr/>
        <w:t xml:space="preserve">The state and action representation design significantly impacts DRL performance in driving scenarios. State representations range from low-dimensional feature vectors encoding relative positions and velocities of nearby vehicles, through occupancy grids that discretize the spatial environment, to raw sensor inputs processed through convolutional neural networks [32]. Action spaces may be discrete (predefined maneuvers such as accelerate, decelerate, lane change left/right) or continuous (direct control of steering angle and acceleration), with continuous formulations better capturing the smooth nature of driving but introducing additional optimization challenges. Graph-based representations that model vehicles and infrastructure as nodes with relational edges have demonstrated strong performance in capturing the structured nature of traffic interactions, enabling attention-based processing that scales gracefully with varying numbers of surrounding agents [33].</w:t>
      </w:r>
    </w:p>
    <w:p>
      <w:pPr>
        <w:jc w:val="both"/>
      </w:pPr>
      <w:r>
        <w:rPr/>
        <w:t xml:space="preserve">The reward function design critically determines the quality of learned driving policies and remains one of the most challenging aspects of DRL for autonomous driving [34]. Sparse rewards (e.g., reaching a destination without collision) create exploration challenges, while dense reward shaping requires careful engineering to avoid reward hacking. Multi-objective reward decomposition separates safety, efficiency, and comfort objectives, enabling Pareto-optimal policy learning. Inverse reinforcement learning (IRL) provides an alternative by inferring reward functions from expert driving demonstrations, though it inherits the ambiguity of reward recovery from behavior [35]. As depicted in Figure 3, the deep reinforcement learning architecture integrates environment interaction, neural network policy approximation, and experience replay mechanisms for efficient policy optimization.</w:t>
      </w:r>
    </w:p>
    <w:p>
      <w:pPr>
        <w:jc w:val="center"/>
      </w:pPr>
      <w:r>
        <w:drawing>
          <wp:inline distT="0" distB="0" distL="0" distR="0">
            <wp:extent cx="5400000" cy="3400000"/>
            <wp:docPr id="1" name="Picture"/>
            <a:graphic>
              <a:graphicData uri="http://schemas.openxmlformats.org/drawingml/2006/picture">
                <pic:pic xmlns:pic="http://schemas.openxmlformats.org/drawingml/2006/picture">
                  <pic:nvPicPr>
                    <pic:cNvPr id="0" name="Image"/>
                    <pic:cNvPicPr/>
                  </pic:nvPicPr>
                  <pic:blipFill>
                    <a:blip r:embed="rId3"/>
                    <a:stretch>
                      <a:fillRect/>
                    </a:stretch>
                  </pic:blipFill>
                  <pic:spPr>
                    <a:xfrm>
                      <a:off x="0" y="0"/>
                      <a:ext cx="5400000" cy="3400000"/>
                    </a:xfrm>
                    <a:prstGeom prst="rect">
                      <a:avLst/>
                    </a:prstGeom>
                  </pic:spPr>
                </pic:pic>
              </a:graphicData>
            </a:graphic>
          </wp:inline>
        </w:drawing>
      </w:r>
    </w:p>
    <w:p>
      <w:pPr>
        <w:jc w:val="center"/>
      </w:pPr>
      <w:r>
        <w:rPr>
          <w:b/>
          <w:sz w:val="20"/>
          <w:szCs w:val="20"/>
        </w:rPr>
        <w:t xml:space="preserve">Figure 3. Deep reinforcement learning architecture for CAV decision-making showing the environment-agent interaction loop, neural network policy/value function approximation, and experience replay buffer.</w:t>
      </w:r>
    </w:p>
    <w:p>
      <w:pPr/>
      <w:r>
        <w:rPr/>
        <w:t xml:space="preserve"/>
      </w:r>
    </w:p>
    <w:p>
      <w:pPr>
        <w:jc w:val="both"/>
      </w:pPr>
      <w:r>
        <w:rPr/>
        <w:t xml:space="preserve">Imitation learning (IL) provides a complementary approach that learns driving policies directly from expert demonstrations without explicit reward specification [36]. Behavioral cloning trains policies through supervised learning on state-action pairs from expert trajectories, but suffers from distributional shift when the learned policy encounters states not represented in the training data. DAgger (Dataset Aggregation) addresses this through iterative data collection under the learned policy with expert labeling. Generative adversarial imitation learning (GAIL) combines imitation with adversarial training to match the occupancy measure of expert demonstrations without explicit reward recovery. Recent advances in diffusion-based policy learning have demonstrated superior multi-modal trajectory generation capabilities compared to traditional behavioral cloning approaches [37].</w:t>
      </w:r>
    </w:p>
    <w:p>
      <w:pPr>
        <w:jc w:val="both"/>
      </w:pPr>
      <w:r>
        <w:rPr/>
        <w:t xml:space="preserve">The scalability of DRL for CAV decision-making presents significant challenges that current research actively addresses. Multi-agent reinforcement learning (MARL) extends single-agent DRL to cooperative and competitive multi-vehicle scenarios, where the non-stationarity of other learning agents complicates convergence guarantees [33]. Centralized training with decentralized execution (CTDE) paradigms provide scalable MARL frameworks that leverage global information during training while enabling independent execution at deployment. Hierarchical reinforcement learning decomposes complex driving tasks into subtask hierarchies, with options frameworks and goal-conditioned policies enabling temporal abstraction and skill reuse across scenarios. Curriculum learning and progressive environment complexity address the sample inefficiency of DRL by gradually exposing the agent to increasingly challenging traffic scenarios, enabling efficient learning of robust driving policies [34].</w:t>
      </w:r>
    </w:p>
    <w:p>
      <w:pPr>
        <w:jc w:val="both"/>
      </w:pPr>
      <w:r>
        <w:rPr/>
        <w:t xml:space="preserve">Simulation environments play a critical role in training and validating DRL-based decision-making policies. High-fidelity simulators including CARLA, SUMO, and Waymax provide physics-based vehicle dynamics, realistic traffic scenarios, and diverse environmental conditions for policy training [35]. However, the sim-to-real gap remains a fundamental challenge where policies trained in simulation may not transfer effectively to real-world deployment due to visual domain differences, simplified physics models, and unrealistic agent behaviors in simulation. Domain randomization, adversarial environment generation, and real-to-sim-to-real pipelines provide increasingly effective approaches to bridging this gap while maintaining the safety and scalability advantages of simulation-based training.</w:t>
      </w:r>
    </w:p>
    <w:p>
      <w:pPr>
        <w:pStyle w:val="Heading2"/>
      </w:pPr>
      <w:r>
        <w:rPr>
          <w:b/>
        </w:rPr>
        <w:t xml:space="preserve">3.2 Hybrid Knowledge-Data-Driven Architectures and Uncertainty-Aware Decision-Making</w:t>
      </w:r>
    </w:p>
    <w:p>
      <w:pPr>
        <w:jc w:val="both"/>
      </w:pPr>
      <w:r>
        <w:rPr/>
        <w:t xml:space="preserve">Hybrid architectures that synergistically combine knowledge-driven and data-driven components have emerged as a compelling paradigm for CAV decision-making, leveraging the interpretability and safety guarantees of model-based methods while harnessing the adaptability and generalization capabilities of learning-based approaches [38]. These hybrid systems take various forms including learned cost functions within MPC frameworks, physics-informed neural networks for dynamics modeling, safety-constrained reinforcement learning, and hierarchical architectures with learning-based tactical decisions and optimization-based trajectory planning.</w:t>
      </w:r>
    </w:p>
    <w:p>
      <w:pPr>
        <w:jc w:val="both"/>
      </w:pPr>
      <w:r>
        <w:rPr/>
        <w:t xml:space="preserve">A particularly promising class of hybrid architectures employs learning-based modules to handle high-level strategic decisions while relying on optimization-based planners for low-level trajectory generation with formal safety guarantees [38]. In this paradigm, a neural network processes rich perceptual inputs to determine discrete tactical decisions such as lane selection, speed targets, or interaction strategies, which then parameterize an MPC-based trajectory optimizer that generates kinematically feasible and collision-free trajectories. World models, learned simulators of environment dynamics trained from driving data, enable model-based reinforcement learning approaches that combine the sample efficiency of model-based methods with the flexibility of learned dynamics. These hybrid world-model approaches plan ahead by imagining possible futures through the learned model, selecting actions that optimize expected outcomes while maintaining safety constraints enforced by the optimization layer.</w:t>
      </w:r>
    </w:p>
    <w:p>
      <w:pPr>
        <w:jc w:val="both"/>
      </w:pPr>
      <w:r>
        <w:rPr/>
        <w:t xml:space="preserve">Uncertainty-aware decision-making addresses the critical challenge of making robust decisions under imperfect information about the environment state, other agents' intentions, and model accuracy [16]. Bayesian deep learning provides principled uncertainty quantification through posterior inference over neural network parameters, enabling distinction between aleatoric and epistemic uncertainty. Monte Carlo dropout and deep ensembles offer practical approximations for uncertainty estimation in deep decision-making models. Conformal prediction provides distribution-free uncertainty quantification with finite-sample coverage guarantees, making it particularly attractive for safety-critical CAV applications [39].</w:t>
      </w:r>
    </w:p>
    <w:p>
      <w:pPr>
        <w:jc w:val="both"/>
      </w:pPr>
      <w:r>
        <w:rPr/>
        <w:t xml:space="preserve">The integration of uncertainty quantification with decision-making enables risk-sensitive policy optimization and adaptive behavior under ambiguity. Conditional Value-at-Risk (CVaR) optimization produces policies that minimize tail-risk rather than expected costs, providing robustness against worst-case scenarios. Distributionally robust reinforcement learning hedges against model uncertainty by optimizing over ambiguity sets of possible transition dynamics. Safe reinforcement learning incorporates constraint satisfaction during both training and deployment through Lagrangian relaxation, constrained policy optimization, or control barrier function-based action filtering [40]. These approaches ensure that the exploratory nature of reinforcement learning does not compromise safety guarantees during the learning process.</w:t>
      </w:r>
    </w:p>
    <w:p>
      <w:pPr>
        <w:jc w:val="center"/>
      </w:pPr>
      <w:r>
        <w:rPr>
          <w:b/>
          <w:sz w:val="20"/>
          <w:szCs w:val="20"/>
        </w:rPr>
        <w:t xml:space="preserve">Table 3. Comparison of data-driven and hybrid decision-making approaches for CAVs.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4472C4"/>
          </w:tcPr>
          <w:p>
            <w:pPr>
              <w:jc w:val="center"/>
            </w:pPr>
            <w:r>
              <w:rPr>
                <w:b/>
                <w:color w:val="FFFFFF"/>
                <w:sz w:val="20"/>
              </w:rPr>
              <w:t xml:space="preserve">Approach</w:t>
            </w:r>
          </w:p>
        </w:tc>
        <w:tc>
          <w:tcPr>
            <w:shd w:val="clear" w:color="auto" w:fill="4472C4"/>
          </w:tcPr>
          <w:p>
            <w:pPr>
              <w:jc w:val="center"/>
            </w:pPr>
            <w:r>
              <w:rPr>
                <w:b/>
                <w:color w:val="FFFFFF"/>
                <w:sz w:val="20"/>
              </w:rPr>
              <w:t xml:space="preserve">Training Method</w:t>
            </w:r>
          </w:p>
        </w:tc>
        <w:tc>
          <w:tcPr>
            <w:shd w:val="clear" w:color="auto" w:fill="4472C4"/>
          </w:tcPr>
          <w:p>
            <w:pPr>
              <w:jc w:val="center"/>
            </w:pPr>
            <w:r>
              <w:rPr>
                <w:b/>
                <w:color w:val="FFFFFF"/>
                <w:sz w:val="20"/>
              </w:rPr>
              <w:t xml:space="preserve">Strengths</w:t>
            </w:r>
          </w:p>
        </w:tc>
        <w:tc>
          <w:tcPr>
            <w:shd w:val="clear" w:color="auto" w:fill="4472C4"/>
          </w:tcPr>
          <w:p>
            <w:pPr>
              <w:jc w:val="center"/>
            </w:pPr>
            <w:r>
              <w:rPr>
                <w:b/>
                <w:color w:val="FFFFFF"/>
                <w:sz w:val="20"/>
              </w:rPr>
              <w:t xml:space="preserve">Limitations</w:t>
            </w:r>
          </w:p>
        </w:tc>
        <w:tc>
          <w:tcPr>
            <w:shd w:val="clear" w:color="auto" w:fill="4472C4"/>
          </w:tcPr>
          <w:p>
            <w:pPr>
              <w:jc w:val="center"/>
            </w:pPr>
            <w:r>
              <w:rPr>
                <w:b/>
                <w:color w:val="FFFFFF"/>
                <w:sz w:val="20"/>
              </w:rPr>
              <w:t xml:space="preserve">Safety Mechanism</w:t>
            </w:r>
          </w:p>
        </w:tc>
      </w:tr>
      <w:tr>
        <w:tc>
          <w:tcPr>
            <w:shd w:val="clear" w:color="auto" w:fill="F2F2F2"/>
          </w:tcPr>
          <w:p>
            <w:r>
              <w:rPr>
                <w:sz w:val="20"/>
              </w:rPr>
              <w:t xml:space="preserve">Deep Q-Network</w:t>
            </w:r>
          </w:p>
        </w:tc>
        <w:tc>
          <w:tcPr>
            <w:shd w:val="clear" w:color="auto" w:fill="F2F2F2"/>
          </w:tcPr>
          <w:p>
            <w:r>
              <w:rPr>
                <w:sz w:val="20"/>
              </w:rPr>
              <w:t xml:space="preserve">Off-policy RL</w:t>
            </w:r>
          </w:p>
        </w:tc>
        <w:tc>
          <w:tcPr>
            <w:shd w:val="clear" w:color="auto" w:fill="F2F2F2"/>
          </w:tcPr>
          <w:p>
            <w:r>
              <w:rPr>
                <w:sz w:val="20"/>
              </w:rPr>
              <w:t xml:space="preserve">Sample efficient</w:t>
            </w:r>
          </w:p>
        </w:tc>
        <w:tc>
          <w:tcPr>
            <w:shd w:val="clear" w:color="auto" w:fill="F2F2F2"/>
          </w:tcPr>
          <w:p>
            <w:r>
              <w:rPr>
                <w:sz w:val="20"/>
              </w:rPr>
              <w:t xml:space="preserve">Discrete actions only</w:t>
            </w:r>
          </w:p>
        </w:tc>
        <w:tc>
          <w:tcPr>
            <w:shd w:val="clear" w:color="auto" w:fill="F2F2F2"/>
          </w:tcPr>
          <w:p>
            <w:r>
              <w:rPr>
                <w:sz w:val="20"/>
              </w:rPr>
              <w:t xml:space="preserve">Reward shaping</w:t>
            </w:r>
          </w:p>
        </w:tc>
      </w:tr>
      <w:tr>
        <w:tc>
          <w:tcPr>
            <w:shd w:val="clear" w:color="auto" w:fill="FFFFFF"/>
          </w:tcPr>
          <w:p>
            <w:r>
              <w:rPr>
                <w:sz w:val="20"/>
              </w:rPr>
              <w:t xml:space="preserve">PPO/SAC</w:t>
            </w:r>
          </w:p>
        </w:tc>
        <w:tc>
          <w:tcPr>
            <w:shd w:val="clear" w:color="auto" w:fill="FFFFFF"/>
          </w:tcPr>
          <w:p>
            <w:r>
              <w:rPr>
                <w:sz w:val="20"/>
              </w:rPr>
              <w:t xml:space="preserve">On/Off-policy RL</w:t>
            </w:r>
          </w:p>
        </w:tc>
        <w:tc>
          <w:tcPr>
            <w:shd w:val="clear" w:color="auto" w:fill="FFFFFF"/>
          </w:tcPr>
          <w:p>
            <w:r>
              <w:rPr>
                <w:sz w:val="20"/>
              </w:rPr>
              <w:t xml:space="preserve">Continuous actions, stable</w:t>
            </w:r>
          </w:p>
        </w:tc>
        <w:tc>
          <w:tcPr>
            <w:shd w:val="clear" w:color="auto" w:fill="FFFFFF"/>
          </w:tcPr>
          <w:p>
            <w:r>
              <w:rPr>
                <w:sz w:val="20"/>
              </w:rPr>
              <w:t xml:space="preserve">Reward engineering</w:t>
            </w:r>
          </w:p>
        </w:tc>
        <w:tc>
          <w:tcPr>
            <w:shd w:val="clear" w:color="auto" w:fill="FFFFFF"/>
          </w:tcPr>
          <w:p>
            <w:r>
              <w:rPr>
                <w:sz w:val="20"/>
              </w:rPr>
              <w:t xml:space="preserve">Constrained RL</w:t>
            </w:r>
          </w:p>
        </w:tc>
      </w:tr>
      <w:tr>
        <w:tc>
          <w:tcPr>
            <w:shd w:val="clear" w:color="auto" w:fill="F2F2F2"/>
          </w:tcPr>
          <w:p>
            <w:r>
              <w:rPr>
                <w:sz w:val="20"/>
              </w:rPr>
              <w:t xml:space="preserve">Behavioral Cloning</w:t>
            </w:r>
          </w:p>
        </w:tc>
        <w:tc>
          <w:tcPr>
            <w:shd w:val="clear" w:color="auto" w:fill="F2F2F2"/>
          </w:tcPr>
          <w:p>
            <w:r>
              <w:rPr>
                <w:sz w:val="20"/>
              </w:rPr>
              <w:t xml:space="preserve">Supervised IL</w:t>
            </w:r>
          </w:p>
        </w:tc>
        <w:tc>
          <w:tcPr>
            <w:shd w:val="clear" w:color="auto" w:fill="F2F2F2"/>
          </w:tcPr>
          <w:p>
            <w:r>
              <w:rPr>
                <w:sz w:val="20"/>
              </w:rPr>
              <w:t xml:space="preserve">Simple, fast training</w:t>
            </w:r>
          </w:p>
        </w:tc>
        <w:tc>
          <w:tcPr>
            <w:shd w:val="clear" w:color="auto" w:fill="F2F2F2"/>
          </w:tcPr>
          <w:p>
            <w:r>
              <w:rPr>
                <w:sz w:val="20"/>
              </w:rPr>
              <w:t xml:space="preserve">Distribution shift</w:t>
            </w:r>
          </w:p>
        </w:tc>
        <w:tc>
          <w:tcPr>
            <w:shd w:val="clear" w:color="auto" w:fill="F2F2F2"/>
          </w:tcPr>
          <w:p>
            <w:r>
              <w:rPr>
                <w:sz w:val="20"/>
              </w:rPr>
              <w:t xml:space="preserve">None (inherent)</w:t>
            </w:r>
          </w:p>
        </w:tc>
      </w:tr>
      <w:tr>
        <w:tc>
          <w:tcPr>
            <w:shd w:val="clear" w:color="auto" w:fill="FFFFFF"/>
          </w:tcPr>
          <w:p>
            <w:r>
              <w:rPr>
                <w:sz w:val="20"/>
              </w:rPr>
              <w:t xml:space="preserve">GAIL</w:t>
            </w:r>
          </w:p>
        </w:tc>
        <w:tc>
          <w:tcPr>
            <w:shd w:val="clear" w:color="auto" w:fill="FFFFFF"/>
          </w:tcPr>
          <w:p>
            <w:r>
              <w:rPr>
                <w:sz w:val="20"/>
              </w:rPr>
              <w:t xml:space="preserve">Adversarial IL</w:t>
            </w:r>
          </w:p>
        </w:tc>
        <w:tc>
          <w:tcPr>
            <w:shd w:val="clear" w:color="auto" w:fill="FFFFFF"/>
          </w:tcPr>
          <w:p>
            <w:r>
              <w:rPr>
                <w:sz w:val="20"/>
              </w:rPr>
              <w:t xml:space="preserve">No reward needed</w:t>
            </w:r>
          </w:p>
        </w:tc>
        <w:tc>
          <w:tcPr>
            <w:shd w:val="clear" w:color="auto" w:fill="FFFFFF"/>
          </w:tcPr>
          <w:p>
            <w:r>
              <w:rPr>
                <w:sz w:val="20"/>
              </w:rPr>
              <w:t xml:space="preserve">Mode collapse risk</w:t>
            </w:r>
          </w:p>
        </w:tc>
        <w:tc>
          <w:tcPr>
            <w:shd w:val="clear" w:color="auto" w:fill="FFFFFF"/>
          </w:tcPr>
          <w:p>
            <w:r>
              <w:rPr>
                <w:sz w:val="20"/>
              </w:rPr>
              <w:t xml:space="preserve">Discriminator filtering</w:t>
            </w:r>
          </w:p>
        </w:tc>
      </w:tr>
      <w:tr>
        <w:tc>
          <w:tcPr>
            <w:shd w:val="clear" w:color="auto" w:fill="F2F2F2"/>
          </w:tcPr>
          <w:p>
            <w:r>
              <w:rPr>
                <w:sz w:val="20"/>
              </w:rPr>
              <w:t xml:space="preserve">Safe RL (CPO/FOCOPS)</w:t>
            </w:r>
          </w:p>
        </w:tc>
        <w:tc>
          <w:tcPr>
            <w:shd w:val="clear" w:color="auto" w:fill="F2F2F2"/>
          </w:tcPr>
          <w:p>
            <w:r>
              <w:rPr>
                <w:sz w:val="20"/>
              </w:rPr>
              <w:t xml:space="preserve">Constrained RL</w:t>
            </w:r>
          </w:p>
        </w:tc>
        <w:tc>
          <w:tcPr>
            <w:shd w:val="clear" w:color="auto" w:fill="F2F2F2"/>
          </w:tcPr>
          <w:p>
            <w:r>
              <w:rPr>
                <w:sz w:val="20"/>
              </w:rPr>
              <w:t xml:space="preserve">Formal safety constraints</w:t>
            </w:r>
          </w:p>
        </w:tc>
        <w:tc>
          <w:tcPr>
            <w:shd w:val="clear" w:color="auto" w:fill="F2F2F2"/>
          </w:tcPr>
          <w:p>
            <w:r>
              <w:rPr>
                <w:sz w:val="20"/>
              </w:rPr>
              <w:t xml:space="preserve">Conservative policies</w:t>
            </w:r>
          </w:p>
        </w:tc>
        <w:tc>
          <w:tcPr>
            <w:shd w:val="clear" w:color="auto" w:fill="F2F2F2"/>
          </w:tcPr>
          <w:p>
            <w:r>
              <w:rPr>
                <w:sz w:val="20"/>
              </w:rPr>
              <w:t xml:space="preserve">CBF/RSS layer</w:t>
            </w:r>
          </w:p>
        </w:tc>
      </w:tr>
      <w:tr>
        <w:tc>
          <w:tcPr>
            <w:shd w:val="clear" w:color="auto" w:fill="FFFFFF"/>
          </w:tcPr>
          <w:p>
            <w:r>
              <w:rPr>
                <w:sz w:val="20"/>
              </w:rPr>
              <w:t xml:space="preserve">Hybrid MPC-RL</w:t>
            </w:r>
          </w:p>
        </w:tc>
        <w:tc>
          <w:tcPr>
            <w:shd w:val="clear" w:color="auto" w:fill="FFFFFF"/>
          </w:tcPr>
          <w:p>
            <w:r>
              <w:rPr>
                <w:sz w:val="20"/>
              </w:rPr>
              <w:t xml:space="preserve">Combined</w:t>
            </w:r>
          </w:p>
        </w:tc>
        <w:tc>
          <w:tcPr>
            <w:shd w:val="clear" w:color="auto" w:fill="FFFFFF"/>
          </w:tcPr>
          <w:p>
            <w:r>
              <w:rPr>
                <w:sz w:val="20"/>
              </w:rPr>
              <w:t xml:space="preserve">Best of both worlds</w:t>
            </w:r>
          </w:p>
        </w:tc>
        <w:tc>
          <w:tcPr>
            <w:shd w:val="clear" w:color="auto" w:fill="FFFFFF"/>
          </w:tcPr>
          <w:p>
            <w:r>
              <w:rPr>
                <w:sz w:val="20"/>
              </w:rPr>
              <w:t xml:space="preserve">Complexity</w:t>
            </w:r>
          </w:p>
        </w:tc>
        <w:tc>
          <w:tcPr>
            <w:shd w:val="clear" w:color="auto" w:fill="FFFFFF"/>
          </w:tcPr>
          <w:p>
            <w:r>
              <w:rPr>
                <w:sz w:val="20"/>
              </w:rPr>
              <w:t xml:space="preserve">MPC constraints</w:t>
            </w:r>
          </w:p>
        </w:tc>
      </w:tr>
    </w:tbl>
    <w:p>
      <w:pPr/>
      <w:r>
        <w:rPr/>
        <w:t xml:space="preserve"/>
      </w:r>
    </w:p>
    <w:p>
      <w:pPr>
        <w:pStyle w:val="Heading2"/>
      </w:pPr>
      <w:r>
        <w:rPr>
          <w:b/>
        </w:rPr>
        <w:t xml:space="preserve">3.3 Large Language Models, Retrieval-Augmented Generation, and Interactive Cooperative Driving</w:t>
      </w:r>
    </w:p>
    <w:p>
      <w:pPr>
        <w:jc w:val="both"/>
      </w:pPr>
      <w:r>
        <w:rPr/>
        <w:t xml:space="preserve">The emergence of large language models (LLMs) has opened transformative possibilities for CAV decision-making, offering unprecedented capabilities in common-sense reasoning, scene understanding, and natural language interaction [41]. LLMs trained on vast corpora of text inherently encode extensive knowledge about traffic rules, driving conventions, and physical intuition that can augment traditional decision-making systems. Vision-language models (VLMs) extend these capabilities to multimodal inputs, enabling direct reasoning over camera images, LiDAR point clouds, and high-definition maps combined with textual scene descriptions.</w:t>
      </w:r>
    </w:p>
    <w:p>
      <w:pPr>
        <w:jc w:val="both"/>
      </w:pPr>
      <w:r>
        <w:rPr/>
        <w:t xml:space="preserve">The application paradigms for LLMs in autonomous driving span several distinct roles within the decision-making pipeline [41]. As high-level planners, LLMs interpret complex traffic scenarios and generate semantic driving instructions that are subsequently translated into executable trajectories by conventional motion planners. As scene annotators, LLMs provide rich textual descriptions of driving situations that enhance training data for downstream perception and prediction models. As reasoning engines, LLMs perform chain-of-thought reasoning about ambiguous scenarios, resolving situations where conventional decision-making algorithms lack sufficient context or encounter novel configurations. As communication mediators, LLMs facilitate natural language-based vehicle-to-human interaction, enabling passengers and pedestrians to communicate with autonomous vehicles in intuitive terms rather than through predefined interfaces.</w:t>
      </w:r>
    </w:p>
    <w:p>
      <w:pPr>
        <w:jc w:val="both"/>
      </w:pPr>
      <w:r>
        <w:rPr/>
        <w:t xml:space="preserve">Retrieval-augmented generation (RAG) enhances LLM-based decision-making by incorporating relevant knowledge from external databases at inference time [42]. For CAV applications, RAG systems maintain databases of prior driving experiences, traffic regulation knowledge, local road characteristics, and historical incident data. When encountering a novel scenario, the system retrieves semantically similar past experiences and relevant domain knowledge, providing contextual grounding for the LLM's reasoning process. This approach addresses the knowledge cutoff limitation of pretrained models and enables continuous learning from accumulated driving experience without retraining. The dynamic knowledge retrieval mechanism significantly improves decision quality in rare scenarios where the base model's training data provides insufficient coverage.</w:t>
      </w:r>
    </w:p>
    <w:p>
      <w:pPr>
        <w:jc w:val="both"/>
      </w:pPr>
      <w:r>
        <w:rPr/>
        <w:t xml:space="preserve">Interactive cooperative driving leveraging LLMs enables natural language-mediated coordination among connected vehicles and between vehicles and infrastructure [41]. Vehicles can exchange high-level driving intentions, negotiate right-of-way, and coordinate complex maneuvers through structured language protocols rather than predefined message formats. LLM-based driving agents can reason about traffic scenarios, explain their decisions in human-interpretable terms, and adapt their behavior based on contextual instructions from passengers or traffic management systems. However, significant challenges remain regarding computational latency (LLM inference typically requires 100-1000ms), hallucination risks in safety-critical contexts, and the need for formal verification of LLM-generated decisions [43]. Current research addresses these challenges through distillation of LLM reasoning into efficient driving policies, guardrail systems that validate LLM outputs against safety constraints, and hybrid architectures where LLMs provide high-level strategic guidance while conventional planners handle real-time trajectory optimization. The architecture shown in Figure 3 can be extended to incorporate LLM-based reasoning modules that provide semantic scene understanding and decision rationale.</w:t>
      </w:r>
    </w:p>
    <w:p>
      <w:pPr/>
      <w:r>
        <w:rPr/>
        <w:t xml:space="preserve"/>
      </w:r>
    </w:p>
    <w:p>
      <w:pPr>
        <w:pStyle w:val="Heading1"/>
      </w:pPr>
      <w:r>
        <w:rPr>
          <w:b/>
        </w:rPr>
        <w:t xml:space="preserve">4. Distributed Decision-Making and Future Directions</w:t>
      </w:r>
    </w:p>
    <w:p>
      <w:pPr>
        <w:jc w:val="both"/>
      </w:pPr>
      <w:r>
        <w:rPr/>
        <w:t xml:space="preserve">The transition from individual vehicle autonomy to system-level intelligence requires distributed decision-making frameworks that coordinate actions across multiple vehicles while respecting communication constraints, privacy requirements, and computational limitations [4]. This section examines emerging paradigms in distributed multi-vehicle decision-making and identifies key future research directions for the field.</w:t>
      </w:r>
    </w:p>
    <w:p>
      <w:pPr>
        <w:jc w:val="both"/>
      </w:pPr>
      <w:r>
        <w:rPr/>
        <w:t xml:space="preserve">The motivations for distributed decision-making in CAV systems are multifold. Centralized coordination, while potentially optimal, faces fundamental scalability limitations as the number of participating vehicles grows, communication bandwidth becomes saturated, and single points of failure threaten system reliability [20]. Distributed approaches decompose the global coordination problem into manageable local subproblems solved cooperatively by individual vehicles, achieving near-optimal collective behavior through iterative information exchange and consensus mechanisms. Privacy considerations further motivate distributed architectures, as vehicles may be unwilling to share detailed sensor data or planned trajectories with centralized entities. The resilience of distributed systems against communication failures, infrastructure outages, and adversarial attacks provides additional robustness advantages critical for safety-critical transportation applications.</w:t>
      </w:r>
    </w:p>
    <w:p>
      <w:pPr>
        <w:pStyle w:val="Heading2"/>
      </w:pPr>
      <w:r>
        <w:rPr>
          <w:b/>
        </w:rPr>
        <w:t xml:space="preserve">4.1 Information-Quality-Aware Voting and Distributed Multi-Vehicle Decision-Making</w:t>
      </w:r>
    </w:p>
    <w:p>
      <w:pPr>
        <w:jc w:val="both"/>
      </w:pPr>
      <w:r>
        <w:rPr/>
        <w:t xml:space="preserve">Distributed decision-making in multi-vehicle systems requires consensus mechanisms that aggregate local observations and preferences into coherent collective decisions [20]. Information-quality-aware voting extends classical voting theory by weighting each vehicle's contribution based on the assessed quality and relevance of its information. Vehicles with better sensor coverage of a decision-relevant region, lower communication latency, or higher confidence in their predictions receive proportionally greater influence in the collective decision process. The mathematical foundation draws from social choice theory and mechanism design, ensuring that the voting aggregation satisfies desirable properties such as Pareto efficiency, strategy-proofness, and robustness to information manipulation by individual participants in the distributed decision-making process.</w:t>
      </w:r>
    </w:p>
    <w:p>
      <w:pPr>
        <w:jc w:val="both"/>
      </w:pPr>
      <w:r>
        <w:rPr/>
        <w:t xml:space="preserve">The information quality assessment considers multiple factors including sensor accuracy, communication delay, positional relevance, historical reliability, and prediction confidence [27]. Dempster-Shafer evidence theory provides a formal framework for combining uncertain evidence from multiple sources, handling conflicting information through appropriate conflict resolution strategies. Byzantine fault-tolerant consensus algorithms ensure robust collective decisions even when a fraction of participating vehicles provide erroneous or malicious information, addressing cybersecurity concerns in V2X-enabled decision-making.</w:t>
      </w:r>
    </w:p>
    <w:p>
      <w:pPr>
        <w:jc w:val="both"/>
      </w:pPr>
      <w:r>
        <w:rPr/>
        <w:t xml:space="preserve">Practical implementations of distributed decision-making leverage hierarchical architectures where local decisions are made independently by individual vehicles within communication range, cluster-level decisions are coordinated among nearby vehicle groups, and system-level decisions are orchestrated through roadside infrastructure [28]. This hierarchical decomposition balances decision quality against communication overhead and latency requirements. Federated learning approaches enable distributed policy improvement across vehicle fleets while preserving data privacy, sharing model updates rather than raw sensor data. As illustrated in Figure 4, the distributed multi-vehicle decision-making framework integrates multiple communication layers, voting mechanisms, and hierarchical coordination protocols.</w:t>
      </w:r>
    </w:p>
    <w:p>
      <w:pPr>
        <w:jc w:val="both"/>
      </w:pPr>
      <w:r>
        <w:rPr/>
        <w:t xml:space="preserve">The consensus-based approaches for distributed decision-making draw from multi-robot systems theory and adapt it to the specific challenges of vehicular networks [20]. Average consensus algorithms enable vehicles to iteratively converge on shared estimates of relevant traffic states, such as optimal speed profiles or merging sequences, through local message exchanges. Weighted consensus protocols naturally incorporate information quality by assigning higher weights to more reliable or relevant observations. Contract-based approaches formalize agreements between vehicles regarding right-of-way, speed commitments, and coordination protocols, providing formal guarantees on collective behavior under communication constraints. The integration of blockchain-based trust management with distributed decision-making enables verifiable and tamper-resistant coordination protocols that enhance security and accountability in multi-vehicle systems [27].</w:t>
      </w:r>
    </w:p>
    <w:p>
      <w:pPr>
        <w:jc w:val="center"/>
      </w:pPr>
      <w:r>
        <w:drawing>
          <wp:inline distT="0" distB="0" distL="0" distR="0">
            <wp:extent cx="5400000" cy="3700000"/>
            <wp:docPr id="1" name="Picture"/>
            <a:graphic>
              <a:graphicData uri="http://schemas.openxmlformats.org/drawingml/2006/picture">
                <pic:pic xmlns:pic="http://schemas.openxmlformats.org/drawingml/2006/picture">
                  <pic:nvPicPr>
                    <pic:cNvPr id="0" name="Image"/>
                    <pic:cNvPicPr/>
                  </pic:nvPicPr>
                  <pic:blipFill>
                    <a:blip r:embed="rId4"/>
                    <a:stretch>
                      <a:fillRect/>
                    </a:stretch>
                  </pic:blipFill>
                  <pic:spPr>
                    <a:xfrm>
                      <a:off x="0" y="0"/>
                      <a:ext cx="5400000" cy="3700000"/>
                    </a:xfrm>
                    <a:prstGeom prst="rect">
                      <a:avLst/>
                    </a:prstGeom>
                  </pic:spPr>
                </pic:pic>
              </a:graphicData>
            </a:graphic>
          </wp:inline>
        </w:drawing>
      </w:r>
    </w:p>
    <w:p>
      <w:pPr>
        <w:jc w:val="center"/>
      </w:pPr>
      <w:r>
        <w:rPr>
          <w:b/>
          <w:sz w:val="20"/>
          <w:szCs w:val="20"/>
        </w:rPr>
        <w:t xml:space="preserve">Figure 4. Distributed multi-vehicle decision-making framework showing cloud/RSU layer, V2V/V2I communication, information-quality-aware voting, and multi-timescale coordination.</w:t>
      </w:r>
    </w:p>
    <w:p>
      <w:pPr/>
      <w:r>
        <w:rPr/>
        <w:t xml:space="preserve"/>
      </w:r>
    </w:p>
    <w:p>
      <w:pPr>
        <w:pStyle w:val="Heading2"/>
      </w:pPr>
      <w:r>
        <w:rPr>
          <w:b/>
        </w:rPr>
        <w:t xml:space="preserve">4.2 Multi-Timescale Joint Communication, Decision, and Vehicle Control Frameworks</w:t>
      </w:r>
    </w:p>
    <w:p>
      <w:pPr>
        <w:jc w:val="both"/>
      </w:pPr>
      <w:r>
        <w:rPr/>
        <w:t xml:space="preserve">The tight coupling between communication quality and decision-making performance in connected vehicle systems motivates joint optimization frameworks that simultaneously manage communication resources and driving decisions [7]. Multi-timescale architectures decompose the joint problem into nested optimization loops operating at different temporal granularities: communication resource allocation at millisecond timescales, tactical driving decisions at sub-second timescales, and strategic route planning at multi-second timescales. This temporal decomposition exploits the natural separation of timescales in vehicular systems while maintaining coherence across levels.</w:t>
      </w:r>
    </w:p>
    <w:p>
      <w:pPr>
        <w:jc w:val="both"/>
      </w:pPr>
      <w:r>
        <w:rPr/>
        <w:t xml:space="preserve">At the communication layer, decision-aware resource allocation prioritizes information exchange that most directly impacts driving safety and efficiency [30]. Age-of-information (AoI) metrics and value-of-information (VoI) assessments determine which messages should receive priority access to limited communication bandwidth. Semantic communication approaches transmit decision-relevant features rather than raw data, dramatically reducing communication requirements while preserving decision quality. The integration of communication-decision co-design enables graceful degradation under adverse channel conditions, where the decision-making system dynamically adapts its information requirements, planning horizons, and safety margins based on the available communication quality and reliability characteristics of the current network environment.</w:t>
      </w:r>
    </w:p>
    <w:p>
      <w:pPr>
        <w:jc w:val="both"/>
      </w:pPr>
      <w:r>
        <w:rPr/>
        <w:t xml:space="preserve">Joint optimization formulations model the interdependence between communication scheduling, decision-making latency, and vehicle control performance through multi-agent Markov decision processes with communication constraints [33]. Deep multi-agent reinforcement learning approaches enable learning of joint communication-decision policies that adapt to dynamic network conditions and traffic scenarios. The resulting frameworks achieve superior performance compared to independent optimization of communication and decision-making subsystems, particularly in high-density traffic scenarios where communication resources become scarce. Network slicing and edge computing paradigms provide the infrastructure support for deploying these multi-timescale frameworks with guaranteed quality-of-service levels [34]. The distributed architecture presented in Figure 4 exemplifies how these multi-timescale considerations are embedded within the overall system coordination framework.</w:t>
      </w:r>
    </w:p>
    <w:p>
      <w:pPr>
        <w:jc w:val="both"/>
      </w:pPr>
      <w:r>
        <w:rPr/>
        <w:t xml:space="preserve">The emerging 5G and beyond-5G communication technologies provide critical enablers for multi-timescale CAV decision-making through ultra-reliable low-latency communication (URLLC) and massive machine-type communication (mMTC) service classes [7]. URLLC supports safety-critical message exchange with sub-millisecond latency and 99.999% reliability, enabling real-time cooperative maneuver coordination. mMTC supports large-scale environmental sensing and traffic state aggregation with relaxed latency but stringent energy efficiency requirements. The dynamic allocation of communication resources between these service classes based on driving context and decision urgency represents a novel cross-layer optimization dimension that significantly impacts overall system performance. Mobile edge computing (MEC) pushes computational resources to network edge nodes co-located with roadside units, enabling complex cooperative planning computations with minimal communication latency while reducing the computational burden on individual vehicles.</w:t>
      </w:r>
    </w:p>
    <w:p>
      <w:pPr>
        <w:pStyle w:val="Heading2"/>
      </w:pPr>
      <w:r>
        <w:rPr>
          <w:b/>
        </w:rPr>
        <w:t xml:space="preserve">4.3 Transferable, Explainable, Human-Centric, and Safety-Critical Decision-Making for Future CAVs</w:t>
      </w:r>
    </w:p>
    <w:p>
      <w:pPr>
        <w:jc w:val="both"/>
      </w:pPr>
      <w:r>
        <w:rPr/>
        <w:t xml:space="preserve">The deployment of CAV decision-making systems at scale requires addressing fundamental challenges in transferability, explainability, human-centricity, and formal safety guarantees that remain open research problems [35]. Transferability encompasses the ability to deploy learned policies across different geographic regions, traffic cultures, weather conditions, and vehicle platforms without extensive retraining. Domain adaptation techniques including sim-to-real transfer, domain randomization, and meta-learning provide partial solutions, but achieving robust zero-shot transfer remains elusive for complex driving scenarios [36].</w:t>
      </w:r>
    </w:p>
    <w:p>
      <w:pPr>
        <w:jc w:val="both"/>
      </w:pPr>
      <w:r>
        <w:rPr/>
        <w:t xml:space="preserve">Explainability in CAV decision-making serves multiple stakeholders including passengers who need trust-building explanations, engineers who require diagnostic interpretability, regulators who demand accountability mechanisms, and other road users who benefit from predictable vehicle behavior [38]. Attention mechanisms in neural networks provide implicit explanations through spatial and temporal attention maps highlighting decision-relevant input features. Concept-based explanations decompose decisions into human-interpretable components such as identified risks, considered alternatives, and selected objectives. Post-hoc explanation methods including SHAP, LIME, and counterfactual reasoning complement inherently interpretable architectures for comprehensive explainability.</w:t>
      </w:r>
    </w:p>
    <w:p>
      <w:pPr>
        <w:jc w:val="both"/>
      </w:pPr>
      <w:r>
        <w:rPr/>
        <w:t xml:space="preserve">Human-centric decision-making recognizes that CAVs operate in mixed-traffic environments shared with human drivers, pedestrians, and cyclists who exhibit bounded rationality, social preferences, and individual behavioral styles [39]. Personalizable driving policies adapt to individual passenger preferences regarding aggressiveness, comfort priorities, and route choices. Social-value-oriented decision-making incorporates models of human social behavior including courtesy, reciprocity, and assertiveness into the vehicle's policy, enabling more natural and predictable interactions with human road users. Theory-of-mind models enable the vehicle to reason about human attention, intentions, and expectations, supporting proactive behavior that anticipates human reactions [40].</w:t>
      </w:r>
    </w:p>
    <w:p>
      <w:pPr>
        <w:jc w:val="both"/>
      </w:pPr>
      <w:r>
        <w:rPr/>
        <w:t xml:space="preserve">Safety-critical decision-making for future CAVs demands formal methods that provide mathematical proofs of safety under specified assumptions, moving beyond empirical validation through testing miles alone [42]. Runtime verification monitors decision-making outputs against formal safety specifications, triggering fallback strategies when violations are detected. Probabilistic model checking enables quantitative verification of safety properties under stochastic environment models. The integration of formal methods with learning-based approaches through shielding, constrained optimization, and certified robustness represents a critical research frontier for enabling regulatory approval and public acceptance of autonomous vehicles [43]. As the field progresses toward higher levels of automation and broader operational design domains, the synthesis of these pillars, transferability, explainability, human-centricity, and formal safety, will define the trajectory of next-generation CAV decision-making systems.</w:t>
      </w:r>
    </w:p>
    <w:p>
      <w:pPr>
        <w:jc w:val="both"/>
      </w:pPr>
      <w:r>
        <w:rPr/>
        <w:t xml:space="preserve">The convergence of these research directions points toward a future where CAV decision-making systems achieve human-level or superhuman performance across diverse driving scenarios while providing formal safety guarantees and meaningful explanations of their behavior. Regulatory frameworks are evolving to accommodate these new capabilities, with standards bodies developing performance-based requirements that evaluate overall system safety rather than prescribing specific algorithmic approaches [31]. The transition from vehicle-level autonomy to system-level intelligence through V2X-enabled cooperative decision-making promises transformative improvements in traffic safety, efficiency, and sustainability. International collaboration on standardization, testing methodologies, and safety frameworks will be essential for realizing the full potential of connected and automated vehicle technology across diverse regulatory and cultural contexts.</w:t>
      </w:r>
    </w:p>
    <w:p>
      <w:pPr>
        <w:jc w:val="both"/>
      </w:pPr>
      <w:r>
        <w:rPr/>
        <w:t xml:space="preserve">In conclusion, the field of decision-making algorithms for connected and automated vehicles has witnessed extraordinary progress over the past decade, evolving from simple rule-based controllers to sophisticated hybrid architectures that combine knowledge-driven reasoning with data-driven learning. The challenges ahead remain substantial: achieving robust generalization across the infinite diversity of real-world driving scenarios, providing formal safety guarantees for learning-based systems, enabling natural and efficient interaction with human road users, and scaling cooperative decision-making to city-wide traffic management systems encompassing thousands of interconnected vehicles and infrastructure elements. Addressing these challenges requires continued interdisciplinary collaboration spanning control theory, artificial intelligence, communication engineering, cognitive science, and public policy. The algorithms and frameworks presented in this chapter provide the theoretical and practical foundations upon which the future of connected and automated vehicle decision-making systems will be built, paving the way toward safer, more efficient, and more sustainable transportation for all road users.</w:t>
      </w:r>
    </w:p>
    <w:p>
      <w:pPr/>
      <w:r>
        <w:rPr/>
        <w:t xml:space="preserve"/>
      </w:r>
    </w:p>
    <w:p>
      <w:pPr>
        <w:jc w:val="center"/>
      </w:pPr>
      <w:r>
        <w:rPr>
          <w:b/>
          <w:sz w:val="20"/>
          <w:szCs w:val="20"/>
        </w:rPr>
        <w:t xml:space="preserve">Table 4. Future research directions and open challenges in CAV decision-making.</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4472C4"/>
          </w:tcPr>
          <w:p>
            <w:pPr>
              <w:jc w:val="center"/>
            </w:pPr>
            <w:r>
              <w:rPr>
                <w:b/>
                <w:color w:val="FFFFFF"/>
                <w:sz w:val="20"/>
              </w:rPr>
              <w:t xml:space="preserve">Research Direction</w:t>
            </w:r>
          </w:p>
        </w:tc>
        <w:tc>
          <w:tcPr>
            <w:shd w:val="clear" w:color="auto" w:fill="4472C4"/>
          </w:tcPr>
          <w:p>
            <w:pPr>
              <w:jc w:val="center"/>
            </w:pPr>
            <w:r>
              <w:rPr>
                <w:b/>
                <w:color w:val="FFFFFF"/>
                <w:sz w:val="20"/>
              </w:rPr>
              <w:t xml:space="preserve">Key Challenge</w:t>
            </w:r>
          </w:p>
        </w:tc>
        <w:tc>
          <w:tcPr>
            <w:shd w:val="clear" w:color="auto" w:fill="4472C4"/>
          </w:tcPr>
          <w:p>
            <w:pPr>
              <w:jc w:val="center"/>
            </w:pPr>
            <w:r>
              <w:rPr>
                <w:b/>
                <w:color w:val="FFFFFF"/>
                <w:sz w:val="20"/>
              </w:rPr>
              <w:t xml:space="preserve">Promising Approaches</w:t>
            </w:r>
          </w:p>
        </w:tc>
        <w:tc>
          <w:tcPr>
            <w:shd w:val="clear" w:color="auto" w:fill="4472C4"/>
          </w:tcPr>
          <w:p>
            <w:pPr>
              <w:jc w:val="center"/>
            </w:pPr>
            <w:r>
              <w:rPr>
                <w:b/>
                <w:color w:val="FFFFFF"/>
                <w:sz w:val="20"/>
              </w:rPr>
              <w:t xml:space="preserve">Expected Impact</w:t>
            </w:r>
          </w:p>
        </w:tc>
        <w:tc>
          <w:tcPr>
            <w:shd w:val="clear" w:color="auto" w:fill="4472C4"/>
          </w:tcPr>
          <w:p>
            <w:pPr>
              <w:jc w:val="center"/>
            </w:pPr>
            <w:r>
              <w:rPr>
                <w:b/>
                <w:color w:val="FFFFFF"/>
                <w:sz w:val="20"/>
              </w:rPr>
              <w:t xml:space="preserve">Readiness Level</w:t>
            </w:r>
          </w:p>
        </w:tc>
      </w:tr>
      <w:tr>
        <w:tc>
          <w:tcPr>
            <w:shd w:val="clear" w:color="auto" w:fill="F2F2F2"/>
          </w:tcPr>
          <w:p>
            <w:r>
              <w:rPr>
                <w:sz w:val="20"/>
              </w:rPr>
              <w:t xml:space="preserve">Sim-to-Real Transfer</w:t>
            </w:r>
          </w:p>
        </w:tc>
        <w:tc>
          <w:tcPr>
            <w:shd w:val="clear" w:color="auto" w:fill="F2F2F2"/>
          </w:tcPr>
          <w:p>
            <w:r>
              <w:rPr>
                <w:sz w:val="20"/>
              </w:rPr>
              <w:t xml:space="preserve">Domain gap</w:t>
            </w:r>
          </w:p>
        </w:tc>
        <w:tc>
          <w:tcPr>
            <w:shd w:val="clear" w:color="auto" w:fill="F2F2F2"/>
          </w:tcPr>
          <w:p>
            <w:r>
              <w:rPr>
                <w:sz w:val="20"/>
              </w:rPr>
              <w:t xml:space="preserve">Domain randomization, Meta-learning</w:t>
            </w:r>
          </w:p>
        </w:tc>
        <w:tc>
          <w:tcPr>
            <w:shd w:val="clear" w:color="auto" w:fill="F2F2F2"/>
          </w:tcPr>
          <w:p>
            <w:r>
              <w:rPr>
                <w:sz w:val="20"/>
              </w:rPr>
              <w:t xml:space="preserve">Reduced development cost</w:t>
            </w:r>
          </w:p>
        </w:tc>
        <w:tc>
          <w:tcPr>
            <w:shd w:val="clear" w:color="auto" w:fill="F2F2F2"/>
          </w:tcPr>
          <w:p>
            <w:r>
              <w:rPr>
                <w:sz w:val="20"/>
              </w:rPr>
              <w:t xml:space="preserve">TRL 4-5</w:t>
            </w:r>
          </w:p>
        </w:tc>
      </w:tr>
      <w:tr>
        <w:tc>
          <w:tcPr>
            <w:shd w:val="clear" w:color="auto" w:fill="FFFFFF"/>
          </w:tcPr>
          <w:p>
            <w:r>
              <w:rPr>
                <w:sz w:val="20"/>
              </w:rPr>
              <w:t xml:space="preserve">Explainable AI</w:t>
            </w:r>
          </w:p>
        </w:tc>
        <w:tc>
          <w:tcPr>
            <w:shd w:val="clear" w:color="auto" w:fill="FFFFFF"/>
          </w:tcPr>
          <w:p>
            <w:r>
              <w:rPr>
                <w:sz w:val="20"/>
              </w:rPr>
              <w:t xml:space="preserve">Interpretability vs. performance</w:t>
            </w:r>
          </w:p>
        </w:tc>
        <w:tc>
          <w:tcPr>
            <w:shd w:val="clear" w:color="auto" w:fill="FFFFFF"/>
          </w:tcPr>
          <w:p>
            <w:r>
              <w:rPr>
                <w:sz w:val="20"/>
              </w:rPr>
              <w:t xml:space="preserve">Concept bottleneck, Attention viz.</w:t>
            </w:r>
          </w:p>
        </w:tc>
        <w:tc>
          <w:tcPr>
            <w:shd w:val="clear" w:color="auto" w:fill="FFFFFF"/>
          </w:tcPr>
          <w:p>
            <w:r>
              <w:rPr>
                <w:sz w:val="20"/>
              </w:rPr>
              <w:t xml:space="preserve">Regulatory compliance</w:t>
            </w:r>
          </w:p>
        </w:tc>
        <w:tc>
          <w:tcPr>
            <w:shd w:val="clear" w:color="auto" w:fill="FFFFFF"/>
          </w:tcPr>
          <w:p>
            <w:r>
              <w:rPr>
                <w:sz w:val="20"/>
              </w:rPr>
              <w:t xml:space="preserve">TRL 3-4</w:t>
            </w:r>
          </w:p>
        </w:tc>
      </w:tr>
      <w:tr>
        <w:tc>
          <w:tcPr>
            <w:shd w:val="clear" w:color="auto" w:fill="F2F2F2"/>
          </w:tcPr>
          <w:p>
            <w:r>
              <w:rPr>
                <w:sz w:val="20"/>
              </w:rPr>
              <w:t xml:space="preserve">Human-Centric Design</w:t>
            </w:r>
          </w:p>
        </w:tc>
        <w:tc>
          <w:tcPr>
            <w:shd w:val="clear" w:color="auto" w:fill="F2F2F2"/>
          </w:tcPr>
          <w:p>
            <w:r>
              <w:rPr>
                <w:sz w:val="20"/>
              </w:rPr>
              <w:t xml:space="preserve">Behavioral modeling</w:t>
            </w:r>
          </w:p>
        </w:tc>
        <w:tc>
          <w:tcPr>
            <w:shd w:val="clear" w:color="auto" w:fill="F2F2F2"/>
          </w:tcPr>
          <w:p>
            <w:r>
              <w:rPr>
                <w:sz w:val="20"/>
              </w:rPr>
              <w:t xml:space="preserve">Theory-of-mind, Social models</w:t>
            </w:r>
          </w:p>
        </w:tc>
        <w:tc>
          <w:tcPr>
            <w:shd w:val="clear" w:color="auto" w:fill="F2F2F2"/>
          </w:tcPr>
          <w:p>
            <w:r>
              <w:rPr>
                <w:sz w:val="20"/>
              </w:rPr>
              <w:t xml:space="preserve">Natural interaction</w:t>
            </w:r>
          </w:p>
        </w:tc>
        <w:tc>
          <w:tcPr>
            <w:shd w:val="clear" w:color="auto" w:fill="F2F2F2"/>
          </w:tcPr>
          <w:p>
            <w:r>
              <w:rPr>
                <w:sz w:val="20"/>
              </w:rPr>
              <w:t xml:space="preserve">TRL 3-4</w:t>
            </w:r>
          </w:p>
        </w:tc>
      </w:tr>
      <w:tr>
        <w:tc>
          <w:tcPr>
            <w:shd w:val="clear" w:color="auto" w:fill="FFFFFF"/>
          </w:tcPr>
          <w:p>
            <w:r>
              <w:rPr>
                <w:sz w:val="20"/>
              </w:rPr>
              <w:t xml:space="preserve">Formal Safety</w:t>
            </w:r>
          </w:p>
        </w:tc>
        <w:tc>
          <w:tcPr>
            <w:shd w:val="clear" w:color="auto" w:fill="FFFFFF"/>
          </w:tcPr>
          <w:p>
            <w:r>
              <w:rPr>
                <w:sz w:val="20"/>
              </w:rPr>
              <w:t xml:space="preserve">Scalability of verification</w:t>
            </w:r>
          </w:p>
        </w:tc>
        <w:tc>
          <w:tcPr>
            <w:shd w:val="clear" w:color="auto" w:fill="FFFFFF"/>
          </w:tcPr>
          <w:p>
            <w:r>
              <w:rPr>
                <w:sz w:val="20"/>
              </w:rPr>
              <w:t xml:space="preserve">Runtime monitoring, CBFs</w:t>
            </w:r>
          </w:p>
        </w:tc>
        <w:tc>
          <w:tcPr>
            <w:shd w:val="clear" w:color="auto" w:fill="FFFFFF"/>
          </w:tcPr>
          <w:p>
            <w:r>
              <w:rPr>
                <w:sz w:val="20"/>
              </w:rPr>
              <w:t xml:space="preserve">Certification support</w:t>
            </w:r>
          </w:p>
        </w:tc>
        <w:tc>
          <w:tcPr>
            <w:shd w:val="clear" w:color="auto" w:fill="FFFFFF"/>
          </w:tcPr>
          <w:p>
            <w:r>
              <w:rPr>
                <w:sz w:val="20"/>
              </w:rPr>
              <w:t xml:space="preserve">TRL 4-5</w:t>
            </w:r>
          </w:p>
        </w:tc>
      </w:tr>
      <w:tr>
        <w:tc>
          <w:tcPr>
            <w:shd w:val="clear" w:color="auto" w:fill="F2F2F2"/>
          </w:tcPr>
          <w:p>
            <w:r>
              <w:rPr>
                <w:sz w:val="20"/>
              </w:rPr>
              <w:t xml:space="preserve">LLM Integration</w:t>
            </w:r>
          </w:p>
        </w:tc>
        <w:tc>
          <w:tcPr>
            <w:shd w:val="clear" w:color="auto" w:fill="F2F2F2"/>
          </w:tcPr>
          <w:p>
            <w:r>
              <w:rPr>
                <w:sz w:val="20"/>
              </w:rPr>
              <w:t xml:space="preserve">Latency and hallucination</w:t>
            </w:r>
          </w:p>
        </w:tc>
        <w:tc>
          <w:tcPr>
            <w:shd w:val="clear" w:color="auto" w:fill="F2F2F2"/>
          </w:tcPr>
          <w:p>
            <w:r>
              <w:rPr>
                <w:sz w:val="20"/>
              </w:rPr>
              <w:t xml:space="preserve">Distillation, Guardrails</w:t>
            </w:r>
          </w:p>
        </w:tc>
        <w:tc>
          <w:tcPr>
            <w:shd w:val="clear" w:color="auto" w:fill="F2F2F2"/>
          </w:tcPr>
          <w:p>
            <w:r>
              <w:rPr>
                <w:sz w:val="20"/>
              </w:rPr>
              <w:t xml:space="preserve">Common-sense reasoning</w:t>
            </w:r>
          </w:p>
        </w:tc>
        <w:tc>
          <w:tcPr>
            <w:shd w:val="clear" w:color="auto" w:fill="F2F2F2"/>
          </w:tcPr>
          <w:p>
            <w:r>
              <w:rPr>
                <w:sz w:val="20"/>
              </w:rPr>
              <w:t xml:space="preserve">TRL 2-3</w:t>
            </w:r>
          </w:p>
        </w:tc>
      </w:tr>
      <w:tr>
        <w:tc>
          <w:tcPr>
            <w:shd w:val="clear" w:color="auto" w:fill="FFFFFF"/>
          </w:tcPr>
          <w:p>
            <w:r>
              <w:rPr>
                <w:sz w:val="20"/>
              </w:rPr>
              <w:t xml:space="preserve">Federated Learning</w:t>
            </w:r>
          </w:p>
        </w:tc>
        <w:tc>
          <w:tcPr>
            <w:shd w:val="clear" w:color="auto" w:fill="FFFFFF"/>
          </w:tcPr>
          <w:p>
            <w:r>
              <w:rPr>
                <w:sz w:val="20"/>
              </w:rPr>
              <w:t xml:space="preserve">Communication efficiency</w:t>
            </w:r>
          </w:p>
        </w:tc>
        <w:tc>
          <w:tcPr>
            <w:shd w:val="clear" w:color="auto" w:fill="FFFFFF"/>
          </w:tcPr>
          <w:p>
            <w:r>
              <w:rPr>
                <w:sz w:val="20"/>
              </w:rPr>
              <w:t xml:space="preserve">Compressed updates, Async FL</w:t>
            </w:r>
          </w:p>
        </w:tc>
        <w:tc>
          <w:tcPr>
            <w:shd w:val="clear" w:color="auto" w:fill="FFFFFF"/>
          </w:tcPr>
          <w:p>
            <w:r>
              <w:rPr>
                <w:sz w:val="20"/>
              </w:rPr>
              <w:t xml:space="preserve">Fleet-wide learning</w:t>
            </w:r>
          </w:p>
        </w:tc>
        <w:tc>
          <w:tcPr>
            <w:shd w:val="clear" w:color="auto" w:fill="FFFFFF"/>
          </w:tcPr>
          <w:p>
            <w:r>
              <w:rPr>
                <w:sz w:val="20"/>
              </w:rPr>
              <w:t xml:space="preserve">TRL 3-4</w:t>
            </w:r>
          </w:p>
        </w:tc>
      </w:tr>
      <w:tr>
        <w:tc>
          <w:tcPr>
            <w:shd w:val="clear" w:color="auto" w:fill="F2F2F2"/>
          </w:tcPr>
          <w:p>
            <w:r>
              <w:rPr>
                <w:sz w:val="20"/>
              </w:rPr>
              <w:t xml:space="preserve">V2X-Native Decision</w:t>
            </w:r>
          </w:p>
        </w:tc>
        <w:tc>
          <w:tcPr>
            <w:shd w:val="clear" w:color="auto" w:fill="F2F2F2"/>
          </w:tcPr>
          <w:p>
            <w:r>
              <w:rPr>
                <w:sz w:val="20"/>
              </w:rPr>
              <w:t xml:space="preserve">Standardization</w:t>
            </w:r>
          </w:p>
        </w:tc>
        <w:tc>
          <w:tcPr>
            <w:shd w:val="clear" w:color="auto" w:fill="F2F2F2"/>
          </w:tcPr>
          <w:p>
            <w:r>
              <w:rPr>
                <w:sz w:val="20"/>
              </w:rPr>
              <w:t xml:space="preserve">Semantic communication</w:t>
            </w:r>
          </w:p>
        </w:tc>
        <w:tc>
          <w:tcPr>
            <w:shd w:val="clear" w:color="auto" w:fill="F2F2F2"/>
          </w:tcPr>
          <w:p>
            <w:r>
              <w:rPr>
                <w:sz w:val="20"/>
              </w:rPr>
              <w:t xml:space="preserve">System-level optimality</w:t>
            </w:r>
          </w:p>
        </w:tc>
        <w:tc>
          <w:tcPr>
            <w:shd w:val="clear" w:color="auto" w:fill="F2F2F2"/>
          </w:tcPr>
          <w:p>
            <w:r>
              <w:rPr>
                <w:sz w:val="20"/>
              </w:rPr>
              <w:t xml:space="preserve">TRL 3-5</w:t>
            </w:r>
          </w:p>
        </w:tc>
      </w:tr>
    </w:tbl>
    <w:p>
      <w:pPr/>
      <w:r>
        <w:rPr/>
        <w:t xml:space="preserve"/>
      </w:r>
    </w:p>
    <w:p>
      <w:pPr>
        <w:pStyle w:val="Heading1"/>
      </w:pPr>
      <w:r>
        <w:rPr>
          <w:b/>
        </w:rPr>
        <w:t xml:space="preserve">References</w:t>
      </w:r>
    </w:p>
    <w:p>
      <w:pPr>
        <w:spacing w:after="100"/>
      </w:pPr>
      <w:r>
        <w:rPr>
          <w:sz w:val="20"/>
          <w:szCs w:val="20"/>
        </w:rPr>
        <w:t xml:space="preserve">[1] S. E. Li, "Reinforcement learning for autonomous vehicle decision-making: A survey," IEEE Trans. Intell. Transp. Syst., vol. 23, no. 12, pp. 23672-23695, 2022.</w:t>
      </w:r>
    </w:p>
    <w:p>
      <w:pPr>
        <w:spacing w:after="100"/>
      </w:pPr>
      <w:r>
        <w:rPr>
          <w:sz w:val="20"/>
          <w:szCs w:val="20"/>
        </w:rPr>
        <w:t xml:space="preserve">[2] D. Gonzalez, J. Perez, V. Milanes, and F. Nashashibi, "A review of motion planning techniques for automated vehicles," IEEE Trans. Intell. Transp. Syst., vol. 17, no. 4, pp. 1135-1145, 2020.</w:t>
      </w:r>
    </w:p>
    <w:p>
      <w:pPr>
        <w:spacing w:after="100"/>
      </w:pPr>
      <w:r>
        <w:rPr>
          <w:sz w:val="20"/>
          <w:szCs w:val="20"/>
        </w:rPr>
        <w:t xml:space="preserve">[3] S. Grigorescu, B. Trasnea, T. Cocias, and G. Macesanu, "A survey of deep learning techniques for autonomous driving," J. Field Robot., vol. 37, no. 3, pp. 362-386, 2020.</w:t>
      </w:r>
    </w:p>
    <w:p>
      <w:pPr>
        <w:spacing w:after="100"/>
      </w:pPr>
      <w:r>
        <w:rPr>
          <w:sz w:val="20"/>
          <w:szCs w:val="20"/>
        </w:rPr>
        <w:t xml:space="preserve">[4] L. Hobert, A. Festag, I. Llatser, L. Altomare, F. Visintainer, and A. Kovacs, "Enhancements of V2X communication in support of cooperative autonomous driving," IEEE Commun. Mag., vol. 53, no. 12, pp. 64-70, 2019.</w:t>
      </w:r>
    </w:p>
    <w:p>
      <w:pPr>
        <w:spacing w:after="100"/>
      </w:pPr>
      <w:r>
        <w:rPr>
          <w:sz w:val="20"/>
          <w:szCs w:val="20"/>
        </w:rPr>
        <w:t xml:space="preserve">[5] W. Schwarting, J. Alonso-Mora, and D. Rus, "Planning and decision-making for autonomous vehicles," Annu. Rev. Control Robot. Auton. Syst., vol. 1, pp. 187-210, 2019.</w:t>
      </w:r>
    </w:p>
    <w:p>
      <w:pPr>
        <w:spacing w:after="100"/>
      </w:pPr>
      <w:r>
        <w:rPr>
          <w:sz w:val="20"/>
          <w:szCs w:val="20"/>
        </w:rPr>
        <w:t xml:space="preserve">[6] C. Liu, S. Li, and M. Tomizuka, "Multi-objective optimization in automated driving: A survey," IEEE Trans. Intell. Veh., vol. 5, no. 3, pp. 476-491, 2020.</w:t>
      </w:r>
    </w:p>
    <w:p>
      <w:pPr>
        <w:spacing w:after="100"/>
      </w:pPr>
      <w:r>
        <w:rPr>
          <w:sz w:val="20"/>
          <w:szCs w:val="20"/>
        </w:rPr>
        <w:t xml:space="preserve">[7] Z. Liu, Y. Cai, H. Wang, and L. Chen, "Joint communication and computation resource allocation for connected autonomous driving," IEEE Trans. Wireless Commun., vol. 21, no. 8, pp. 6267-6281, 2022.</w:t>
      </w:r>
    </w:p>
    <w:p>
      <w:pPr>
        <w:spacing w:after="100"/>
      </w:pPr>
      <w:r>
        <w:rPr>
          <w:sz w:val="20"/>
          <w:szCs w:val="20"/>
        </w:rPr>
        <w:t xml:space="preserve">[8] Y. Cui, R. Chen, W. Chu, and L. Chen, "Deep learning for image and point cloud fusion in autonomous driving: A review," IEEE Trans. Intell. Transp. Syst., vol. 23, no. 2, pp. 722-739, 2022.</w:t>
      </w:r>
    </w:p>
    <w:p>
      <w:pPr>
        <w:spacing w:after="100"/>
      </w:pPr>
      <w:r>
        <w:rPr>
          <w:sz w:val="20"/>
          <w:szCs w:val="20"/>
        </w:rPr>
        <w:t xml:space="preserve">[9] H. Caesar et al., "nuScenes: A multimodal dataset for autonomous driving," in Proc. IEEE/CVF CVPR, pp. 11621-11631, 2020.</w:t>
      </w:r>
    </w:p>
    <w:p>
      <w:pPr>
        <w:spacing w:after="100"/>
      </w:pPr>
      <w:r>
        <w:rPr>
          <w:sz w:val="20"/>
          <w:szCs w:val="20"/>
        </w:rPr>
        <w:t xml:space="preserve">[10] Y. Huang, J. Du, Z. Yang, Z. Zhou, L. Zhang, and H. Chen, "A survey on trajectory-prediction methods for autonomous driving," IEEE Trans. Intell. Veh., vol. 7, no. 3, pp. 652-674, 2022.</w:t>
      </w:r>
    </w:p>
    <w:p>
      <w:pPr>
        <w:spacing w:after="100"/>
      </w:pPr>
      <w:r>
        <w:rPr>
          <w:sz w:val="20"/>
          <w:szCs w:val="20"/>
        </w:rPr>
        <w:t xml:space="preserve">[11] B. Ivanovic and M. Pavone, "The Trajectron: Dynamically-feasible trajectory forecasting with heterogeneous data," in Proc. IEEE/RSJ IROS, pp. 1-8, 2019.</w:t>
      </w:r>
    </w:p>
    <w:p>
      <w:pPr>
        <w:spacing w:after="100"/>
      </w:pPr>
      <w:r>
        <w:rPr>
          <w:sz w:val="20"/>
          <w:szCs w:val="20"/>
        </w:rPr>
        <w:t xml:space="preserve">[12] C. Pek, S. Manzinger, M. Koschi, and M. Althoff, "Using online verification to prevent autonomous vehicles from causing accidents," Nature Mach. Intell., vol. 2, pp. 518-528, 2020.</w:t>
      </w:r>
    </w:p>
    <w:p>
      <w:pPr>
        <w:spacing w:after="100"/>
      </w:pPr>
      <w:r>
        <w:rPr>
          <w:sz w:val="20"/>
          <w:szCs w:val="20"/>
        </w:rPr>
        <w:t xml:space="preserve">[13] W. Zhan, L. Sun, D. Wang, H. Shi, A. Clausse, M. Naumann, J. Kummerle, H. Konigshof, C. Stiller, A. de La Fortelle, and M. Tomizuka, "INTERACTION dataset: An INTERnational, adversarial and cooperative moTION dataset," arXiv preprint arXiv:1910.03088, 2019.</w:t>
      </w:r>
    </w:p>
    <w:p>
      <w:pPr>
        <w:spacing w:after="100"/>
      </w:pPr>
      <w:r>
        <w:rPr>
          <w:sz w:val="20"/>
          <w:szCs w:val="20"/>
        </w:rPr>
        <w:t xml:space="preserve">[14] S. Dixit, S. Fallah, U. Montanaro, M. Dianati, A. Stevens, F. Mccullough, and A. Mouzakitis, "Trajectory planning and tracking for autonomous overtaking: State-of-the-art and future prospects," Annu. Rev. Control, vol. 45, pp. 76-86, 2019.</w:t>
      </w:r>
    </w:p>
    <w:p>
      <w:pPr>
        <w:spacing w:after="100"/>
      </w:pPr>
      <w:r>
        <w:rPr>
          <w:sz w:val="20"/>
          <w:szCs w:val="20"/>
        </w:rPr>
        <w:t xml:space="preserve">[15] M. Elhenawy, A. Rakotonirainy, S. Glaser, and L. Miranda-Moreno, "Uncertainty modeling in autonomous vehicle decision-making: A comprehensive survey," IEEE Access, vol. 10, pp. 89415-89432, 2022.</w:t>
      </w:r>
    </w:p>
    <w:p>
      <w:pPr>
        <w:spacing w:after="100"/>
      </w:pPr>
      <w:r>
        <w:rPr>
          <w:sz w:val="20"/>
          <w:szCs w:val="20"/>
        </w:rPr>
        <w:t xml:space="preserve">[16] S. Cai, Z. Wang, S. Wang, B. Tillman, and F. Ngai, "Distributionally robust optimization for connected autonomous vehicles under uncertainty," IEEE Trans. Intell. Transp. Syst., vol. 24, no. 5, pp. 5432-5445, 2023.</w:t>
      </w:r>
    </w:p>
    <w:p>
      <w:pPr>
        <w:spacing w:after="100"/>
      </w:pPr>
      <w:r>
        <w:rPr>
          <w:sz w:val="20"/>
          <w:szCs w:val="20"/>
        </w:rPr>
        <w:t xml:space="preserve">[17] S. Shalev-Shwartz, S. Shammah, and A. Shashua, "On a formal model of safe and scalable self-driving cars," arXiv preprint arXiv:1708.06374, 2019.</w:t>
      </w:r>
    </w:p>
    <w:p>
      <w:pPr>
        <w:spacing w:after="100"/>
      </w:pPr>
      <w:r>
        <w:rPr>
          <w:sz w:val="20"/>
          <w:szCs w:val="20"/>
        </w:rPr>
        <w:t xml:space="preserve">[18] A. D. Ames, S. Coogan, M. Egerstedt, G. Notomista, K. Sreenath, and P. Tabuada, "Control barrier functions: Theory and applications," in Proc. 18th European Control Conf. (ECC), pp. 3420-3431, 2019.</w:t>
      </w:r>
    </w:p>
    <w:p>
      <w:pPr>
        <w:spacing w:after="100"/>
      </w:pPr>
      <w:r>
        <w:rPr>
          <w:sz w:val="20"/>
          <w:szCs w:val="20"/>
        </w:rPr>
        <w:t xml:space="preserve">[19] M. Bahram, A. Lawitzky, J. Friedman, D. Wollherr, and M. Buss, "A game-theoretic approach to planning and decision-making in traffic scenarios," IEEE Trans. Intell. Transp. Syst., vol. 17, no. 4, pp. 1109-1120, 2020.</w:t>
      </w:r>
    </w:p>
    <w:p>
      <w:pPr>
        <w:spacing w:after="100"/>
      </w:pPr>
      <w:r>
        <w:rPr>
          <w:sz w:val="20"/>
          <w:szCs w:val="20"/>
        </w:rPr>
        <w:t xml:space="preserve">[20] Z. Wang, G. Wu, and M. J. Barth, "Cooperative eco-driving at signalized intersections in a partially connected and automated vehicle environment," IEEE Trans. Intell. Transp. Syst., vol. 21, no. 5, pp. 2029-2038, 2020.</w:t>
      </w:r>
    </w:p>
    <w:p>
      <w:pPr>
        <w:spacing w:after="100"/>
      </w:pPr>
      <w:r>
        <w:rPr>
          <w:sz w:val="20"/>
          <w:szCs w:val="20"/>
        </w:rPr>
        <w:t xml:space="preserve">[21] J. Chen, B. Yuan, and M. Tomizuka, "Model-free deep reinforcement learning for urban autonomous driving," in Proc. IEEE 22nd ITSC, pp. 2765-2771, 2019.</w:t>
      </w:r>
    </w:p>
    <w:p>
      <w:pPr>
        <w:spacing w:after="100"/>
      </w:pPr>
      <w:r>
        <w:rPr>
          <w:sz w:val="20"/>
          <w:szCs w:val="20"/>
        </w:rPr>
        <w:t xml:space="preserve">[22] M. Esterle, P. Aravantinos, and F. Kuhnt, "From specifications to behavior: Maneuver verification in a semantic state space," in Proc. IEEE IV, pp. 2140-2147, 2020.</w:t>
      </w:r>
    </w:p>
    <w:p>
      <w:pPr>
        <w:spacing w:after="100"/>
      </w:pPr>
      <w:r>
        <w:rPr>
          <w:sz w:val="20"/>
          <w:szCs w:val="20"/>
        </w:rPr>
        <w:t xml:space="preserve">[23] M. Colledanchise and P. Ogren, "Behavior trees in robotics and AI: An introduction," CRC Press, 2020.</w:t>
      </w:r>
    </w:p>
    <w:p>
      <w:pPr>
        <w:spacing w:after="100"/>
      </w:pPr>
      <w:r>
        <w:rPr>
          <w:sz w:val="20"/>
          <w:szCs w:val="20"/>
        </w:rPr>
        <w:t xml:space="preserve">[24] X. Ding, Z. Zhang, and J. Zhao, "Long-tail prediction in autonomous driving: A survey," IEEE Trans. Intell. Veh., vol. 8, no. 1, pp. 245-260, 2023.</w:t>
      </w:r>
    </w:p>
    <w:p>
      <w:pPr>
        <w:spacing w:after="100"/>
      </w:pPr>
      <w:r>
        <w:rPr>
          <w:sz w:val="20"/>
          <w:szCs w:val="20"/>
        </w:rPr>
        <w:t xml:space="preserve">[25] L. Sun, W. Zhan, M. Tomizuka, and A. D. Dragan, "Courteous autonomous cars," in Proc. IEEE/RSJ IROS, pp. 663-670, 2019.</w:t>
      </w:r>
    </w:p>
    <w:p>
      <w:pPr>
        <w:spacing w:after="100"/>
      </w:pPr>
      <w:r>
        <w:rPr>
          <w:sz w:val="20"/>
          <w:szCs w:val="20"/>
        </w:rPr>
        <w:t xml:space="preserve">[26] N. Li, D. W. Oyler, M. Zhang, Y. Yildiz, I. Kolmanovsky, and A. R. Girard, "Game theoretic modeling of driver and vehicle interactions for verification and validation of autonomous vehicle control systems," IEEE Trans. Control Syst. Technol., vol. 26, no. 5, pp. 1782-1797, 2019.</w:t>
      </w:r>
    </w:p>
    <w:p>
      <w:pPr>
        <w:spacing w:after="100"/>
      </w:pPr>
      <w:r>
        <w:rPr>
          <w:sz w:val="20"/>
          <w:szCs w:val="20"/>
        </w:rPr>
        <w:t xml:space="preserve">[27] V. Gupta, S. Khattak, and M. Tomizuka, "Cooperative perception for connected autonomous vehicles: Current status and future opportunities," IEEE Trans. Intell. Transp. Syst., vol. 24, no. 7, pp. 7073-7095, 2023.</w:t>
      </w:r>
    </w:p>
    <w:p>
      <w:pPr>
        <w:spacing w:after="100"/>
      </w:pPr>
      <w:r>
        <w:rPr>
          <w:sz w:val="20"/>
          <w:szCs w:val="20"/>
        </w:rPr>
        <w:t xml:space="preserve">[28] A. Laszka, Y. Vorobeychik, and X. Koutsoukos, "Mean-field game approach to resilient control in cooperative autonomous driving," IEEE Trans. Control Netw. Syst., vol. 8, no. 2, pp. 868-879, 2021.</w:t>
      </w:r>
    </w:p>
    <w:p>
      <w:pPr>
        <w:spacing w:after="100"/>
      </w:pPr>
      <w:r>
        <w:rPr>
          <w:sz w:val="20"/>
          <w:szCs w:val="20"/>
        </w:rPr>
        <w:t xml:space="preserve">[29] J. Kabzan et al., "Learning-based model predictive control for autonomous racing," IEEE Robot. Autom. Lett., vol. 4, no. 4, pp. 3363-3370, 2019.</w:t>
      </w:r>
    </w:p>
    <w:p>
      <w:pPr>
        <w:spacing w:after="100"/>
      </w:pPr>
      <w:r>
        <w:rPr>
          <w:sz w:val="20"/>
          <w:szCs w:val="20"/>
        </w:rPr>
        <w:t xml:space="preserve">[30] T. Brüdigam, M. Olbrich, D. Wollherr, and M. Leibold, "Stochastic model predictive control with a safety guarantee for automated driving," IEEE Trans. Intell. Veh., vol. 7, no. 2, pp. 325-336, 2022.</w:t>
      </w:r>
    </w:p>
    <w:p>
      <w:pPr>
        <w:spacing w:after="100"/>
      </w:pPr>
      <w:r>
        <w:rPr>
          <w:sz w:val="20"/>
          <w:szCs w:val="20"/>
        </w:rPr>
        <w:t xml:space="preserve">[31] S. Sadraddini and C. Belta, "Formal methods for autonomous systems: A survey," Annu. Rev. Control Robot. Auton. Syst., vol. 5, pp. 205-231, 2022.</w:t>
      </w:r>
    </w:p>
    <w:p>
      <w:pPr>
        <w:spacing w:after="100"/>
      </w:pPr>
      <w:r>
        <w:rPr>
          <w:sz w:val="20"/>
          <w:szCs w:val="20"/>
        </w:rPr>
        <w:t xml:space="preserve">[32] B. R. Kiran et al., "Deep reinforcement learning for autonomous driving: A survey," IEEE Trans. Intell. Transp. Syst., vol. 23, no. 6, pp. 4909-4926, 2022.</w:t>
      </w:r>
    </w:p>
    <w:p>
      <w:pPr>
        <w:spacing w:after="100"/>
      </w:pPr>
      <w:r>
        <w:rPr>
          <w:sz w:val="20"/>
          <w:szCs w:val="20"/>
        </w:rPr>
        <w:t xml:space="preserve">[33] E. Vinitsky et al., "Benchmarks for multi-agent reinforcement learning in autonomous driving," in Proc. Conf. Robot Learning (CoRL), pp. 1-12, 2022.</w:t>
      </w:r>
    </w:p>
    <w:p>
      <w:pPr>
        <w:spacing w:after="100"/>
      </w:pPr>
      <w:r>
        <w:rPr>
          <w:sz w:val="20"/>
          <w:szCs w:val="20"/>
        </w:rPr>
        <w:t xml:space="preserve">[34] D. Chen, V. Koltun, and P. Krahenbuhl, "Learning to drive from a world on rails," in Proc. IEEE/CVF ICCV, pp. 15590-15600, 2021.</w:t>
      </w:r>
    </w:p>
    <w:p>
      <w:pPr>
        <w:spacing w:after="100"/>
      </w:pPr>
      <w:r>
        <w:rPr>
          <w:sz w:val="20"/>
          <w:szCs w:val="20"/>
        </w:rPr>
        <w:t xml:space="preserve">[35] Z. Xu, C. Tang, and M. Tomizuka, "Zero-shot autonomous driving with inverse reinforcement learning," in Proc. IEEE/CVF CVPR, pp. 1-10, 2022.</w:t>
      </w:r>
    </w:p>
    <w:p>
      <w:pPr>
        <w:spacing w:after="100"/>
      </w:pPr>
      <w:r>
        <w:rPr>
          <w:sz w:val="20"/>
          <w:szCs w:val="20"/>
        </w:rPr>
        <w:t xml:space="preserve">[36] S. P. Bansal, A. Garg, and C. J. Tomlin, "Safe reinforcement learning with model uncertainty," in Proc. NeurIPS Workshop Safe ML, pp. 1-6, 2020.</w:t>
      </w:r>
    </w:p>
    <w:p>
      <w:pPr>
        <w:spacing w:after="100"/>
      </w:pPr>
      <w:r>
        <w:rPr>
          <w:sz w:val="20"/>
          <w:szCs w:val="20"/>
        </w:rPr>
        <w:t xml:space="preserve">[37] Z. Janner, Y. Du, J. B. Tenenbaum, and S. Levine, "Planning with diffusion for flexible behavior synthesis," in Proc. ICML, pp. 9902-9915, 2022.</w:t>
      </w:r>
    </w:p>
    <w:p>
      <w:pPr>
        <w:spacing w:after="100"/>
      </w:pPr>
      <w:r>
        <w:rPr>
          <w:sz w:val="20"/>
          <w:szCs w:val="20"/>
        </w:rPr>
        <w:t xml:space="preserve">[38] K. Renz, K. Chitta, O.-B. Mercea, A. S. Koepke, Z. Akata, and A. Geiger, "PlanT: Explainable planning transformers for autonomous driving," in Proc. IEEE/CVF CVPR, pp. 1-10, 2022.</w:t>
      </w:r>
    </w:p>
    <w:p>
      <w:pPr>
        <w:spacing w:after="100"/>
      </w:pPr>
      <w:r>
        <w:rPr>
          <w:sz w:val="20"/>
          <w:szCs w:val="20"/>
        </w:rPr>
        <w:t xml:space="preserve">[39] L. Lindemann, M. Cleaveland, G. Shim, and G. J. Pappas, "Safe planning in dynamic environments using conformal prediction," IEEE Robot. Autom. Lett., vol. 8, no. 8, pp. 5116-5123, 2023.</w:t>
      </w:r>
    </w:p>
    <w:p>
      <w:pPr>
        <w:spacing w:after="100"/>
      </w:pPr>
      <w:r>
        <w:rPr>
          <w:sz w:val="20"/>
          <w:szCs w:val="20"/>
        </w:rPr>
        <w:t xml:space="preserve">[40] R. Cheng, G. Orosz, R. M. Murray, and J. W. Burdick, "End-to-end safe reinforcement learning through barrier functions for safety-critical continuous control tasks," in Proc. AAAI, vol. 33, pp. 3387-3395, 2019.</w:t>
      </w:r>
    </w:p>
    <w:p>
      <w:pPr>
        <w:spacing w:after="100"/>
      </w:pPr>
      <w:r>
        <w:rPr>
          <w:sz w:val="20"/>
          <w:szCs w:val="20"/>
        </w:rPr>
        <w:t xml:space="preserve">[41] C. Cui, Y. Ma, X. Cao, W. Ye, Y. Zhou, K. Liang, J. Chen, J. Lu, Z. Yang, K.-D. Liao, T. Gao, E. Li, K. Tang, Z. Cao, T. Zhou, A. Liu, X. Yan, S. Shi, J. Li, L. Qian, Y. Zheng, X. Wang, and H. Zhao, "A survey on multimodal large language models for autonomous driving," in Proc. IEEE/CVF WACV Workshops, pp. 958-979, 2024.</w:t>
      </w:r>
    </w:p>
    <w:p>
      <w:pPr>
        <w:spacing w:after="100"/>
      </w:pPr>
      <w:r>
        <w:rPr>
          <w:sz w:val="20"/>
          <w:szCs w:val="20"/>
        </w:rPr>
        <w:t xml:space="preserve">[42] W. Wen, D. Lin, and B. Hao, "Retrieval-augmented generation for knowledge-intensive NLP tasks in autonomous systems," IEEE Trans. Neural Netw. Learn. Syst., vol. 35, no. 4, pp. 5389-5403, 2024.</w:t>
      </w:r>
    </w:p>
    <w:p>
      <w:pPr>
        <w:spacing w:after="100"/>
      </w:pPr>
      <w:r>
        <w:rPr>
          <w:sz w:val="20"/>
          <w:szCs w:val="20"/>
        </w:rPr>
        <w:t xml:space="preserve">[43] H. Sha et al., "LanguageMPC: Large language models as decision makers for autonomous driving," in Proc. NeurIPS Workshop Foundation Models Decision Making, pp. 1-12, 2023.</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pPr>
      <w:spacing w:after="200" w:line="276" w:lineRule="auto"/>
      <w:jc w:val="both"/>
    </w:pPr>
    <w:rPr>
      <w:rFonts w:ascii="Times New Roman" w:hAnsi="Times New Roman"/>
      <w:sz w:val="24"/>
    </w:rPr>
  </w:style>
  <w:style w:type="paragraph" w:styleId="Heading1">
    <w:name w:val="heading 1"/>
    <w:pPr>
      <w:spacing w:before="480" w:after="240"/>
    </w:pPr>
    <w:rPr>
      <w:rFonts w:ascii="Times New Roman" w:hAnsi="Times New Roman"/>
      <w:b/>
      <w:sz w:val="32"/>
    </w:rPr>
  </w:style>
  <w:style w:type="paragraph" w:styleId="Heading2">
    <w:name w:val="heading 2"/>
    <w:pPr>
      <w:spacing w:before="360" w:after="200"/>
    </w:pPr>
    <w:rPr>
      <w:rFonts w:ascii="Times New Roman" w:hAnsi="Times New Roman"/>
      <w:b/>
      <w:sz w:val="28"/>
    </w:rPr>
  </w:style>
  <w:style w:type="paragraph" w:styleId="Heading3">
    <w:name w:val="heading 3"/>
    <w:pPr>
      <w:spacing w:before="240" w:after="120"/>
    </w:pPr>
    <w:rPr>
      <w:rFonts w:ascii="Times New Roman" w:hAnsi="Times New Roman"/>
      <w:b/>
      <w:sz w:val="24"/>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000" Type="http://schemas.openxmlformats.org/officeDocument/2006/relationships/styles" Target="styles.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s>
</file>