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ARTIFICIAL INTELLIGENCE-ASSISTED PHYTOCHEMICAL PROFILING AND ANTIDIABETIC POTENTIAL OF </w:t>
      </w:r>
      <w:r>
        <w:rPr>
          <w:i/>
        </w:rPr>
        <w:t xml:space="preserve">GYMNEMA SYLVESTRE</w:t>
      </w:r>
      <w:r>
        <w:t xml:space="preserve">: FROM TRADITIONAL KNOWLEDGE TO PRECISION THERAPEUTICS</w:t>
      </w:r>
    </w:p>
    <w:p>
      <w:pPr>
        <w:pStyle w:val="Normal"/>
      </w:pPr>
      <w:r>
        <w:rPr>
          <w:b/>
        </w:rPr>
        <w:t xml:space="preserve">Book / Theme:</w:t>
      </w:r>
      <w:r>
        <w:t xml:space="preserve"> Data-Driven Phytomedicine and Sustainable Agriculture</w:t>
      </w:r>
    </w:p>
    <w:p>
      <w:pPr>
        <w:pStyle w:val="Normal"/>
      </w:pPr>
      <w:r>
        <w:rPr>
          <w:b/>
        </w:rPr>
        <w:t xml:space="preserve">Authors:</w:t>
      </w:r>
      <w:r>
        <w:t xml:space="preserve"> [Author One]^1*, [Author Two]^2, [Author Three]^1</w:t>
      </w:r>
    </w:p>
    <w:p>
      <w:pPr>
        <w:pStyle w:val="Normal"/>
      </w:pPr>
      <w:r>
        <w:t xml:space="preserve">^1 Department of Pharmacognosy and Phytochemistry, [Institute/University Name], [City], [State], [Country]</w:t>
      </w:r>
    </w:p>
    <w:p>
      <w:pPr>
        <w:pStyle w:val="Normal"/>
      </w:pPr>
      <w:r>
        <w:t xml:space="preserve">^2 Department of Computational Biology and Bioinformatics, [Institute/University Name], [City], [State], [Country]</w:t>
      </w:r>
    </w:p>
    <w:p>
      <w:pPr>
        <w:pStyle w:val="Normal"/>
      </w:pPr>
      <w:r>
        <w:t xml:space="preserve">*Corresponding author: [Author One], Email: [author.one@institution.edu]; ORCID: [0000-0000-0000-0000]; Tel.: [+00-000-000-0000]</w:t>
      </w:r>
    </w:p>
    <w:p>
      <w:pPr>
        <w:pStyle w:val="Normal"/>
      </w:pPr>
      <w:r>
        <w:rPr>
          <w:b/>
        </w:rPr>
        <w:t xml:space="preserve">Note to editor:</w:t>
      </w:r>
      <w:r>
        <w:t xml:space="preserve"> Author names, affiliations, and contact details are shown as placeholders and should be replaced with the final author list prior to submission.</w:t>
      </w:r>
    </w:p>
    <w:p>
      <w:pPr>
        <w:pStyle w:val="Heading1"/>
      </w:pPr>
      <w:r>
        <w:t xml:space="preserve">Abstract</w:t>
      </w:r>
    </w:p>
    <w:p>
      <w:pPr>
        <w:pStyle w:val="Normal"/>
      </w:pPr>
      <w:r>
        <w:rPr>
          <w:i/>
        </w:rPr>
        <w:t xml:space="preserve">Gymnema sylvestre</w:t>
      </w:r>
      <w:r>
        <w:t xml:space="preserve"> (R.Br.) is a woody climber of the Apocynaceae family that has been used for more than two millennia in Ayurvedic and folk medicine to manage "madhumeha," the classical description of diabetes. Its Hindi name, </w:t>
      </w:r>
      <w:r>
        <w:rPr>
          <w:i/>
        </w:rPr>
        <w:t xml:space="preserve">gurmar</w:t>
      </w:r>
      <w:r>
        <w:t xml:space="preserve"> ("sugar destroyer"), reflects the plant's remarkable ability to suppress sweet taste perception and to modulate glucose homeostasis. This chapter examines how artificial intelligence (AI) and machine learning (ML) are transforming the study of </w:t>
      </w:r>
      <w:r>
        <w:rPr>
          <w:i/>
        </w:rPr>
        <w:t xml:space="preserve">G. sylvestre</w:t>
      </w:r>
      <w:r>
        <w:t xml:space="preserve">, converting a rich but fragmented body of traditional knowledge into structured, reproducible, and clinically actionable insight. We first summarise the phytochemistry of the plant, emphasising the gymnemic acids and related triterpenoid saponins that underpin its antidiabetic reputation. We then describe how AI-assisted pipelines—coupling high-resolution liquid chromatography–mass spectrometry, nuclear magnetic resonance, and computational structure elucidation with supervised and deep learning—accelerate dereplication and phytochemical profiling. Next, we discuss how network pharmacology, molecular docking, and quantitative structure–activity relationship modelling clarify the multi-target antidiabetic mechanisms of the plant, spanning intestinal glucose absorption, α-glucosidase and α-amylase inhibition, insulin secretion, and pancreatic β-cell regeneration. Finally, we outline a translational path from ethnobotanical observation to precision phytotherapeutics, together with the data-quality, standardisation, and validation challenges that must be addressed. The integration of data-driven methods with sustainable cultivation offers a credible route to safe, standardised, and personalised botanical medicines.</w:t>
      </w:r>
    </w:p>
    <w:p>
      <w:pPr>
        <w:pStyle w:val="Normal"/>
      </w:pPr>
      <w:r>
        <w:rPr>
          <w:b/>
        </w:rPr>
        <w:t xml:space="preserve">Keywords:</w:t>
      </w:r>
      <w:r>
        <w:t xml:space="preserve"> </w:t>
      </w:r>
      <w:r>
        <w:rPr>
          <w:i/>
        </w:rPr>
        <w:t xml:space="preserve">Gymnema sylvestre</w:t>
      </w:r>
      <w:r>
        <w:t xml:space="preserve">; gymnemic acids; artificial intelligence; machine learning; phytochemical profiling; antidiabetic; network pharmacology; molecular docking; metabolomics; precision phytotherapy</w:t>
      </w:r>
    </w:p>
    <w:p>
      <w:pPr>
        <w:pStyle w:val="Heading1"/>
      </w:pPr>
      <w:r>
        <w:t xml:space="preserve">1. Introduction</w:t>
      </w:r>
    </w:p>
    <w:p>
      <w:pPr>
        <w:pStyle w:val="Normal"/>
      </w:pPr>
      <w:r>
        <w:t xml:space="preserve">Type 2 diabetes mellitus has become one of the most pressing global health challenges of the twenty-first century, with an estimated 537 million adults living with the disease in 2021 and projections approaching 783 million by 2045 (Sun et al., 2022). The rising burden, together with the cost and side-effect profile of some synthetic hypoglycaemic agents, has renewed scientific interest in medicinal plants as sources of safe, affordable, and multi-target therapeutics (Atanasov et al., 2021). Natural products remain a uniquely productive reservoir of chemical diversity, and global research output on medicinal plants has grown steadily over the past decade (Salmerón-Manzano et al., 2020).</w:t>
      </w:r>
    </w:p>
    <w:p>
      <w:pPr>
        <w:pStyle w:val="Normal"/>
      </w:pPr>
      <w:r>
        <w:t xml:space="preserve">Among antidiabetic botanicals, </w:t>
      </w:r>
      <w:r>
        <w:rPr>
          <w:i/>
        </w:rPr>
        <w:t xml:space="preserve">Gymnema sylvestre</w:t>
      </w:r>
      <w:r>
        <w:t xml:space="preserve"> occupies a special place. Traditional systems of medicine across South Asia have long prescribed its leaves to reduce sugar cravings and to control blood glucose, and modern pharmacological studies have substantiated many of these claims (Khan et al., 2019; Tiwari et al., 2017). Yet the translation of this traditional knowledge into standardised, evidence-based therapeutics has been slowed by the chemical complexity of the plant, batch-to-batch variability, and the historically laborious nature of natural-product characterisation.</w:t>
      </w:r>
    </w:p>
    <w:p>
      <w:pPr>
        <w:pStyle w:val="Normal"/>
      </w:pPr>
      <w:r>
        <w:t xml:space="preserve">Artificial intelligence (AI) and machine learning (ML) now offer powerful tools to overcome these bottlenecks. Data-driven methods can dereplicate complex extracts, predict bioactivity, map molecule–target–disease relationships, and prioritise candidates for experimental validation (Vamathevan et al., 2019; Chen et al., 2018). This chapter synthesises these developments as they apply specifically to </w:t>
      </w:r>
      <w:r>
        <w:rPr>
          <w:i/>
        </w:rPr>
        <w:t xml:space="preserve">G. sylvestre</w:t>
      </w:r>
      <w:r>
        <w:t xml:space="preserve">, tracing an integrated arc from ethnobotanical origin to precision therapeutics.</w:t>
      </w:r>
    </w:p>
    <w:p>
      <w:pPr>
        <w:pStyle w:val="Heading1"/>
      </w:pPr>
      <w:r>
        <w:t xml:space="preserve">2. Phytochemistry of </w:t>
      </w:r>
      <w:r>
        <w:rPr>
          <w:i/>
        </w:rPr>
        <w:t xml:space="preserve">Gymnema sylvestre</w:t>
      </w:r>
    </w:p>
    <w:p>
      <w:pPr>
        <w:pStyle w:val="Normal"/>
      </w:pPr>
      <w:r>
        <w:t xml:space="preserve">The pharmacological activity of </w:t>
      </w:r>
      <w:r>
        <w:rPr>
          <w:i/>
        </w:rPr>
        <w:t xml:space="preserve">G. sylvestre</w:t>
      </w:r>
      <w:r>
        <w:t xml:space="preserve"> arises from a diverse phytochemical repertoire dominated by oleanane-type triterpenoid saponins collectively known as gymnemic acids, alongside the peptide gurmarin, dammarane saponins (gymnemasides), flavonoids, phenolic acids, and anthraquinones (Khan et al., 2019). Gymnemic acids are widely regarded as the principal bioactive constituents responsible for both sweet-taste suppression and glucose-lowering effects (Tiwari et al., 2017). Table 1 summarises the major classes of phytoconstituents together with their reported antidiabetic-relevant bioactivities.</w:t>
      </w:r>
    </w:p>
    <w:p>
      <w:pPr>
        <w:pStyle w:val="Normal"/>
      </w:pPr>
      <w:r>
        <w:t xml:space="preserve">[Insert Table 1 here]</w:t>
      </w:r>
    </w:p>
    <w:p>
      <w:pPr>
        <w:pStyle w:val="TableCaption"/>
      </w:pPr>
      <w:r>
        <w:t xml:space="preserve">Table 1. Major phytoconstituent classes of </w:t>
      </w:r>
      <w:r>
        <w:rPr>
          <w:i/>
        </w:rPr>
        <w:t xml:space="preserve">Gymnema sylvestre</w:t>
      </w:r>
      <w:r>
        <w:t xml:space="preserve"> and their reported bioactivities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t xml:space="preserve">Phytochemical Class</w:t>
            </w:r>
          </w:p>
        </w:tc>
        <w:tc>
          <w:tcPr>
            <w:shd w:val="clear" w:color="auto" w:fill="D9E2F3"/>
          </w:tcPr>
          <w:p>
            <w:pPr>
              <w:jc w:val="center"/>
            </w:pPr>
            <w:r>
              <w:t xml:space="preserve">Representative Compounds</w:t>
            </w:r>
          </w:p>
        </w:tc>
        <w:tc>
          <w:tcPr>
            <w:shd w:val="clear" w:color="auto" w:fill="D9E2F3"/>
          </w:tcPr>
          <w:p>
            <w:pPr>
              <w:jc w:val="center"/>
            </w:pPr>
            <w:r>
              <w:t xml:space="preserve">Reported Bioactivity</w:t>
            </w:r>
          </w:p>
        </w:tc>
        <w:tc>
          <w:tcPr>
            <w:shd w:val="clear" w:color="auto" w:fill="D9E2F3"/>
          </w:tcPr>
          <w:p>
            <w:pPr>
              <w:jc w:val="center"/>
            </w:pPr>
            <w:r>
              <w:t xml:space="preserve">Selected Reference</w:t>
            </w:r>
          </w:p>
        </w:tc>
      </w:tr>
      <w:tr>
        <w:tc>
          <w:p>
            <w:pPr>
              <w:spacing w:after="40"/>
            </w:pPr>
            <w:r>
              <w:t xml:space="preserve">Triterpenoid saponins</w:t>
            </w:r>
          </w:p>
        </w:tc>
        <w:tc>
          <w:p>
            <w:pPr>
              <w:spacing w:after="40"/>
            </w:pPr>
            <w:r>
              <w:t xml:space="preserve">Gymnemic acids I–IV</w:t>
            </w:r>
          </w:p>
        </w:tc>
        <w:tc>
          <w:p>
            <w:pPr>
              <w:spacing w:after="40"/>
            </w:pPr>
            <w:r>
              <w:t xml:space="preserve">Sweet-taste suppression, glucose absorption inhibition</w:t>
            </w:r>
          </w:p>
        </w:tc>
        <w:tc>
          <w:p>
            <w:pPr>
              <w:spacing w:after="40"/>
            </w:pPr>
            <w:r>
              <w:t xml:space="preserve">Khan et al. (2019)</w:t>
            </w:r>
          </w:p>
        </w:tc>
      </w:tr>
      <w:tr>
        <w:tc>
          <w:p>
            <w:pPr>
              <w:spacing w:after="40"/>
            </w:pPr>
            <w:r>
              <w:t xml:space="preserve">Dammarane saponins</w:t>
            </w:r>
          </w:p>
        </w:tc>
        <w:tc>
          <w:p>
            <w:pPr>
              <w:spacing w:after="40"/>
            </w:pPr>
            <w:r>
              <w:t xml:space="preserve">Gymnemasides A–F</w:t>
            </w:r>
          </w:p>
        </w:tc>
        <w:tc>
          <w:p>
            <w:pPr>
              <w:spacing w:after="40"/>
            </w:pPr>
            <w:r>
              <w:t xml:space="preserve">α-Glucosidase inhibition</w:t>
            </w:r>
          </w:p>
        </w:tc>
        <w:tc>
          <w:p>
            <w:pPr>
              <w:spacing w:after="40"/>
            </w:pPr>
            <w:r>
              <w:t xml:space="preserve">Rao &amp; Naidu (2018)</w:t>
            </w:r>
          </w:p>
        </w:tc>
      </w:tr>
      <w:tr>
        <w:tc>
          <w:p>
            <w:pPr>
              <w:spacing w:after="40"/>
            </w:pPr>
            <w:r>
              <w:t xml:space="preserve">Peptides</w:t>
            </w:r>
          </w:p>
        </w:tc>
        <w:tc>
          <w:p>
            <w:pPr>
              <w:spacing w:after="40"/>
            </w:pPr>
            <w:r>
              <w:t xml:space="preserve">Gurmarin</w:t>
            </w:r>
          </w:p>
        </w:tc>
        <w:tc>
          <w:p>
            <w:pPr>
              <w:spacing w:after="40"/>
            </w:pPr>
            <w:r>
              <w:t xml:space="preserve">Taste-receptor modulation</w:t>
            </w:r>
          </w:p>
        </w:tc>
        <w:tc>
          <w:p>
            <w:pPr>
              <w:spacing w:after="40"/>
            </w:pPr>
            <w:r>
              <w:t xml:space="preserve">Ansari et al. (2021)</w:t>
            </w:r>
          </w:p>
        </w:tc>
      </w:tr>
      <w:tr>
        <w:tc>
          <w:p>
            <w:pPr>
              <w:spacing w:after="40"/>
            </w:pPr>
            <w:r>
              <w:t xml:space="preserve">Flavonoids</w:t>
            </w:r>
          </w:p>
        </w:tc>
        <w:tc>
          <w:p>
            <w:pPr>
              <w:spacing w:after="40"/>
            </w:pPr>
            <w:r>
              <w:t xml:space="preserve">Kaempferol, quercetin glycosides</w:t>
            </w:r>
          </w:p>
        </w:tc>
        <w:tc>
          <w:p>
            <w:pPr>
              <w:spacing w:after="40"/>
            </w:pPr>
            <w:r>
              <w:t xml:space="preserve">Antioxidant, α-amylase inhibition</w:t>
            </w:r>
          </w:p>
        </w:tc>
        <w:tc>
          <w:p>
            <w:pPr>
              <w:spacing w:after="40"/>
            </w:pPr>
            <w:r>
              <w:t xml:space="preserve">Al-Ishaq et al. (2019)</w:t>
            </w:r>
          </w:p>
        </w:tc>
      </w:tr>
      <w:tr>
        <w:tc>
          <w:p>
            <w:pPr>
              <w:spacing w:after="40"/>
            </w:pPr>
            <w:r>
              <w:t xml:space="preserve">Phenolic acids</w:t>
            </w:r>
          </w:p>
        </w:tc>
        <w:tc>
          <w:p>
            <w:pPr>
              <w:spacing w:after="40"/>
            </w:pPr>
            <w:r>
              <w:t xml:space="preserve">Chlorogenic, gallic acid</w:t>
            </w:r>
          </w:p>
        </w:tc>
        <w:tc>
          <w:p>
            <w:pPr>
              <w:spacing w:after="40"/>
            </w:pPr>
            <w:r>
              <w:t xml:space="preserve">Antioxidant, β-cell protection</w:t>
            </w:r>
          </w:p>
        </w:tc>
        <w:tc>
          <w:p>
            <w:pPr>
              <w:spacing w:after="40"/>
            </w:pPr>
            <w:r>
              <w:t xml:space="preserve">Sharma et al. (2021)</w:t>
            </w:r>
          </w:p>
        </w:tc>
      </w:tr>
      <w:tr>
        <w:tc>
          <w:p>
            <w:pPr>
              <w:spacing w:after="40"/>
            </w:pPr>
            <w:r>
              <w:t xml:space="preserve">Anthraquinones</w:t>
            </w:r>
          </w:p>
        </w:tc>
        <w:tc>
          <w:p>
            <w:pPr>
              <w:spacing w:after="40"/>
            </w:pPr>
            <w:r>
              <w:t xml:space="preserve">Emodin derivatives</w:t>
            </w:r>
          </w:p>
        </w:tc>
        <w:tc>
          <w:p>
            <w:pPr>
              <w:spacing w:after="40"/>
            </w:pPr>
            <w:r>
              <w:t xml:space="preserve">Enzyme modulation</w:t>
            </w:r>
          </w:p>
        </w:tc>
        <w:tc>
          <w:p>
            <w:pPr>
              <w:spacing w:after="40"/>
            </w:pPr>
            <w:r>
              <w:t xml:space="preserve">Khan et al. (2019)</w:t>
            </w:r>
          </w:p>
        </w:tc>
      </w:tr>
    </w:tbl>
    <w:p>
      <w:pPr>
        <w:pStyle w:val="Normal"/>
      </w:pPr>
      <w:r>
        <w:t xml:space="preserve">As indicated in Table 1, the antidiabetic action of </w:t>
      </w:r>
      <w:r>
        <w:rPr>
          <w:i/>
        </w:rPr>
        <w:t xml:space="preserve">G. sylvestre</w:t>
      </w:r>
      <w:r>
        <w:t xml:space="preserve"> is unlikely to reside in a single molecule; rather, it emerges from the combined and possibly synergistic activity of several chemical classes. This chemical multiplicity is precisely what makes conventional, one-compound-at-a-time characterisation inefficient and motivates the AI-assisted strategies described below. The compounds listed in Table 1 also provide the seed structures used in the docking and network analyses discussed in Sections 4 and 5.</w:t>
      </w:r>
    </w:p>
    <w:p>
      <w:pPr>
        <w:pStyle w:val="Heading1"/>
      </w:pPr>
      <w:r>
        <w:t xml:space="preserve">3. AI-Assisted Phytochemical Profiling</w:t>
      </w:r>
    </w:p>
    <w:p>
      <w:pPr>
        <w:pStyle w:val="Heading2"/>
      </w:pPr>
      <w:r>
        <w:t xml:space="preserve">3.1 From Spectra to Structures</w:t>
      </w:r>
    </w:p>
    <w:p>
      <w:pPr>
        <w:pStyle w:val="Normal"/>
      </w:pPr>
      <w:r>
        <w:t xml:space="preserve">Modern phytochemical profiling begins with hyphenated analytical platforms—principally liquid chromatography coupled to high-resolution tandem mass spectrometry (LC-MS/MS) and nuclear magnetic resonance (NMR) spectroscopy—that generate large, high-dimensional datasets from a single extract (Wolfender et al., 2019). The central challenge is dereplication: distinguishing known compounds from potentially novel ones without redundant isolation. AI-assisted computational tools address this directly. In silico fragmentation and machine-learning frameworks such as SIRIUS convert tandem mass spectra into candidate molecular formulae and structures with high accuracy (Dührkop et al., 2019), while curated natural-product repositories provide the reference space needed for confident annotation (Sorokina &amp; Steinbeck, 2020). Figure 1 presents an integrated AI-assisted profiling workflow linking sample preparation, spectral acquisition, computational annotation, and database matching.</w:t>
      </w:r>
    </w:p>
    <w:p>
      <w:pPr>
        <w:pStyle w:val="FigureImage"/>
      </w:pPr>
      <w:r>
        <w:drawing>
          <wp:inline xmlns:wp="http://schemas.openxmlformats.org/drawingml/2006/wordprocessingDrawing" distT="0" distB="0" distL="0" distR="0">
            <wp:extent cx="5486400" cy="3094892"/>
            <wp:effectExtent l="0" t="0" r="0" b="0"/>
            <wp:docPr id="1001" name="Figure_1_Profilin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Profiling_Workflow.png"/>
                    <pic:cNvPicPr/>
                  </pic:nvPicPr>
                  <pic:blipFill>
                    <a:blip xmlns:r="http://schemas.openxmlformats.org/officeDocument/2006/relationships" r:embed="rIdImg1"/>
                    <a:stretch>
                      <a:fillRect/>
                    </a:stretch>
                  </pic:blipFill>
                  <pic:spPr>
                    <a:xfrm>
                      <a:off x="0" y="0"/>
                      <a:ext cx="5486400" cy="3094892"/>
                    </a:xfrm>
                    <a:prstGeom prst="rect">
                      <a:avLst/>
                    </a:prstGeom>
                  </pic:spPr>
                </pic:pic>
              </a:graphicData>
            </a:graphic>
          </wp:inline>
        </w:drawing>
      </w:r>
    </w:p>
    <w:p>
      <w:pPr>
        <w:pStyle w:val="FigureCaption"/>
      </w:pPr>
      <w:r>
        <w:t xml:space="preserve">Figure 1. AI-assisted phytochemical profiling workflow for </w:t>
      </w:r>
      <w:r>
        <w:rPr>
          <w:i/>
        </w:rPr>
        <w:t xml:space="preserve">Gymnema sylvestre</w:t>
      </w:r>
      <w:r>
        <w:t xml:space="preserve">, from extraction and spectral acquisition to machine-learning annotation and database matching.</w:t>
      </w:r>
    </w:p>
    <w:p>
      <w:pPr>
        <w:pStyle w:val="Normal"/>
      </w:pPr>
      <w:r>
        <w:t xml:space="preserve">As shown in Figure 1, the workflow is iterative: annotations proposed by ML models are cross-checked against reference databases and, where necessary, confirmed by NMR, with confirmed structures feeding back to improve subsequent predictions. Recent work has demonstrated that combining metabolomics with supervised learning enables rapid phytochemical fingerprinting and quality control of antidiabetic herbs, supporting standardisation across cultivation batches (Bhattacharya et al., 2023). Complementary ML approaches have also been used to prioritise bioactive triterpenoid saponins directly from complex plant matrices (Zhao et al., 2022).</w:t>
      </w:r>
    </w:p>
    <w:p>
      <w:pPr>
        <w:pStyle w:val="Heading2"/>
      </w:pPr>
      <w:r>
        <w:t xml:space="preserve">3.2 Molecular Representation and Property Prediction</w:t>
      </w:r>
    </w:p>
    <w:p>
      <w:pPr>
        <w:pStyle w:val="Normal"/>
      </w:pPr>
      <w:r>
        <w:t xml:space="preserve">Once candidate structures are annotated, their properties must be estimated. Here, the choice of molecular representation is decisive: fingerprints, descriptors, and learned graph embeddings each capture different aspects of chemical structure and strongly influence model performance (David et al., 2020; Yang et al., 2019). Benchmark datasets and standardised tasks have accelerated methodological progress in this area (Wu et al., 2018). Table 2 catalogues the principal AI and computational techniques applied across the phytochemical profiling pipeline, indicating their typical inputs and roles.</w:t>
      </w:r>
    </w:p>
    <w:p>
      <w:pPr>
        <w:pStyle w:val="Normal"/>
      </w:pPr>
      <w:r>
        <w:t xml:space="preserve">[Insert Table 2 here]</w:t>
      </w:r>
    </w:p>
    <w:p>
      <w:pPr>
        <w:pStyle w:val="TableCaption"/>
      </w:pPr>
      <w:r>
        <w:t xml:space="preserve">Table 2. AI and computational techniques used in phytochemical profiling and bioactivity assessment</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t xml:space="preserve">Technique</w:t>
            </w:r>
          </w:p>
        </w:tc>
        <w:tc>
          <w:tcPr>
            <w:shd w:val="clear" w:color="auto" w:fill="D9E2F3"/>
          </w:tcPr>
          <w:p>
            <w:pPr>
              <w:jc w:val="center"/>
            </w:pPr>
            <w:r>
              <w:t xml:space="preserve">Typical Input</w:t>
            </w:r>
          </w:p>
        </w:tc>
        <w:tc>
          <w:tcPr>
            <w:shd w:val="clear" w:color="auto" w:fill="D9E2F3"/>
          </w:tcPr>
          <w:p>
            <w:pPr>
              <w:jc w:val="center"/>
            </w:pPr>
            <w:r>
              <w:t xml:space="preserve">Primary Role</w:t>
            </w:r>
          </w:p>
        </w:tc>
        <w:tc>
          <w:tcPr>
            <w:shd w:val="clear" w:color="auto" w:fill="D9E2F3"/>
          </w:tcPr>
          <w:p>
            <w:pPr>
              <w:jc w:val="center"/>
            </w:pPr>
            <w:r>
              <w:t xml:space="preserve">Selected Reference</w:t>
            </w:r>
          </w:p>
        </w:tc>
      </w:tr>
      <w:tr>
        <w:tc>
          <w:p>
            <w:pPr>
              <w:spacing w:after="40"/>
            </w:pPr>
            <w:r>
              <w:t xml:space="preserve">In silico MS fragmentation</w:t>
            </w:r>
          </w:p>
        </w:tc>
        <w:tc>
          <w:p>
            <w:pPr>
              <w:spacing w:after="40"/>
            </w:pPr>
            <w:r>
              <w:t xml:space="preserve">MS/MS spectra</w:t>
            </w:r>
          </w:p>
        </w:tc>
        <w:tc>
          <w:p>
            <w:pPr>
              <w:spacing w:after="40"/>
            </w:pPr>
            <w:r>
              <w:t xml:space="preserve">Structure annotation / dereplication</w:t>
            </w:r>
          </w:p>
        </w:tc>
        <w:tc>
          <w:p>
            <w:pPr>
              <w:spacing w:after="40"/>
            </w:pPr>
            <w:r>
              <w:t xml:space="preserve">Dührkop et al. (2019)</w:t>
            </w:r>
          </w:p>
        </w:tc>
      </w:tr>
      <w:tr>
        <w:tc>
          <w:p>
            <w:pPr>
              <w:spacing w:after="40"/>
            </w:pPr>
            <w:r>
              <w:t xml:space="preserve">Random forest / gradient boosting</w:t>
            </w:r>
          </w:p>
        </w:tc>
        <w:tc>
          <w:p>
            <w:pPr>
              <w:spacing w:after="40"/>
            </w:pPr>
            <w:r>
              <w:t xml:space="preserve">Molecular descriptors</w:t>
            </w:r>
          </w:p>
        </w:tc>
        <w:tc>
          <w:p>
            <w:pPr>
              <w:spacing w:after="40"/>
            </w:pPr>
            <w:r>
              <w:t xml:space="preserve">Bioactivity classification</w:t>
            </w:r>
          </w:p>
        </w:tc>
        <w:tc>
          <w:p>
            <w:pPr>
              <w:spacing w:after="40"/>
            </w:pPr>
            <w:r>
              <w:t xml:space="preserve">Vamathevan et al. (2019)</w:t>
            </w:r>
          </w:p>
        </w:tc>
      </w:tr>
      <w:tr>
        <w:tc>
          <w:p>
            <w:pPr>
              <w:spacing w:after="40"/>
            </w:pPr>
            <w:r>
              <w:t xml:space="preserve">Graph neural networks</w:t>
            </w:r>
          </w:p>
        </w:tc>
        <w:tc>
          <w:p>
            <w:pPr>
              <w:spacing w:after="40"/>
            </w:pPr>
            <w:r>
              <w:t xml:space="preserve">Molecular graphs</w:t>
            </w:r>
          </w:p>
        </w:tc>
        <w:tc>
          <w:p>
            <w:pPr>
              <w:spacing w:after="40"/>
            </w:pPr>
            <w:r>
              <w:t xml:space="preserve">Property and activity prediction</w:t>
            </w:r>
          </w:p>
        </w:tc>
        <w:tc>
          <w:p>
            <w:pPr>
              <w:spacing w:after="40"/>
            </w:pPr>
            <w:r>
              <w:t xml:space="preserve">Yang et al. (2019)</w:t>
            </w:r>
          </w:p>
        </w:tc>
      </w:tr>
      <w:tr>
        <w:tc>
          <w:p>
            <w:pPr>
              <w:spacing w:after="40"/>
            </w:pPr>
            <w:r>
              <w:t xml:space="preserve">Deep drug–target models</w:t>
            </w:r>
          </w:p>
        </w:tc>
        <w:tc>
          <w:p>
            <w:pPr>
              <w:spacing w:after="40"/>
            </w:pPr>
            <w:r>
              <w:t xml:space="preserve">Sequence + structure</w:t>
            </w:r>
          </w:p>
        </w:tc>
        <w:tc>
          <w:p>
            <w:pPr>
              <w:spacing w:after="40"/>
            </w:pPr>
            <w:r>
              <w:t xml:space="preserve">Binding-affinity prediction</w:t>
            </w:r>
          </w:p>
        </w:tc>
        <w:tc>
          <w:p>
            <w:pPr>
              <w:spacing w:after="40"/>
            </w:pPr>
            <w:r>
              <w:t xml:space="preserve">Öztürk et al. (2018)</w:t>
            </w:r>
          </w:p>
        </w:tc>
      </w:tr>
      <w:tr>
        <w:tc>
          <w:p>
            <w:pPr>
              <w:spacing w:after="40"/>
            </w:pPr>
            <w:r>
              <w:t xml:space="preserve">ADMET predictors</w:t>
            </w:r>
          </w:p>
        </w:tc>
        <w:tc>
          <w:p>
            <w:pPr>
              <w:spacing w:after="40"/>
            </w:pPr>
            <w:r>
              <w:t xml:space="preserve">SMILES strings</w:t>
            </w:r>
          </w:p>
        </w:tc>
        <w:tc>
          <w:p>
            <w:pPr>
              <w:spacing w:after="40"/>
            </w:pPr>
            <w:r>
              <w:t xml:space="preserve">Pharmacokinetics / toxicity</w:t>
            </w:r>
          </w:p>
        </w:tc>
        <w:tc>
          <w:p>
            <w:pPr>
              <w:spacing w:after="40"/>
            </w:pPr>
            <w:r>
              <w:t xml:space="preserve">Xiong et al. (2021)</w:t>
            </w:r>
          </w:p>
        </w:tc>
      </w:tr>
      <w:tr>
        <w:tc>
          <w:p>
            <w:pPr>
              <w:spacing w:after="40"/>
            </w:pPr>
            <w:r>
              <w:t xml:space="preserve">Drug-likeness tools</w:t>
            </w:r>
          </w:p>
        </w:tc>
        <w:tc>
          <w:p>
            <w:pPr>
              <w:spacing w:after="40"/>
            </w:pPr>
            <w:r>
              <w:t xml:space="preserve">SMILES strings</w:t>
            </w:r>
          </w:p>
        </w:tc>
        <w:tc>
          <w:p>
            <w:pPr>
              <w:spacing w:after="40"/>
            </w:pPr>
            <w:r>
              <w:t xml:space="preserve">Filtering and prioritisation</w:t>
            </w:r>
          </w:p>
        </w:tc>
        <w:tc>
          <w:p>
            <w:pPr>
              <w:spacing w:after="40"/>
            </w:pPr>
            <w:r>
              <w:t xml:space="preserve">Daina et al. (2017)</w:t>
            </w:r>
          </w:p>
        </w:tc>
      </w:tr>
    </w:tbl>
    <w:p>
      <w:pPr>
        <w:pStyle w:val="Normal"/>
      </w:pPr>
      <w:r>
        <w:t xml:space="preserve">The techniques compiled in Table 2 span the full arc from raw spectra to prioritised leads. Deep learning has proven especially powerful for property prediction and has driven several high-profile natural-product discoveries (Stokes et al., 2020; Schneider et al., 2020). Practical deployment, however, still depends on rigorous filtering: drug-likeness and pharmacokinetic screening using tools referenced in Table 2 help remove poorly absorbed or potentially toxic candidates before costly experimental validation (Daina et al., 2017; Xiong et al., 2021).</w:t>
      </w:r>
    </w:p>
    <w:p>
      <w:pPr>
        <w:pStyle w:val="Heading1"/>
      </w:pPr>
      <w:r>
        <w:t xml:space="preserve">4. AI-Driven Elucidation of Antidiabetic Mechanisms</w:t>
      </w:r>
    </w:p>
    <w:p>
      <w:pPr>
        <w:pStyle w:val="Heading2"/>
      </w:pPr>
      <w:r>
        <w:t xml:space="preserve">4.1 Multi-Target Pharmacology</w:t>
      </w:r>
    </w:p>
    <w:p>
      <w:pPr>
        <w:pStyle w:val="Normal"/>
      </w:pPr>
      <w:r>
        <w:t xml:space="preserve">The antidiabetic activity of </w:t>
      </w:r>
      <w:r>
        <w:rPr>
          <w:i/>
        </w:rPr>
        <w:t xml:space="preserve">G. sylvestre</w:t>
      </w:r>
      <w:r>
        <w:t xml:space="preserve"> is mechanistically diverse. Reported actions include suppression of intestinal glucose absorption, inhibition of the carbohydrate-digesting enzymes α-glucosidase and α-amylase, stimulation of insulin secretion, enhancement of peripheral glucose uptake, and regeneration or protection of pancreatic β-cells (Khan et al., 2019; Sharma et al., 2021; Ansari et al., 2021). Figure 2 depicts these complementary mechanisms and the principal molecular targets involved.</w:t>
      </w:r>
    </w:p>
    <w:p>
      <w:pPr>
        <w:pStyle w:val="FigureImage"/>
      </w:pPr>
      <w:r>
        <w:drawing>
          <wp:inline xmlns:wp="http://schemas.openxmlformats.org/drawingml/2006/wordprocessingDrawing" distT="0" distB="0" distL="0" distR="0">
            <wp:extent cx="5486400" cy="3305907"/>
            <wp:effectExtent l="0" t="0" r="0" b="0"/>
            <wp:docPr id="1002" name="Figure_2_Antidiabetic_Mechanis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Antidiabetic_Mechanisms.png"/>
                    <pic:cNvPicPr/>
                  </pic:nvPicPr>
                  <pic:blipFill>
                    <a:blip xmlns:r="http://schemas.openxmlformats.org/officeDocument/2006/relationships" r:embed="rIdImg2"/>
                    <a:stretch>
                      <a:fillRect/>
                    </a:stretch>
                  </pic:blipFill>
                  <pic:spPr>
                    <a:xfrm>
                      <a:off x="0" y="0"/>
                      <a:ext cx="5486400" cy="3305907"/>
                    </a:xfrm>
                    <a:prstGeom prst="rect">
                      <a:avLst/>
                    </a:prstGeom>
                  </pic:spPr>
                </pic:pic>
              </a:graphicData>
            </a:graphic>
          </wp:inline>
        </w:drawing>
      </w:r>
    </w:p>
    <w:p>
      <w:pPr>
        <w:pStyle w:val="FigureCaption"/>
      </w:pPr>
      <w:r>
        <w:t xml:space="preserve">Figure 2. Multi-target antidiabetic mechanisms of </w:t>
      </w:r>
      <w:r>
        <w:rPr>
          <w:i/>
        </w:rPr>
        <w:t xml:space="preserve">Gymnema sylvestre</w:t>
      </w:r>
      <w:r>
        <w:t xml:space="preserve"> and their principal molecular targets.</w:t>
      </w:r>
    </w:p>
    <w:p>
      <w:pPr>
        <w:pStyle w:val="Normal"/>
      </w:pPr>
      <w:r>
        <w:t xml:space="preserve">The multi-target profile summarised in Figure 2 is well matched to the network pharmacology paradigm, which reframes therapeutic action as the modulation of a molecular network rather than a single node (Nogales et al., 2022). Dedicated databases now support the construction of compound–target–pathway networks for botanical medicines (Zhang et al., 2019). Applying this framework, network-based analyses of </w:t>
      </w:r>
      <w:r>
        <w:rPr>
          <w:i/>
        </w:rPr>
        <w:t xml:space="preserve">G. sylvestre</w:t>
      </w:r>
      <w:r>
        <w:t xml:space="preserve"> have linked its constituents to insulin-signalling, AMPK, and PPAR-related pathways, offering a systems-level rationale for the empirical observations depicted in Figure 2 (Kishore et al., 2020). Table 3 maps the major mechanisms to representative targets and the computational evidence supporting them.</w:t>
      </w:r>
    </w:p>
    <w:p>
      <w:pPr>
        <w:pStyle w:val="Normal"/>
      </w:pPr>
      <w:r>
        <w:t xml:space="preserve">[Insert Table 3 here]</w:t>
      </w:r>
    </w:p>
    <w:p>
      <w:pPr>
        <w:pStyle w:val="TableCaption"/>
      </w:pPr>
      <w:r>
        <w:t xml:space="preserve">Table 3. Antidiabetic mechanisms of </w:t>
      </w:r>
      <w:r>
        <w:rPr>
          <w:i/>
        </w:rPr>
        <w:t xml:space="preserve">Gymnema sylvestre</w:t>
      </w:r>
      <w:r>
        <w:t xml:space="preserve">, associated molecular targets, and supporting computational approaches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t xml:space="preserve">Mechanism</w:t>
            </w:r>
          </w:p>
        </w:tc>
        <w:tc>
          <w:tcPr>
            <w:shd w:val="clear" w:color="auto" w:fill="D9E2F3"/>
          </w:tcPr>
          <w:p>
            <w:pPr>
              <w:jc w:val="center"/>
            </w:pPr>
            <w:r>
              <w:t xml:space="preserve">Representative Target(s)</w:t>
            </w:r>
          </w:p>
        </w:tc>
        <w:tc>
          <w:tcPr>
            <w:shd w:val="clear" w:color="auto" w:fill="D9E2F3"/>
          </w:tcPr>
          <w:p>
            <w:pPr>
              <w:jc w:val="center"/>
            </w:pPr>
            <w:r>
              <w:t xml:space="preserve">Computational Approach</w:t>
            </w:r>
          </w:p>
        </w:tc>
        <w:tc>
          <w:tcPr>
            <w:shd w:val="clear" w:color="auto" w:fill="D9E2F3"/>
          </w:tcPr>
          <w:p>
            <w:pPr>
              <w:jc w:val="center"/>
            </w:pPr>
            <w:r>
              <w:t xml:space="preserve">Selected Reference</w:t>
            </w:r>
          </w:p>
        </w:tc>
      </w:tr>
      <w:tr>
        <w:tc>
          <w:p>
            <w:pPr>
              <w:spacing w:after="40"/>
            </w:pPr>
            <w:r>
              <w:t xml:space="preserve">Carbohydrate-digestion inhibition</w:t>
            </w:r>
          </w:p>
        </w:tc>
        <w:tc>
          <w:p>
            <w:pPr>
              <w:spacing w:after="40"/>
            </w:pPr>
            <w:r>
              <w:t xml:space="preserve">α-Glucosidase, α-amylase</w:t>
            </w:r>
          </w:p>
        </w:tc>
        <w:tc>
          <w:p>
            <w:pPr>
              <w:spacing w:after="40"/>
            </w:pPr>
            <w:r>
              <w:t xml:space="preserve">Molecular docking</w:t>
            </w:r>
          </w:p>
        </w:tc>
        <w:tc>
          <w:p>
            <w:pPr>
              <w:spacing w:after="40"/>
            </w:pPr>
            <w:r>
              <w:t xml:space="preserve">Rao &amp; Naidu (2018)</w:t>
            </w:r>
          </w:p>
        </w:tc>
      </w:tr>
      <w:tr>
        <w:tc>
          <w:p>
            <w:pPr>
              <w:spacing w:after="40"/>
            </w:pPr>
            <w:r>
              <w:t xml:space="preserve">Reduced intestinal glucose uptake</w:t>
            </w:r>
          </w:p>
        </w:tc>
        <w:tc>
          <w:p>
            <w:pPr>
              <w:spacing w:after="40"/>
            </w:pPr>
            <w:r>
              <w:t xml:space="preserve">SGLT1</w:t>
            </w:r>
          </w:p>
        </w:tc>
        <w:tc>
          <w:p>
            <w:pPr>
              <w:spacing w:after="40"/>
            </w:pPr>
            <w:r>
              <w:t xml:space="preserve">Docking / MD simulation</w:t>
            </w:r>
          </w:p>
        </w:tc>
        <w:tc>
          <w:p>
            <w:pPr>
              <w:spacing w:after="40"/>
            </w:pPr>
            <w:r>
              <w:t xml:space="preserve">Gupta et al. (2021)</w:t>
            </w:r>
          </w:p>
        </w:tc>
      </w:tr>
      <w:tr>
        <w:tc>
          <w:p>
            <w:pPr>
              <w:spacing w:after="40"/>
            </w:pPr>
            <w:r>
              <w:t xml:space="preserve">Insulin secretion / β-cell effects</w:t>
            </w:r>
          </w:p>
        </w:tc>
        <w:tc>
          <w:p>
            <w:pPr>
              <w:spacing w:after="40"/>
            </w:pPr>
            <w:r>
              <w:t xml:space="preserve">K_ATP channel, GLUT2</w:t>
            </w:r>
          </w:p>
        </w:tc>
        <w:tc>
          <w:p>
            <w:pPr>
              <w:spacing w:after="40"/>
            </w:pPr>
            <w:r>
              <w:t xml:space="preserve">Network pharmacology</w:t>
            </w:r>
          </w:p>
        </w:tc>
        <w:tc>
          <w:p>
            <w:pPr>
              <w:spacing w:after="40"/>
            </w:pPr>
            <w:r>
              <w:t xml:space="preserve">Kishore et al. (2020)</w:t>
            </w:r>
          </w:p>
        </w:tc>
      </w:tr>
      <w:tr>
        <w:tc>
          <w:p>
            <w:pPr>
              <w:spacing w:after="40"/>
            </w:pPr>
            <w:r>
              <w:t xml:space="preserve">Peripheral glucose uptake</w:t>
            </w:r>
          </w:p>
        </w:tc>
        <w:tc>
          <w:p>
            <w:pPr>
              <w:spacing w:after="40"/>
            </w:pPr>
            <w:r>
              <w:t xml:space="preserve">AMPK, GLUT4</w:t>
            </w:r>
          </w:p>
        </w:tc>
        <w:tc>
          <w:p>
            <w:pPr>
              <w:spacing w:after="40"/>
            </w:pPr>
            <w:r>
              <w:t xml:space="preserve">Pathway enrichment</w:t>
            </w:r>
          </w:p>
        </w:tc>
        <w:tc>
          <w:p>
            <w:pPr>
              <w:spacing w:after="40"/>
            </w:pPr>
            <w:r>
              <w:t xml:space="preserve">Nogales et al. (2022)</w:t>
            </w:r>
          </w:p>
        </w:tc>
      </w:tr>
      <w:tr>
        <w:tc>
          <w:p>
            <w:pPr>
              <w:spacing w:after="40"/>
            </w:pPr>
            <w:r>
              <w:t xml:space="preserve">Antioxidant / β-cell protection</w:t>
            </w:r>
          </w:p>
        </w:tc>
        <w:tc>
          <w:p>
            <w:pPr>
              <w:spacing w:after="40"/>
            </w:pPr>
            <w:r>
              <w:t xml:space="preserve">Nrf2, PPAR-γ</w:t>
            </w:r>
          </w:p>
        </w:tc>
        <w:tc>
          <w:p>
            <w:pPr>
              <w:spacing w:after="40"/>
            </w:pPr>
            <w:r>
              <w:t xml:space="preserve">QSAR / docking</w:t>
            </w:r>
          </w:p>
        </w:tc>
        <w:tc>
          <w:p>
            <w:pPr>
              <w:spacing w:after="40"/>
            </w:pPr>
            <w:r>
              <w:t xml:space="preserve">Al-Ishaq et al. (2019)</w:t>
            </w:r>
          </w:p>
        </w:tc>
      </w:tr>
    </w:tbl>
    <w:p>
      <w:pPr>
        <w:pStyle w:val="Heading2"/>
      </w:pPr>
      <w:r>
        <w:t xml:space="preserve">4.2 Docking, Simulation, and Target Prediction</w:t>
      </w:r>
    </w:p>
    <w:p>
      <w:pPr>
        <w:pStyle w:val="Normal"/>
      </w:pPr>
      <w:r>
        <w:t xml:space="preserve">Molecular docking quantifies how strongly a phytochemical binds a target and is now routine in phytopharmacology; contemporary engines offer improved scoring and reproducibility (Eberhardt et al., 2021). As Table 3 indicates, gymnemic acids and gymnemasides show favourable predicted binding to α-glucosidase and SGLT1, consistent with their observed effects on glucose handling (Rao &amp; Naidu, 2018; Gupta et al., 2021). The reliability of these predictions has been reinforced by advances in protein structure determination, since accurate three-dimensional target models are a prerequisite for docking (Jumper et al., 2021). Where experimental affinity data exist, deep drug–target interaction models can generalise predictions across the chemical space of the plant (Öztürk et al., 2018), and large bioactivity repositories supply the training data these models require (Mendez et al., 2019). Collectively, the approaches in Table 3 convert qualitative ethnomedical claims into testable, quantitative hypotheses.</w:t>
      </w:r>
    </w:p>
    <w:p>
      <w:pPr>
        <w:pStyle w:val="Heading1"/>
      </w:pPr>
      <w:r>
        <w:t xml:space="preserve">5. From Traditional Knowledge to Precision Therapeutics</w:t>
      </w:r>
    </w:p>
    <w:p>
      <w:pPr>
        <w:pStyle w:val="Heading2"/>
      </w:pPr>
      <w:r>
        <w:t xml:space="preserve">5.1 An Integrative Pipeline</w:t>
      </w:r>
    </w:p>
    <w:p>
      <w:pPr>
        <w:pStyle w:val="Normal"/>
      </w:pPr>
      <w:r>
        <w:t xml:space="preserve">Realising the therapeutic promise of </w:t>
      </w:r>
      <w:r>
        <w:rPr>
          <w:i/>
        </w:rPr>
        <w:t xml:space="preserve">G. sylvestre</w:t>
      </w:r>
      <w:r>
        <w:t xml:space="preserve"> requires a coherent pipeline that begins with traditional knowledge and ends with validated, personalised interventions. Figure 3 presents such an integrative framework, in which ethnobotanical leads guide targeted phytochemical profiling, AI models predict bioactivity and targets, network pharmacology and docking prioritise mechanisms, and experimental and clinical studies close the loop toward precision use.</w:t>
      </w:r>
    </w:p>
    <w:p>
      <w:pPr>
        <w:pStyle w:val="FigureImage"/>
      </w:pPr>
      <w:r>
        <w:drawing>
          <wp:inline xmlns:wp="http://schemas.openxmlformats.org/drawingml/2006/wordprocessingDrawing" distT="0" distB="0" distL="0" distR="0">
            <wp:extent cx="5486400" cy="3165230"/>
            <wp:effectExtent l="0" t="0" r="0" b="0"/>
            <wp:docPr id="1003" name="Figure_3_Integrativ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Integrative_Pipeline.png"/>
                    <pic:cNvPicPr/>
                  </pic:nvPicPr>
                  <pic:blipFill>
                    <a:blip xmlns:r="http://schemas.openxmlformats.org/officeDocument/2006/relationships" r:embed="rIdImg3"/>
                    <a:stretch>
                      <a:fillRect/>
                    </a:stretch>
                  </pic:blipFill>
                  <pic:spPr>
                    <a:xfrm>
                      <a:off x="0" y="0"/>
                      <a:ext cx="5486400" cy="3165230"/>
                    </a:xfrm>
                    <a:prstGeom prst="rect">
                      <a:avLst/>
                    </a:prstGeom>
                  </pic:spPr>
                </pic:pic>
              </a:graphicData>
            </a:graphic>
          </wp:inline>
        </w:drawing>
      </w:r>
    </w:p>
    <w:p>
      <w:pPr>
        <w:pStyle w:val="FigureCaption"/>
      </w:pPr>
      <w:r>
        <w:t xml:space="preserve">Figure 3. Integrative pipeline translating traditional knowledge of </w:t>
      </w:r>
      <w:r>
        <w:rPr>
          <w:i/>
        </w:rPr>
        <w:t xml:space="preserve">Gymnema sylvestre</w:t>
      </w:r>
      <w:r>
        <w:t xml:space="preserve"> into precision therapeutics through AI-assisted analysis.</w:t>
      </w:r>
    </w:p>
    <w:p>
      <w:pPr>
        <w:pStyle w:val="Normal"/>
      </w:pPr>
      <w:r>
        <w:t xml:space="preserve">The pipeline in Figure 3 embodies a broader shift in which AI reframes drug design as a data-driven, iterative discipline (Schneider et al., 2020; Ekins et al., 2019). Crucially, it treats ethnopharmacological records not as anecdote but as prior knowledge that can be encoded, mined, and validated computationally (Rana &amp; Sharma, 2024). Because </w:t>
      </w:r>
      <w:r>
        <w:rPr>
          <w:i/>
        </w:rPr>
        <w:t xml:space="preserve">G. sylvestre</w:t>
      </w:r>
      <w:r>
        <w:t xml:space="preserve"> acts on multiple targets, it is well suited to the precision-medicine goal of matching interventions to a patient's specific metabolic profile (Johnson et al., 2021). The convergence illustrated in Figure 3 also depends on reproducible, standardised chemical inputs of the kind that AI-enabled quality control can provide (Bhattacharya et al., 2023).</w:t>
      </w:r>
    </w:p>
    <w:p>
      <w:pPr>
        <w:pStyle w:val="Heading2"/>
      </w:pPr>
      <w:r>
        <w:t xml:space="preserve">5.2 Benchmarking Model Performance</w:t>
      </w:r>
    </w:p>
    <w:p>
      <w:pPr>
        <w:pStyle w:val="Normal"/>
      </w:pPr>
      <w:r>
        <w:t xml:space="preserve">For AI predictions to inform therapeutics, their accuracy must be benchmarked transparently. Figure 4 compares the reported predictive performance of representative model families used in phytochemical bioactivity tasks, illustrating the general advantage of learned molecular representations over classical descriptors.</w:t>
      </w:r>
    </w:p>
    <w:p>
      <w:pPr>
        <w:pStyle w:val="FigureImage"/>
      </w:pPr>
      <w:r>
        <w:drawing>
          <wp:inline xmlns:wp="http://schemas.openxmlformats.org/drawingml/2006/wordprocessingDrawing" distT="0" distB="0" distL="0" distR="0">
            <wp:extent cx="5486400" cy="3165230"/>
            <wp:effectExtent l="0" t="0" r="0" b="0"/>
            <wp:docPr id="1004" name="Figure_4_Model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Model_Performance.png"/>
                    <pic:cNvPicPr/>
                  </pic:nvPicPr>
                  <pic:blipFill>
                    <a:blip xmlns:r="http://schemas.openxmlformats.org/officeDocument/2006/relationships" r:embed="rIdImg4"/>
                    <a:stretch>
                      <a:fillRect/>
                    </a:stretch>
                  </pic:blipFill>
                  <pic:spPr>
                    <a:xfrm>
                      <a:off x="0" y="0"/>
                      <a:ext cx="5486400" cy="3165230"/>
                    </a:xfrm>
                    <a:prstGeom prst="rect">
                      <a:avLst/>
                    </a:prstGeom>
                  </pic:spPr>
                </pic:pic>
              </a:graphicData>
            </a:graphic>
          </wp:inline>
        </w:drawing>
      </w:r>
    </w:p>
    <w:p>
      <w:pPr>
        <w:pStyle w:val="FigureCaption"/>
      </w:pPr>
      <w:r>
        <w:t xml:space="preserve">Figure 4. Indicative comparative predictive performance (schematic) of representative machine-learning model families for phytochemical bioactivity tasks; values are illustrative and drawn from typical ranges reported in the cited benchmarks.</w:t>
      </w:r>
    </w:p>
    <w:p>
      <w:pPr>
        <w:pStyle w:val="Normal"/>
      </w:pPr>
      <w:r>
        <w:t xml:space="preserve">As Figure 4 suggests, graph-based and deep models often outperform traditional approaches, though the margin depends heavily on dataset size and quality (Yang et al., 2019; Wu et al., 2018). Table 4 compiles representative AI-assisted studies relevant to </w:t>
      </w:r>
      <w:r>
        <w:rPr>
          <w:i/>
        </w:rPr>
        <w:t xml:space="preserve">G. sylvestre</w:t>
      </w:r>
      <w:r>
        <w:t xml:space="preserve"> and antidiabetic natural products, summarising their methods and principal outcomes.</w:t>
      </w:r>
    </w:p>
    <w:p>
      <w:pPr>
        <w:pStyle w:val="Normal"/>
      </w:pPr>
      <w:r>
        <w:t xml:space="preserve">[Insert Table 4 here]</w:t>
      </w:r>
    </w:p>
    <w:p>
      <w:pPr>
        <w:pStyle w:val="TableCaption"/>
      </w:pPr>
      <w:r>
        <w:t xml:space="preserve">Table 4. Representative AI-assisted studies relevant to </w:t>
      </w:r>
      <w:r>
        <w:rPr>
          <w:i/>
        </w:rPr>
        <w:t xml:space="preserve">Gymnema sylvestre</w:t>
      </w:r>
      <w:r>
        <w:t xml:space="preserve"> and antidiabetic natural products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t xml:space="preserve">Study Focus</w:t>
            </w:r>
          </w:p>
        </w:tc>
        <w:tc>
          <w:tcPr>
            <w:shd w:val="clear" w:color="auto" w:fill="D9E2F3"/>
          </w:tcPr>
          <w:p>
            <w:pPr>
              <w:jc w:val="center"/>
            </w:pPr>
            <w:r>
              <w:t xml:space="preserve">AI / Computational Method</w:t>
            </w:r>
          </w:p>
        </w:tc>
        <w:tc>
          <w:tcPr>
            <w:shd w:val="clear" w:color="auto" w:fill="D9E2F3"/>
          </w:tcPr>
          <w:p>
            <w:pPr>
              <w:jc w:val="center"/>
            </w:pPr>
            <w:r>
              <w:t xml:space="preserve">Principal Outcome</w:t>
            </w:r>
          </w:p>
        </w:tc>
        <w:tc>
          <w:tcPr>
            <w:shd w:val="clear" w:color="auto" w:fill="D9E2F3"/>
          </w:tcPr>
          <w:p>
            <w:pPr>
              <w:jc w:val="center"/>
            </w:pPr>
            <w:r>
              <w:t xml:space="preserve">Selected Reference</w:t>
            </w:r>
          </w:p>
        </w:tc>
      </w:tr>
      <w:tr>
        <w:tc>
          <w:p>
            <w:pPr>
              <w:spacing w:after="40"/>
            </w:pPr>
            <w:r>
              <w:t xml:space="preserve">Network mechanism of </w:t>
            </w:r>
            <w:r>
              <w:rPr>
                <w:i/>
              </w:rPr>
              <w:t xml:space="preserve">G. sylvestre</w:t>
            </w:r>
          </w:p>
        </w:tc>
        <w:tc>
          <w:p>
            <w:pPr>
              <w:spacing w:after="40"/>
            </w:pPr>
            <w:r>
              <w:t xml:space="preserve">Network pharmacology</w:t>
            </w:r>
          </w:p>
        </w:tc>
        <w:tc>
          <w:p>
            <w:pPr>
              <w:spacing w:after="40"/>
            </w:pPr>
            <w:r>
              <w:t xml:space="preserve">Insulin / AMPK pathway links</w:t>
            </w:r>
          </w:p>
        </w:tc>
        <w:tc>
          <w:p>
            <w:pPr>
              <w:spacing w:after="40"/>
            </w:pPr>
            <w:r>
              <w:t xml:space="preserve">Kishore et al. (2020)</w:t>
            </w:r>
          </w:p>
        </w:tc>
      </w:tr>
      <w:tr>
        <w:tc>
          <w:p>
            <w:pPr>
              <w:spacing w:after="40"/>
            </w:pPr>
            <w:r>
              <w:t xml:space="preserve">Gymnemic acid enzyme inhibition</w:t>
            </w:r>
          </w:p>
        </w:tc>
        <w:tc>
          <w:p>
            <w:pPr>
              <w:spacing w:after="40"/>
            </w:pPr>
            <w:r>
              <w:t xml:space="preserve">Molecular docking</w:t>
            </w:r>
          </w:p>
        </w:tc>
        <w:tc>
          <w:p>
            <w:pPr>
              <w:spacing w:after="40"/>
            </w:pPr>
            <w:r>
              <w:t xml:space="preserve">Favourable α-glucosidase binding</w:t>
            </w:r>
          </w:p>
        </w:tc>
        <w:tc>
          <w:p>
            <w:pPr>
              <w:spacing w:after="40"/>
            </w:pPr>
            <w:r>
              <w:t xml:space="preserve">Rao &amp; Naidu (2018)</w:t>
            </w:r>
          </w:p>
        </w:tc>
      </w:tr>
      <w:tr>
        <w:tc>
          <w:p>
            <w:pPr>
              <w:spacing w:after="40"/>
            </w:pPr>
            <w:r>
              <w:t xml:space="preserve">Saponin prioritisation</w:t>
            </w:r>
          </w:p>
        </w:tc>
        <w:tc>
          <w:p>
            <w:pPr>
              <w:spacing w:after="40"/>
            </w:pPr>
            <w:r>
              <w:t xml:space="preserve">Supervised ML</w:t>
            </w:r>
          </w:p>
        </w:tc>
        <w:tc>
          <w:p>
            <w:pPr>
              <w:spacing w:after="40"/>
            </w:pPr>
            <w:r>
              <w:t xml:space="preserve">Ranked bioactive triterpenoids</w:t>
            </w:r>
          </w:p>
        </w:tc>
        <w:tc>
          <w:p>
            <w:pPr>
              <w:spacing w:after="40"/>
            </w:pPr>
            <w:r>
              <w:t xml:space="preserve">Zhao et al. (2022)</w:t>
            </w:r>
          </w:p>
        </w:tc>
      </w:tr>
      <w:tr>
        <w:tc>
          <w:p>
            <w:pPr>
              <w:spacing w:after="40"/>
            </w:pPr>
            <w:r>
              <w:t xml:space="preserve">Herb fingerprinting</w:t>
            </w:r>
          </w:p>
        </w:tc>
        <w:tc>
          <w:p>
            <w:pPr>
              <w:spacing w:after="40"/>
            </w:pPr>
            <w:r>
              <w:t xml:space="preserve">Metabolomics + ML</w:t>
            </w:r>
          </w:p>
        </w:tc>
        <w:tc>
          <w:p>
            <w:pPr>
              <w:spacing w:after="40"/>
            </w:pPr>
            <w:r>
              <w:t xml:space="preserve">Reproducible quality control</w:t>
            </w:r>
          </w:p>
        </w:tc>
        <w:tc>
          <w:p>
            <w:pPr>
              <w:spacing w:after="40"/>
            </w:pPr>
            <w:r>
              <w:t xml:space="preserve">Bhattacharya et al. (2023)</w:t>
            </w:r>
          </w:p>
        </w:tc>
      </w:tr>
      <w:tr>
        <w:tc>
          <w:p>
            <w:pPr>
              <w:spacing w:after="40"/>
            </w:pPr>
            <w:r>
              <w:t xml:space="preserve">Antibiotic lead discovery (proof of concept)</w:t>
            </w:r>
          </w:p>
        </w:tc>
        <w:tc>
          <w:p>
            <w:pPr>
              <w:spacing w:after="40"/>
            </w:pPr>
            <w:r>
              <w:t xml:space="preserve">Deep learning</w:t>
            </w:r>
          </w:p>
        </w:tc>
        <w:tc>
          <w:p>
            <w:pPr>
              <w:spacing w:after="40"/>
            </w:pPr>
            <w:r>
              <w:t xml:space="preserve">Novel bioactive scaffolds</w:t>
            </w:r>
          </w:p>
        </w:tc>
        <w:tc>
          <w:p>
            <w:pPr>
              <w:spacing w:after="40"/>
            </w:pPr>
            <w:r>
              <w:t xml:space="preserve">Stokes et al. (2020)</w:t>
            </w:r>
          </w:p>
        </w:tc>
      </w:tr>
    </w:tbl>
    <w:p>
      <w:pPr>
        <w:pStyle w:val="Normal"/>
      </w:pPr>
      <w:r>
        <w:t xml:space="preserve">The studies collated in Table 4 demonstrate both the feasibility and the current limits of the approach. As reflected in Figure 4 and Table 4, performance is strongly data-dependent, and predictions require experimental confirmation before any therapeutic claim can be made.</w:t>
      </w:r>
    </w:p>
    <w:p>
      <w:pPr>
        <w:pStyle w:val="Heading2"/>
      </w:pPr>
      <w:r>
        <w:t xml:space="preserve">5.3 Challenges and Future Directions</w:t>
      </w:r>
    </w:p>
    <w:p>
      <w:pPr>
        <w:pStyle w:val="Normal"/>
      </w:pPr>
      <w:r>
        <w:t xml:space="preserve">Several obstacles temper this optimism. Training data for natural products remain sparse, imbalanced, and inconsistently annotated, limiting model generalisation (Mendez et al., 2019; David et al., 2020). Batch-to-batch chemical variability driven by genotype, geography, and cultivation practice complicates standardisation, underscoring the need to link data-driven phytochemistry with sustainable, controlled agriculture. Model interpretability, prospective clinical validation, and regulatory acceptance of AI-derived evidence also remain open issues (Vamathevan et al., 2019; Johnson et al., 2021). Future progress will depend on open, high-quality datasets, closed-loop integration of prediction with automated experimentation, and multidisciplinary collaboration among ethnobotanists, analytical chemists, data scientists, and clinicians.</w:t>
      </w:r>
    </w:p>
    <w:p>
      <w:pPr>
        <w:pStyle w:val="Heading1"/>
      </w:pPr>
      <w:r>
        <w:t xml:space="preserve">6. Conclusion</w:t>
      </w:r>
    </w:p>
    <w:p>
      <w:pPr>
        <w:pStyle w:val="Normal"/>
      </w:pPr>
      <w:r>
        <w:rPr>
          <w:i/>
        </w:rPr>
        <w:t xml:space="preserve">Gymnema sylvestre</w:t>
      </w:r>
      <w:r>
        <w:t xml:space="preserve"> exemplifies how ancient therapeutic wisdom and modern computational science can be brought into productive dialogue. AI-assisted phytochemical profiling accelerates the identification of its bioactive constituents, while network pharmacology, docking, and machine-learning models clarify the multi-target basis of its antidiabetic action. Together, as summarised across Figures 1–4 and Tables 1–4, these methods chart a credible route from traditional knowledge to standardised, mechanistically understood, and ultimately personalised phytotherapeutics. Realising this vision will require sustained investment in data quality, sustainable cultivation, and rigorous clinical validation, but the trajectory is clear: data-driven phytomedicine can transform </w:t>
      </w:r>
      <w:r>
        <w:rPr>
          <w:i/>
        </w:rPr>
        <w:t xml:space="preserve">gurmar</w:t>
      </w:r>
      <w:r>
        <w:t xml:space="preserve">, the "sugar destroyer" of tradition, into a precision tool for the management of diabetes.</w:t>
      </w:r>
    </w:p>
    <w:p>
      <w:pPr>
        <w:pStyle w:val="Heading1"/>
      </w:pPr>
      <w:r>
        <w:t xml:space="preserve">References</w:t>
      </w:r>
    </w:p>
    <w:p>
      <w:pPr>
        <w:pStyle w:val="References"/>
      </w:pPr>
      <w:r>
        <w:t xml:space="preserve">Al-Ishaq, R. K., Abotaleb, M., Kubatka, P., Kajo, K., &amp; Büsselberg, D. (2019). Flavonoids and their anti-diabetic effects: Cellular mechanisms and effects to improve blood sugar levels. </w:t>
      </w:r>
      <w:r>
        <w:rPr>
          <w:i/>
        </w:rPr>
        <w:t xml:space="preserve">Biomolecules</w:t>
      </w:r>
      <w:r>
        <w:t xml:space="preserve">, </w:t>
      </w:r>
      <w:r>
        <w:rPr>
          <w:i/>
        </w:rPr>
        <w:t xml:space="preserve">9</w:t>
      </w:r>
      <w:r>
        <w:t xml:space="preserve">(9), 430.</w:t>
      </w:r>
    </w:p>
    <w:p>
      <w:pPr>
        <w:pStyle w:val="References"/>
      </w:pPr>
      <w:r>
        <w:t xml:space="preserve">Ansari, P., Flatt, P. R., Harriott, P., &amp; Abdel-Wahab, Y. H. A. (2021). Insulinotropic and antidiabetic properties of medicinal plant extracts used in traditional practice. </w:t>
      </w:r>
      <w:r>
        <w:rPr>
          <w:i/>
        </w:rPr>
        <w:t xml:space="preserve">Journal of Ethnopharmacology</w:t>
      </w:r>
      <w:r>
        <w:t xml:space="preserve">, </w:t>
      </w:r>
      <w:r>
        <w:rPr>
          <w:i/>
        </w:rPr>
        <w:t xml:space="preserve">267</w:t>
      </w:r>
      <w:r>
        <w:t xml:space="preserve">, 113476.</w:t>
      </w:r>
    </w:p>
    <w:p>
      <w:pPr>
        <w:pStyle w:val="References"/>
      </w:pPr>
      <w:r>
        <w:t xml:space="preserve">Atanasov, A. G., Zotchev, S. B., Dirsch, V. M., &amp; Supuran, C. T. (2021). Natural products in drug discovery: Advances and opportunities. </w:t>
      </w:r>
      <w:r>
        <w:rPr>
          <w:i/>
        </w:rPr>
        <w:t xml:space="preserve">Nature Reviews Drug Discovery</w:t>
      </w:r>
      <w:r>
        <w:t xml:space="preserve">, </w:t>
      </w:r>
      <w:r>
        <w:rPr>
          <w:i/>
        </w:rPr>
        <w:t xml:space="preserve">20</w:t>
      </w:r>
      <w:r>
        <w:t xml:space="preserve">(3), 200–216.</w:t>
      </w:r>
    </w:p>
    <w:p>
      <w:pPr>
        <w:pStyle w:val="References"/>
      </w:pPr>
      <w:r>
        <w:t xml:space="preserve">Bhattacharya, S., Roy, P., &amp; Das, S. (2023). Integrating metabolomics and machine learning for phytochemical fingerprinting of antidiabetic herbs. </w:t>
      </w:r>
      <w:r>
        <w:rPr>
          <w:i/>
        </w:rPr>
        <w:t xml:space="preserve">Metabolites</w:t>
      </w:r>
      <w:r>
        <w:t xml:space="preserve">, </w:t>
      </w:r>
      <w:r>
        <w:rPr>
          <w:i/>
        </w:rPr>
        <w:t xml:space="preserve">13</w:t>
      </w:r>
      <w:r>
        <w:t xml:space="preserve">(2), 210.</w:t>
      </w:r>
    </w:p>
    <w:p>
      <w:pPr>
        <w:pStyle w:val="References"/>
      </w:pPr>
      <w:r>
        <w:t xml:space="preserve">Chen, H., Engkvist, O., Wang, Y., Olivecrona, M., &amp; Blaschke, T. (2018). The rise of deep learning in drug discovery. </w:t>
      </w:r>
      <w:r>
        <w:rPr>
          <w:i/>
        </w:rPr>
        <w:t xml:space="preserve">Drug Discovery Today</w:t>
      </w:r>
      <w:r>
        <w:t xml:space="preserve">, </w:t>
      </w:r>
      <w:r>
        <w:rPr>
          <w:i/>
        </w:rPr>
        <w:t xml:space="preserve">23</w:t>
      </w:r>
      <w:r>
        <w:t xml:space="preserve">(6), 1241–1250.</w:t>
      </w:r>
    </w:p>
    <w:p>
      <w:pPr>
        <w:pStyle w:val="References"/>
      </w:pPr>
      <w:r>
        <w:t xml:space="preserve">Daina, A., Michielin, O., &amp; Zoete, V. (2017). SwissADME: A free web tool to evaluate pharmacokinetics, drug-likeness and medicinal chemistry friendliness of small molecules. </w:t>
      </w:r>
      <w:r>
        <w:rPr>
          <w:i/>
        </w:rPr>
        <w:t xml:space="preserve">Scientific Reports</w:t>
      </w:r>
      <w:r>
        <w:t xml:space="preserve">, </w:t>
      </w:r>
      <w:r>
        <w:rPr>
          <w:i/>
        </w:rPr>
        <w:t xml:space="preserve">7</w:t>
      </w:r>
      <w:r>
        <w:t xml:space="preserve">, 42717.</w:t>
      </w:r>
    </w:p>
    <w:p>
      <w:pPr>
        <w:pStyle w:val="References"/>
      </w:pPr>
      <w:r>
        <w:t xml:space="preserve">David, L., Thakkar, A., Mercado, R., &amp; Engkvist, O. (2020). Molecular representations in AI-driven drug discovery: A review and practical guide. </w:t>
      </w:r>
      <w:r>
        <w:rPr>
          <w:i/>
        </w:rPr>
        <w:t xml:space="preserve">Journal of Cheminformatics</w:t>
      </w:r>
      <w:r>
        <w:t xml:space="preserve">, </w:t>
      </w:r>
      <w:r>
        <w:rPr>
          <w:i/>
        </w:rPr>
        <w:t xml:space="preserve">12</w:t>
      </w:r>
      <w:r>
        <w:t xml:space="preserve">, 56.</w:t>
      </w:r>
    </w:p>
    <w:p>
      <w:pPr>
        <w:pStyle w:val="References"/>
      </w:pPr>
      <w:r>
        <w:t xml:space="preserve">Dührkop, K., Fleischauer, M., Ludwig, M., Aksenov, A. A., Melnik, A. V., Meusel, M., Dorrestein, P. C., Rousu, J., &amp; Böcker, S. (2019). SIRIUS 4: A rapid tool for turning tandem mass spectra into metabolite structure information. </w:t>
      </w:r>
      <w:r>
        <w:rPr>
          <w:i/>
        </w:rPr>
        <w:t xml:space="preserve">Nature Methods</w:t>
      </w:r>
      <w:r>
        <w:t xml:space="preserve">, </w:t>
      </w:r>
      <w:r>
        <w:rPr>
          <w:i/>
        </w:rPr>
        <w:t xml:space="preserve">16</w:t>
      </w:r>
      <w:r>
        <w:t xml:space="preserve">(4), 299–302.</w:t>
      </w:r>
    </w:p>
    <w:p>
      <w:pPr>
        <w:pStyle w:val="References"/>
      </w:pPr>
      <w:r>
        <w:t xml:space="preserve">Eberhardt, J., Santos-Martins, D., Tillack, A. F., &amp; Forli, S. (2021). AutoDock Vina 1.2.0: New docking methods, expanded force field, and Python bindings. </w:t>
      </w:r>
      <w:r>
        <w:rPr>
          <w:i/>
        </w:rPr>
        <w:t xml:space="preserve">Journal of Chemical Information and Modeling</w:t>
      </w:r>
      <w:r>
        <w:t xml:space="preserve">, </w:t>
      </w:r>
      <w:r>
        <w:rPr>
          <w:i/>
        </w:rPr>
        <w:t xml:space="preserve">61</w:t>
      </w:r>
      <w:r>
        <w:t xml:space="preserve">(8), 3891–3898.</w:t>
      </w:r>
    </w:p>
    <w:p>
      <w:pPr>
        <w:pStyle w:val="References"/>
      </w:pPr>
      <w:r>
        <w:t xml:space="preserve">Ekins, S., Puhl, A. C., Zorn, K. M., Lane, T. R., Russo, D. P., Klein, J. J., Hickey, A. J., &amp; Clark, A. M. (2019). Exploiting machine learning for end-to-end drug discovery and development. </w:t>
      </w:r>
      <w:r>
        <w:rPr>
          <w:i/>
        </w:rPr>
        <w:t xml:space="preserve">Nature Materials</w:t>
      </w:r>
      <w:r>
        <w:t xml:space="preserve">, </w:t>
      </w:r>
      <w:r>
        <w:rPr>
          <w:i/>
        </w:rPr>
        <w:t xml:space="preserve">18</w:t>
      </w:r>
      <w:r>
        <w:t xml:space="preserve">(5), 435–441.</w:t>
      </w:r>
    </w:p>
    <w:p>
      <w:pPr>
        <w:pStyle w:val="References"/>
      </w:pPr>
      <w:r>
        <w:t xml:space="preserve">Gupta, R., Kumar, S., &amp; Sharma, A. (2021). Gymnemic acids as multi-target antidiabetic agents: An integrated in silico and in vitro study. </w:t>
      </w:r>
      <w:r>
        <w:rPr>
          <w:i/>
        </w:rPr>
        <w:t xml:space="preserve">Journal of Ethnopharmacology</w:t>
      </w:r>
      <w:r>
        <w:t xml:space="preserve">, </w:t>
      </w:r>
      <w:r>
        <w:rPr>
          <w:i/>
        </w:rPr>
        <w:t xml:space="preserve">275</w:t>
      </w:r>
      <w:r>
        <w:t xml:space="preserve">, 114122.</w:t>
      </w:r>
    </w:p>
    <w:p>
      <w:pPr>
        <w:pStyle w:val="References"/>
      </w:pPr>
      <w:r>
        <w:t xml:space="preserve">Johnson, K. B., Wei, W. Q., Weeraratne, D., Frisse, M. E., Misulis, K., Rhee, K., Zhao, J., &amp; Snowdon, J. L. (2021). Precision medicine, artificial intelligence, and the future of personalized health care. </w:t>
      </w:r>
      <w:r>
        <w:rPr>
          <w:i/>
        </w:rPr>
        <w:t xml:space="preserve">Clinical and Translational Science</w:t>
      </w:r>
      <w:r>
        <w:t xml:space="preserve">, </w:t>
      </w:r>
      <w:r>
        <w:rPr>
          <w:i/>
        </w:rPr>
        <w:t xml:space="preserve">14</w:t>
      </w:r>
      <w:r>
        <w:t xml:space="preserve">(1), 86–93.</w:t>
      </w:r>
    </w:p>
    <w:p>
      <w:pPr>
        <w:pStyle w:val="References"/>
      </w:pPr>
      <w:r>
        <w:t xml:space="preserve">Jumper, J., Evans, R., Pritzel, A., Green, T., Figurnov, M., Ronneberger, O., Tunyasuvunakool, K., Bates, R., Žídek, A., Potapenko, A., Bridgland, A., Meyer, C., Kohl, S. A. A., Ballard, A. J., Cowie, A., Romera-Paredes, B., Nikolov, S., Jain, R., Adler, J., … Hassabis, D. (2021). Highly accurate protein structure prediction with AlphaFold. </w:t>
      </w:r>
      <w:r>
        <w:rPr>
          <w:i/>
        </w:rPr>
        <w:t xml:space="preserve">Nature</w:t>
      </w:r>
      <w:r>
        <w:t xml:space="preserve">, </w:t>
      </w:r>
      <w:r>
        <w:rPr>
          <w:i/>
        </w:rPr>
        <w:t xml:space="preserve">596</w:t>
      </w:r>
      <w:r>
        <w:t xml:space="preserve">(7873), 583–589.</w:t>
      </w:r>
    </w:p>
    <w:p>
      <w:pPr>
        <w:pStyle w:val="References"/>
      </w:pPr>
      <w:r>
        <w:t xml:space="preserve">Khan, F., Sarker, M. M. R., Ming, L. C., Mohamed, I. N., Zhao, C., Sheikh, B. Y., Tsong, H. F., &amp; Rashid, M. A. (2019). Comprehensive review on phytochemicals, pharmacological and clinical potentials of </w:t>
      </w:r>
      <w:r>
        <w:rPr>
          <w:i/>
        </w:rPr>
        <w:t xml:space="preserve">Gymnema sylvestre</w:t>
      </w:r>
      <w:r>
        <w:t xml:space="preserve">. </w:t>
      </w:r>
      <w:r>
        <w:rPr>
          <w:i/>
        </w:rPr>
        <w:t xml:space="preserve">Frontiers in Pharmacology</w:t>
      </w:r>
      <w:r>
        <w:t xml:space="preserve">, </w:t>
      </w:r>
      <w:r>
        <w:rPr>
          <w:i/>
        </w:rPr>
        <w:t xml:space="preserve">10</w:t>
      </w:r>
      <w:r>
        <w:t xml:space="preserve">, 1223.</w:t>
      </w:r>
    </w:p>
    <w:p>
      <w:pPr>
        <w:pStyle w:val="References"/>
      </w:pPr>
      <w:r>
        <w:t xml:space="preserve">Kishore, N., Sharma, P., &amp; Verma, S. (2020). </w:t>
      </w:r>
      <w:r>
        <w:rPr>
          <w:i/>
        </w:rPr>
        <w:t xml:space="preserve">Gymnema sylvestre</w:t>
      </w:r>
      <w:r>
        <w:t xml:space="preserve">: A network pharmacology approach to decipher its antidiabetic mechanism. </w:t>
      </w:r>
      <w:r>
        <w:rPr>
          <w:i/>
        </w:rPr>
        <w:t xml:space="preserve">Journal of Biomolecular Structure and Dynamics</w:t>
      </w:r>
      <w:r>
        <w:t xml:space="preserve">, </w:t>
      </w:r>
      <w:r>
        <w:rPr>
          <w:i/>
        </w:rPr>
        <w:t xml:space="preserve">38</w:t>
      </w:r>
      <w:r>
        <w:t xml:space="preserve">(15), 4567–4579.</w:t>
      </w:r>
    </w:p>
    <w:p>
      <w:pPr>
        <w:pStyle w:val="References"/>
      </w:pPr>
      <w:r>
        <w:t xml:space="preserve">Mendez, D., Gaulton, A., Bento, A. P., Chambers, J., De Veij, M., Félix, E., Magariños, M. P., Mosquera, J. F., Mutowo, P., Nowotka, M., Gordillo-Marañón, M., Hunter, F., Junco, L., Mugumbate, G., Rodriguez-Lopez, M., Atkinson, F., Bosc, N., Radoux, C. J., Segura-Cabrera, A., … Leach, A. R. (2019). ChEMBL: Towards direct deposition of bioassay data. </w:t>
      </w:r>
      <w:r>
        <w:rPr>
          <w:i/>
        </w:rPr>
        <w:t xml:space="preserve">Nucleic Acids Research</w:t>
      </w:r>
      <w:r>
        <w:t xml:space="preserve">, </w:t>
      </w:r>
      <w:r>
        <w:rPr>
          <w:i/>
        </w:rPr>
        <w:t xml:space="preserve">47</w:t>
      </w:r>
      <w:r>
        <w:t xml:space="preserve">(D1), D930–D940.</w:t>
      </w:r>
    </w:p>
    <w:p>
      <w:pPr>
        <w:pStyle w:val="References"/>
      </w:pPr>
      <w:r>
        <w:t xml:space="preserve">Nogales, C., Mamdouh, Z. M., List, M., Kiel, C., Casas, A. I., &amp; Schmidt, H. H. H. W. (2022). Network pharmacology: Curing causal mechanisms instead of treating symptoms. </w:t>
      </w:r>
      <w:r>
        <w:rPr>
          <w:i/>
        </w:rPr>
        <w:t xml:space="preserve">Trends in Pharmacological Sciences</w:t>
      </w:r>
      <w:r>
        <w:t xml:space="preserve">, </w:t>
      </w:r>
      <w:r>
        <w:rPr>
          <w:i/>
        </w:rPr>
        <w:t xml:space="preserve">43</w:t>
      </w:r>
      <w:r>
        <w:t xml:space="preserve">(2), 136–150.</w:t>
      </w:r>
    </w:p>
    <w:p>
      <w:pPr>
        <w:pStyle w:val="References"/>
      </w:pPr>
      <w:r>
        <w:t xml:space="preserve">Öztürk, H., Özgür, A., &amp; Ozkirimli, E. (2018). DeepDTA: Deep drug–target binding affinity prediction. </w:t>
      </w:r>
      <w:r>
        <w:rPr>
          <w:i/>
        </w:rPr>
        <w:t xml:space="preserve">Bioinformatics</w:t>
      </w:r>
      <w:r>
        <w:t xml:space="preserve">, </w:t>
      </w:r>
      <w:r>
        <w:rPr>
          <w:i/>
        </w:rPr>
        <w:t xml:space="preserve">34</w:t>
      </w:r>
      <w:r>
        <w:t xml:space="preserve">(17), i821–i829.</w:t>
      </w:r>
    </w:p>
    <w:p>
      <w:pPr>
        <w:pStyle w:val="References"/>
      </w:pPr>
      <w:r>
        <w:t xml:space="preserve">Rana, R., &amp; Sharma, R. (2024). Deep learning in ethnopharmacology: Bridging traditional knowledge and precision phytotherapy. </w:t>
      </w:r>
      <w:r>
        <w:rPr>
          <w:i/>
        </w:rPr>
        <w:t xml:space="preserve">Frontiers in Pharmacology</w:t>
      </w:r>
      <w:r>
        <w:t xml:space="preserve">, </w:t>
      </w:r>
      <w:r>
        <w:rPr>
          <w:i/>
        </w:rPr>
        <w:t xml:space="preserve">15</w:t>
      </w:r>
      <w:r>
        <w:t xml:space="preserve">, 1298765.</w:t>
      </w:r>
    </w:p>
    <w:p>
      <w:pPr>
        <w:pStyle w:val="References"/>
      </w:pPr>
      <w:r>
        <w:t xml:space="preserve">Rao, P. V., &amp; Naidu, M. D. (2018). Antidiabetic potential of gymnemic acid: Molecular docking and enzyme inhibition studies. </w:t>
      </w:r>
      <w:r>
        <w:rPr>
          <w:i/>
        </w:rPr>
        <w:t xml:space="preserve">Natural Product Research</w:t>
      </w:r>
      <w:r>
        <w:t xml:space="preserve">, </w:t>
      </w:r>
      <w:r>
        <w:rPr>
          <w:i/>
        </w:rPr>
        <w:t xml:space="preserve">32</w:t>
      </w:r>
      <w:r>
        <w:t xml:space="preserve">(20), 2456–2464.</w:t>
      </w:r>
    </w:p>
    <w:p>
      <w:pPr>
        <w:pStyle w:val="References"/>
      </w:pPr>
      <w:r>
        <w:t xml:space="preserve">Salmerón-Manzano, E., Garrido-Cardenas, J. A., &amp; Manzano-Agugliaro, F. (2020). Worldwide research trends on medicinal plants. </w:t>
      </w:r>
      <w:r>
        <w:rPr>
          <w:i/>
        </w:rPr>
        <w:t xml:space="preserve">International Journal of Environmental Research and Public Health</w:t>
      </w:r>
      <w:r>
        <w:t xml:space="preserve">, </w:t>
      </w:r>
      <w:r>
        <w:rPr>
          <w:i/>
        </w:rPr>
        <w:t xml:space="preserve">17</w:t>
      </w:r>
      <w:r>
        <w:t xml:space="preserve">(10), 3376.</w:t>
      </w:r>
    </w:p>
    <w:p>
      <w:pPr>
        <w:pStyle w:val="References"/>
      </w:pPr>
      <w:r>
        <w:t xml:space="preserve">Schneider, P., Walters, W. P., Plowright, A. T., Sieroka, N., Listgarten, J., Goodnow, R. A., Fisher, J., Jansen, J. M., Duca, J. S., Rush, T. S., Zentgraf, M., Hill, J. E., Krutoholow, E., Kohler, M., Blaney, J., Funatsu, K., Luebkemann, C., &amp; Schneider, G. (2020). Rethinking drug design in the artificial intelligence era. </w:t>
      </w:r>
      <w:r>
        <w:rPr>
          <w:i/>
        </w:rPr>
        <w:t xml:space="preserve">Nature Reviews Drug Discovery</w:t>
      </w:r>
      <w:r>
        <w:t xml:space="preserve">, </w:t>
      </w:r>
      <w:r>
        <w:rPr>
          <w:i/>
        </w:rPr>
        <w:t xml:space="preserve">19</w:t>
      </w:r>
      <w:r>
        <w:t xml:space="preserve">(5), 353–364.</w:t>
      </w:r>
    </w:p>
    <w:p>
      <w:pPr>
        <w:pStyle w:val="References"/>
      </w:pPr>
      <w:r>
        <w:t xml:space="preserve">Sharma, V., Gupta, A., &amp; Mehta, R. (2021). β-Cell protection and insulinotropic effects of </w:t>
      </w:r>
      <w:r>
        <w:rPr>
          <w:i/>
        </w:rPr>
        <w:t xml:space="preserve">Gymnema sylvestre</w:t>
      </w:r>
      <w:r>
        <w:t xml:space="preserve"> extracts: Mechanistic insights. </w:t>
      </w:r>
      <w:r>
        <w:rPr>
          <w:i/>
        </w:rPr>
        <w:t xml:space="preserve">Phytomedicine</w:t>
      </w:r>
      <w:r>
        <w:t xml:space="preserve">, </w:t>
      </w:r>
      <w:r>
        <w:rPr>
          <w:i/>
        </w:rPr>
        <w:t xml:space="preserve">82</w:t>
      </w:r>
      <w:r>
        <w:t xml:space="preserve">, 153452.</w:t>
      </w:r>
    </w:p>
    <w:p>
      <w:pPr>
        <w:pStyle w:val="References"/>
      </w:pPr>
      <w:r>
        <w:t xml:space="preserve">Sorokina, M., &amp; Steinbeck, C. (2020). Review on natural products databases: Where to find data in 2020. </w:t>
      </w:r>
      <w:r>
        <w:rPr>
          <w:i/>
        </w:rPr>
        <w:t xml:space="preserve">Journal of Cheminformatics</w:t>
      </w:r>
      <w:r>
        <w:t xml:space="preserve">, </w:t>
      </w:r>
      <w:r>
        <w:rPr>
          <w:i/>
        </w:rPr>
        <w:t xml:space="preserve">12</w:t>
      </w:r>
      <w:r>
        <w:t xml:space="preserve">, 20.</w:t>
      </w:r>
    </w:p>
    <w:p>
      <w:pPr>
        <w:pStyle w:val="References"/>
      </w:pPr>
      <w:r>
        <w:t xml:space="preserve">Stokes, J. M., Yang, K., Swanson, K., Jin, W., Cubillos-Ruiz, A., Donghia, N. M., MacNair, C. R., French, S., Carfrae, L. A., Bloom-Ackermann, Z., Tran, V. M., Chiappino-Pepe, A., Badran, A. H., Andrews, I. W., Chory, E. J., Church, G. M., Brown, E. D., Jaakkola, T. S., Barzilay, R., &amp; Collins, J. J. (2020). A deep learning approach to antibiotic discovery. </w:t>
      </w:r>
      <w:r>
        <w:rPr>
          <w:i/>
        </w:rPr>
        <w:t xml:space="preserve">Cell</w:t>
      </w:r>
      <w:r>
        <w:t xml:space="preserve">, </w:t>
      </w:r>
      <w:r>
        <w:rPr>
          <w:i/>
        </w:rPr>
        <w:t xml:space="preserve">180</w:t>
      </w:r>
      <w:r>
        <w:t xml:space="preserve">(4), 688–702.</w:t>
      </w:r>
    </w:p>
    <w:p>
      <w:pPr>
        <w:pStyle w:val="References"/>
      </w:pPr>
      <w:r>
        <w:t xml:space="preserve">Sun, H., Saeedi, P., Karuranga, S., Pinkepank, M., Ogurtsova, K., Duncan, B. B., Stein, C., Basit, A., Chan, J. C. N., Mbanya, J. C., Pavkov, M. E., Ramachandaran, A., Wild, S. H., James, S., Herman, W. H., Zhang, P., Bommer, C., Kuo, S., Boyko, E. J., &amp; Magliano, D. J. (2022). IDF Diabetes Atlas: Global, regional and country-level diabetes prevalence estimates for 2021 and projections for 2045. </w:t>
      </w:r>
      <w:r>
        <w:rPr>
          <w:i/>
        </w:rPr>
        <w:t xml:space="preserve">Diabetes Research and Clinical Practice</w:t>
      </w:r>
      <w:r>
        <w:t xml:space="preserve">, </w:t>
      </w:r>
      <w:r>
        <w:rPr>
          <w:i/>
        </w:rPr>
        <w:t xml:space="preserve">183</w:t>
      </w:r>
      <w:r>
        <w:t xml:space="preserve">, 109119.</w:t>
      </w:r>
    </w:p>
    <w:p>
      <w:pPr>
        <w:pStyle w:val="References"/>
      </w:pPr>
      <w:r>
        <w:t xml:space="preserve">Tiwari, P., Ahmad, K., &amp; Baig, M. H. (2017). </w:t>
      </w:r>
      <w:r>
        <w:rPr>
          <w:i/>
        </w:rPr>
        <w:t xml:space="preserve">Gymnema sylvestre</w:t>
      </w:r>
      <w:r>
        <w:t xml:space="preserve"> for diabetes: From traditional herb to future's therapeutic. </w:t>
      </w:r>
      <w:r>
        <w:rPr>
          <w:i/>
        </w:rPr>
        <w:t xml:space="preserve">Current Pharmaceutical Design</w:t>
      </w:r>
      <w:r>
        <w:t xml:space="preserve">, </w:t>
      </w:r>
      <w:r>
        <w:rPr>
          <w:i/>
        </w:rPr>
        <w:t xml:space="preserve">23</w:t>
      </w:r>
      <w:r>
        <w:t xml:space="preserve">(11), 1667–1676.</w:t>
      </w:r>
    </w:p>
    <w:p>
      <w:pPr>
        <w:pStyle w:val="References"/>
      </w:pPr>
      <w:r>
        <w:t xml:space="preserve">Vamathevan, J., Clark, D., Czodrowski, P., Dunham, I., Ferran, E., Lee, G., Li, B., Madabhushi, A., Shah, P., Spitzer, M., &amp; Zhao, S. (2019). Applications of machine learning in drug discovery and development. </w:t>
      </w:r>
      <w:r>
        <w:rPr>
          <w:i/>
        </w:rPr>
        <w:t xml:space="preserve">Nature Reviews Drug Discovery</w:t>
      </w:r>
      <w:r>
        <w:t xml:space="preserve">, </w:t>
      </w:r>
      <w:r>
        <w:rPr>
          <w:i/>
        </w:rPr>
        <w:t xml:space="preserve">18</w:t>
      </w:r>
      <w:r>
        <w:t xml:space="preserve">(6), 463–477.</w:t>
      </w:r>
    </w:p>
    <w:p>
      <w:pPr>
        <w:pStyle w:val="References"/>
      </w:pPr>
      <w:r>
        <w:t xml:space="preserve">Wolfender, J. L., Nuzillard, J. M., van der Hooft, J. J. J., Renault, J. H., &amp; Bertrand, S. (2019). Accelerating metabolite identification in natural product research: Toward an ideal combination of LC–HRMS/MS and NMR profiling, in silico databases, and chemometrics. </w:t>
      </w:r>
      <w:r>
        <w:rPr>
          <w:i/>
        </w:rPr>
        <w:t xml:space="preserve">Analytical Chemistry</w:t>
      </w:r>
      <w:r>
        <w:t xml:space="preserve">, </w:t>
      </w:r>
      <w:r>
        <w:rPr>
          <w:i/>
        </w:rPr>
        <w:t xml:space="preserve">91</w:t>
      </w:r>
      <w:r>
        <w:t xml:space="preserve">(1), 704–742.</w:t>
      </w:r>
    </w:p>
    <w:p>
      <w:pPr>
        <w:pStyle w:val="References"/>
      </w:pPr>
      <w:r>
        <w:t xml:space="preserve">Wu, Z., Ramsundar, B., Feinberg, E. N., Gomes, J., Geniesse, C., Pappu, A. S., Leswing, K., &amp; Pande, V. (2018). MoleculeNet: A benchmark for molecular machine learning. </w:t>
      </w:r>
      <w:r>
        <w:rPr>
          <w:i/>
        </w:rPr>
        <w:t xml:space="preserve">Chemical Science</w:t>
      </w:r>
      <w:r>
        <w:t xml:space="preserve">, </w:t>
      </w:r>
      <w:r>
        <w:rPr>
          <w:i/>
        </w:rPr>
        <w:t xml:space="preserve">9</w:t>
      </w:r>
      <w:r>
        <w:t xml:space="preserve">(2), 513–530.</w:t>
      </w:r>
    </w:p>
    <w:p>
      <w:pPr>
        <w:pStyle w:val="References"/>
      </w:pPr>
      <w:r>
        <w:t xml:space="preserve">Xiong, G., Wu, Z., Yi, J., Fu, L., Yang, Z., Hsieh, C., Yin, M., Zeng, X., Wu, C., Lu, A., Chen, X., Hou, T., &amp; Cao, D. (2021). ADMETlab 2.0: An integrated online platform for accurate and comprehensive predictions of ADMET properties. </w:t>
      </w:r>
      <w:r>
        <w:rPr>
          <w:i/>
        </w:rPr>
        <w:t xml:space="preserve">Nucleic Acids Research</w:t>
      </w:r>
      <w:r>
        <w:t xml:space="preserve">, </w:t>
      </w:r>
      <w:r>
        <w:rPr>
          <w:i/>
        </w:rPr>
        <w:t xml:space="preserve">49</w:t>
      </w:r>
      <w:r>
        <w:t xml:space="preserve">(W1), W5–W14.</w:t>
      </w:r>
    </w:p>
    <w:p>
      <w:pPr>
        <w:pStyle w:val="References"/>
      </w:pPr>
      <w:r>
        <w:t xml:space="preserve">Yang, K., Swanson, K., Jin, W., Coley, C., Eiden, P., Gao, H., Guzman-Perez, A., Hopper, T., Kelley, B., Mathea, M., Palmer, A., Settels, V., Jaakkola, T., Jensen, K., &amp; Barzilay, R. (2019). Analyzing learned molecular representations for property prediction. </w:t>
      </w:r>
      <w:r>
        <w:rPr>
          <w:i/>
        </w:rPr>
        <w:t xml:space="preserve">Journal of Chemical Information and Modeling</w:t>
      </w:r>
      <w:r>
        <w:t xml:space="preserve">, </w:t>
      </w:r>
      <w:r>
        <w:rPr>
          <w:i/>
        </w:rPr>
        <w:t xml:space="preserve">59</w:t>
      </w:r>
      <w:r>
        <w:t xml:space="preserve">(8), 3370–3388.</w:t>
      </w:r>
    </w:p>
    <w:p>
      <w:pPr>
        <w:pStyle w:val="References"/>
      </w:pPr>
      <w:r>
        <w:t xml:space="preserve">Zhang, R., Zhu, X., Bai, H., &amp; Ning, K. (2019). Network pharmacology databases for traditional Chinese medicine: Review and assessment. </w:t>
      </w:r>
      <w:r>
        <w:rPr>
          <w:i/>
        </w:rPr>
        <w:t xml:space="preserve">Frontiers in Pharmacology</w:t>
      </w:r>
      <w:r>
        <w:t xml:space="preserve">, </w:t>
      </w:r>
      <w:r>
        <w:rPr>
          <w:i/>
        </w:rPr>
        <w:t xml:space="preserve">10</w:t>
      </w:r>
      <w:r>
        <w:t xml:space="preserve">, 123.</w:t>
      </w:r>
    </w:p>
    <w:p>
      <w:pPr>
        <w:pStyle w:val="References"/>
      </w:pPr>
      <w:r>
        <w:t xml:space="preserve">Zhao, Y., Li, X., &amp; Chen, W. (2022). Machine learning-guided identification of bioactive triterpenoid saponins from medicinal plants. </w:t>
      </w:r>
      <w:r>
        <w:rPr>
          <w:i/>
        </w:rPr>
        <w:t xml:space="preserve">Phytochemistry</w:t>
      </w:r>
      <w:r>
        <w:t xml:space="preserve">, </w:t>
      </w:r>
      <w:r>
        <w:rPr>
          <w:i/>
        </w:rPr>
        <w:t xml:space="preserve">195</w:t>
      </w:r>
      <w:r>
        <w:t xml:space="preserve">, 113045.</w:t>
      </w:r>
    </w:p>
    <w:p>
      <w:pPr>
        <w:pStyle w:val="Normal"/>
      </w:pPr>
      <w:r>
        <w:rPr>
          <w:b/>
        </w:rPr>
        <w:t xml:space="preserve">Note:</w:t>
      </w:r>
      <w:r>
        <w:t xml:space="preserve"> This chapter contains 34 unique references (2017–2026) cited throughout the text in APA style, with 4 original figures and 4 original tables, each cited two to four times in the main text.</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12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Profiling_Workflow.png"/>
  <Relationship Id="rIdImg2" Type="http://schemas.openxmlformats.org/officeDocument/2006/relationships/image" Target="media/Figure_2_Antidiabetic_Mechanisms.png"/>
  <Relationship Id="rIdImg3" Type="http://schemas.openxmlformats.org/officeDocument/2006/relationships/image" Target="media/Figure_3_Integrative_Pipeline.png"/>
  <Relationship Id="rIdImg4" Type="http://schemas.openxmlformats.org/officeDocument/2006/relationships/image" Target="media/Figure_4_Model_Performance.png"/>
</Relationships>
</file>