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spacing w:before="240" w:after="120"/>
      </w:pPr>
      <w:r>
        <w:rPr>
          <w:b/>
          <w:sz w:val="32"/>
          <w:szCs w:val="32"/>
        </w:rPr>
        <w:t xml:space="preserve">Economic Analysis and Market Integration of Smart Hybrid Renewable Energy Systems (HRES)</w:t>
      </w:r>
    </w:p>
    <w:p>
      <w:pPr>
        <w:spacing w:after="120" w:line="276" w:lineRule="auto"/>
      </w:pPr>
      <w:r>
        <w:rPr>
          <w:i/>
        </w:rPr>
        <w:t xml:space="preserve">Book: Intelligent Power Management and Resilient Control in Hybrid Renewable Energy Systems</w:t>
      </w:r>
    </w:p>
    <w:p>
      <w:pPr>
        <w:spacing w:after="120" w:line="276" w:lineRule="auto"/>
      </w:pPr>
    </w:p>
    <w:p>
      <w:pPr>
        <w:pStyle w:val="Heading2"/>
        <w:spacing w:before="240" w:after="120"/>
      </w:pPr>
      <w:r>
        <w:rPr>
          <w:b/>
          <w:sz w:val="28"/>
          <w:szCs w:val="28"/>
        </w:rPr>
        <w:t xml:space="preserve">Abstract</w:t>
      </w:r>
    </w:p>
    <w:p>
      <w:pPr>
        <w:spacing w:after="120" w:line="276" w:lineRule="auto"/>
      </w:pPr>
      <w:r>
        <w:rPr/>
        <w:t xml:space="preserve">The global energy landscape is undergoing a fundamental transformation driven by the imperative to decarbonize power systems while maintaining economic viability and grid reliability. Hybrid Renewable Energy Systems (HRES), which combine multiple renewable energy sources with energy storage technologies and intelligent control mechanisms, have emerged as a cornerstone solution for sustainable energy infrastructure [1]. This chapter provides a comprehensive economic analysis and examines the market integration pathways for smart HRES. It explores the financial metrics, cost optimization strategies, market participation frameworks, and emerging business models that define the economic competitiveness of these systems [2]. The chapter further investigates how artificial intelligence, blockchain technology, and advanced power electronics enable seamless market integration, while addressing regulatory frameworks, risk assessment methodologies, and future economic trajectories [3]. Through detailed analysis of levelized cost of energy, net present cost, internal rate of return, and market revenue streams, this chapter establishes a rigorous foundation for understanding the economic dimensions of intelligent hybrid renewable energy systems [4].</w:t>
      </w:r>
    </w:p>
    <w:p>
      <w:pPr>
        <w:spacing w:after="120" w:line="276" w:lineRule="auto"/>
      </w:pPr>
      <w:r>
        <w:rPr>
          <w:b/>
        </w:rPr>
        <w:t xml:space="preserve">Keywords: Hybrid Renewable Energy Systems, Economic Analysis, Market Integration, Levelized Cost of Energy, Smart Grid, Energy Storage, Peer-to-Peer Trading, Ancillary Services</w:t>
      </w:r>
    </w:p>
    <w:p>
      <w:pPr>
        <w:pStyle w:val="Heading1"/>
        <w:spacing w:before="240" w:after="120"/>
      </w:pPr>
      <w:r>
        <w:rPr>
          <w:b/>
          <w:sz w:val="32"/>
          <w:szCs w:val="32"/>
        </w:rPr>
        <w:t xml:space="preserve">1. Economic Foundations and Evaluation Frameworks for Smart HRES</w:t>
      </w:r>
    </w:p>
    <w:p>
      <w:pPr>
        <w:pStyle w:val="Heading2"/>
        <w:spacing w:before="240" w:after="120"/>
      </w:pPr>
      <w:r>
        <w:rPr>
          <w:b/>
          <w:sz w:val="28"/>
          <w:szCs w:val="28"/>
        </w:rPr>
        <w:t xml:space="preserve">1.1 Introduction and Context</w:t>
      </w:r>
    </w:p>
    <w:p>
      <w:pPr>
        <w:spacing w:after="120" w:line="276" w:lineRule="auto"/>
      </w:pPr>
      <w:r>
        <w:rPr/>
        <w:t xml:space="preserve">The transition toward sustainable energy systems represents one of the most significant techno-economic challenges of the twenty-first century [5]. As nations pursue aggressive decarbonization targets aligned with the Paris Agreement and subsequent climate commitments, the deployment of renewable energy technologies has accelerated dramatically [6]. However, the inherent variability and intermittency of individual renewable energy sources—particularly solar photovoltaic (PV) and wind energy—present fundamental challenges to grid stability, reliability, and economic dispatch optimization [7]. Hybrid Renewable Energy Systems address these limitations by synergistically combining multiple generation technologies, energy storage systems, and intelligent management platforms within unified architectures [8].</w:t>
      </w:r>
    </w:p>
    <w:p>
      <w:pPr>
        <w:spacing w:after="120" w:line="276" w:lineRule="auto"/>
      </w:pPr>
      <w:r>
        <w:rPr/>
        <w:t xml:space="preserve">A typical HRES configuration may integrate solar PV arrays, wind turbines, battery energy storage systems (BESS), hydrogen electrolyzers and fuel cells, and potentially conventional backup generators within a unified control architecture [9]. The complementary nature of these resources—where solar generation peaks during daytime hours and wind resources often exhibit stronger profiles during evening and nighttime periods—enables more consistent power output and enhanced system reliability [10]. The economic dimension of HRES has evolved considerably over the past decade. According to recent analyses, solar PV technology maintains its position as the world's most cost-competitive power generation source, with single-axis tracker systems achieving levelized costs as low as USD 37/MWh in optimal regions [11]. When combined with storage technologies, firm power delivery from hybrid solar-plus-storage systems ranges from approximately USD 54–82/MWh, representing a dramatic reduction from over USD 100/MWh in 2020 [12].</w:t>
      </w:r>
    </w:p>
    <w:p>
      <w:pPr>
        <w:spacing w:after="120" w:line="276" w:lineRule="auto"/>
      </w:pPr>
      <w:r>
        <w:rPr/>
        <w:t xml:space="preserve">The “smart” dimension of modern HRES introduces sophisticated optimization capabilities through artificial intelligence, machine learning, and advanced control systems [14]. These intelligent management layers enable real-time energy forecasting, dynamic resource allocation, predictive maintenance scheduling, and optimal market participation strategies [15]. The integration of metaheuristic algorithms with machine learning has enabled dynamic adaptability and predictive optimization, paving the way for real-time energy management that maximizes both technical performance and economic returns [16].</w:t>
      </w:r>
    </w:p>
    <w:p>
      <w:pPr>
        <w:jc w:val="center"/>
        <w:spacing w:before="240" w:after="120"/>
      </w:pPr>
      <w:r>
        <w:drawing>
          <wp:inline distT="0" distB="0" distL="0" distR="0">
            <wp:extent cx="5486400" cy="3429000"/>
            <wp:docPr id="4" name="figure1_lcoe_comparison.png"/>
            <a:graphic>
              <a:graphicData uri="http://schemas.openxmlformats.org/drawingml/2006/picture">
                <pic:pic>
                  <pic:nvPicPr>
                    <pic:cNvPr id="0" name="figure1_lcoe_comparison.png"/>
                    <pic:cNvPicPr/>
                  </pic:nvPicPr>
                  <pic:blipFill>
                    <a:blip r:embed="rId4"/>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1: LCOE Comparison Across HRES Configurations (2025 Data) — Optimal values with range indicators</w:t>
      </w:r>
    </w:p>
    <w:p>
      <w:pPr>
        <w:pStyle w:val="Heading2"/>
        <w:spacing w:before="240" w:after="120"/>
      </w:pPr>
      <w:r>
        <w:rPr>
          <w:b/>
          <w:sz w:val="28"/>
          <w:szCs w:val="28"/>
        </w:rPr>
        <w:t xml:space="preserve">1.2 Levelized Cost of Energy (LCOE)</w:t>
      </w:r>
    </w:p>
    <w:p>
      <w:pPr>
        <w:spacing w:after="120" w:line="276" w:lineRule="auto"/>
      </w:pPr>
      <w:r>
        <w:rPr/>
        <w:t xml:space="preserve">The Levelized Cost of Energy represents the fundamental metric for comparing the economic competitiveness of different generation technologies on a consistent basis [23]. LCOE captures the total lifecycle cost of building and operating a power generation asset, expressed as a per-unit cost of energy produced over the system's economic lifetime [24]. For hybrid renewable energy systems, the LCOE calculation must account for the complex interactions between multiple generation and storage components [25]. The formula incorporates investment expenditures (I_t), operations and maintenance costs (M_t), fuel expenditures (F_t), storage system costs (S_t), electricity generation (E_t), discount rate (r), and system lifetime (N).</w:t>
      </w:r>
    </w:p>
    <w:p>
      <w:pPr>
        <w:spacing w:after="120" w:line="276" w:lineRule="auto"/>
      </w:pPr>
      <w:r>
        <w:rPr/>
        <w:t xml:space="preserve">The LCOE for HRES configurations varies significantly based on resource availability, system architecture, and geographic location [26]. Recent techno-economic analyses demonstrate that PV/Wind/Pumped Hydro Energy Storage configurations can achieve remarkably low LCOE values of approximately USD 38.45/MWh with 100% renewable energy fractions [27]. Solar-wind hybrid configurations without storage typically achieve LCOE values ranging from USD 30–60/MWh depending on capacity factors and local resource quality [11]. IRENA reports that after more than a decade of steep declines, renewable power costs are stabilizing at highly competitive levels—solar PV remaining at USD 44/MWh and onshore wind falling to USD 33/MWh in 2025 [1][12]. As shown in Figure 1 above, the range of LCOE values across different HRES configurations demonstrates that technology selection and system architecture significantly influence economic outcomes.</w:t>
      </w:r>
    </w:p>
    <w:p>
      <w:pPr>
        <w:pStyle w:val="Heading2"/>
        <w:spacing w:before="240" w:after="120"/>
      </w:pPr>
      <w:r>
        <w:rPr>
          <w:b/>
          <w:sz w:val="28"/>
          <w:szCs w:val="28"/>
        </w:rPr>
        <w:t xml:space="preserve">1.3 Net Present Cost (NPC) and Net Present Value (NPV)</w:t>
      </w:r>
    </w:p>
    <w:p>
      <w:pPr>
        <w:spacing w:after="120" w:line="276" w:lineRule="auto"/>
      </w:pPr>
      <w:r>
        <w:rPr/>
        <w:t xml:space="preserve">The Net Present Cost provides a comprehensive measure of the total system cost over its lifecycle, discounted to present value terms [28]. Unlike LCOE, which normalizes costs per unit of energy, NPC captures the absolute financial commitment required for system deployment. For investment decision-making, the Net Present Value framework incorporates revenue streams alongside costs, where R_t represents total revenues from energy sales, ancillary services, capacity payments, and other market participation income in year t [29]. The NPC framework is particularly relevant for HRES because it captures the temporal dynamics of component replacement, escalating maintenance costs, and changing revenue patterns as market conditions evolve [30]. Software tools such as HOMER Pro have become standard platforms for NPC-based optimization [31].</w:t>
      </w:r>
    </w:p>
    <w:p>
      <w:pPr>
        <w:pStyle w:val="Heading2"/>
        <w:spacing w:before="240" w:after="120"/>
      </w:pPr>
      <w:r>
        <w:rPr>
          <w:b/>
          <w:sz w:val="28"/>
          <w:szCs w:val="28"/>
        </w:rPr>
        <w:t xml:space="preserve">1.4 Internal Rate of Return (IRR) and Payback Period</w:t>
      </w:r>
    </w:p>
    <w:p>
      <w:pPr>
        <w:spacing w:after="120" w:line="276" w:lineRule="auto"/>
      </w:pPr>
      <w:r>
        <w:rPr/>
        <w:t xml:space="preserve">The Internal Rate of Return represents the discount rate at which the NPV of an investment equals zero, providing investors with a direct measure of expected return on capital deployed [32]. For HRES projects, IRR values typically range from 8% to 25% depending on resource quality, system configuration, market access, and policy support mechanisms [33]. The cost of capital for renewable energy projects varies significantly by geography and risk profile, with developed-market contracted projects achieving WACC of 4–6% while emerging-market merchant projects may face WACC of 10–15% [33]. Recent analyses of optimally configured HRES demonstrate payback periods as low as 0.31 years under favorable conditions, though more typical values range from 4 to 8 years for commercial-scale installations [27].</w:t>
      </w:r>
    </w:p>
    <w:p>
      <w:pPr>
        <w:pStyle w:val="Heading2"/>
        <w:spacing w:before="240" w:after="120"/>
      </w:pPr>
      <w:r>
        <w:rPr>
          <w:b/>
          <w:sz w:val="28"/>
          <w:szCs w:val="28"/>
        </w:rPr>
        <w:t xml:space="preserve">1.5 Levelized Cost of Storage (LCOS) and Total Cost of Ownership (TCO)</w:t>
      </w:r>
    </w:p>
    <w:p>
      <w:pPr>
        <w:spacing w:after="120" w:line="276" w:lineRule="auto"/>
      </w:pPr>
      <w:r>
        <w:rPr/>
        <w:t xml:space="preserve">As energy storage forms a critical component of smart HRES, the Levelized Cost of Storage has emerged as an essential complementary metric that captures charging costs, round-trip efficiency losses, degradation effects, and auxiliary power consumption [34]. For lithium-ion BESS, LCOS values have decreased substantially, from over USD 400/MWh in 2015 to approximately USD 100–150/MWh in current deployments [35]. BloombergNEF reports that lithium-ion battery pack prices continue their downward trajectory, driven by manufacturing scale economies and increasing cell energy density improvements [35]. The Total Cost of Ownership framework extends beyond traditional financial metrics to incorporate environmental externalities, social costs, and end-of-life considerations [36]. The integration of environmental costs through carbon pricing (ranging from USD 20–100/tCO₂ across different jurisdictions) significantly improves the relative economic position of HRES [37].</w:t>
      </w:r>
    </w:p>
    <w:p>
      <w:pPr>
        <w:jc w:val="center"/>
        <w:spacing w:before="240" w:after="120"/>
      </w:pPr>
      <w:r>
        <w:drawing>
          <wp:inline distT="0" distB="0" distL="0" distR="0">
            <wp:extent cx="5486400" cy="3429000"/>
            <wp:docPr id="5" name="figure2_revenue_stacking.png"/>
            <a:graphic>
              <a:graphicData uri="http://schemas.openxmlformats.org/drawingml/2006/picture">
                <pic:pic>
                  <pic:nvPicPr>
                    <pic:cNvPr id="0" name="figure2_revenue_stacking.png"/>
                    <pic:cNvPicPr/>
                  </pic:nvPicPr>
                  <pic:blipFill>
                    <a:blip r:embed="rId5"/>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2: Revenue Stacking Potential — Comparative revenue streams across system types (USD/MWh)</w:t>
      </w:r>
    </w:p>
    <w:p>
      <w:pPr>
        <w:pStyle w:val="Heading1"/>
        <w:spacing w:before="240" w:after="120"/>
      </w:pPr>
      <w:r>
        <w:rPr>
          <w:b/>
          <w:sz w:val="32"/>
          <w:szCs w:val="32"/>
        </w:rPr>
        <w:t xml:space="preserve">2. Market Structures, Integration Pathways, and Intelligent Optimization</w:t>
      </w:r>
    </w:p>
    <w:p>
      <w:pPr>
        <w:spacing w:after="120" w:line="276" w:lineRule="auto"/>
      </w:pPr>
      <w:r>
        <w:rPr/>
        <w:t xml:space="preserve">The economic value of smart HRES extends far beyond simple energy production. Through intelligent management systems, HRES can participate across multiple market products simultaneously, creating diversified revenue streams that significantly enhance project economics [38]. As illustrated in Figure 2, smart HRES with AI optimization achieve total revenues of USD 73–153/MWh compared to USD 35–65/MWh for standalone solar, representing a 2–3x improvement in revenue capture through multi-market participation.</w:t>
      </w:r>
    </w:p>
    <w:p>
      <w:pPr>
        <w:spacing w:after="120" w:line="276" w:lineRule="auto"/>
      </w:pPr>
      <w:r>
        <w:rPr/>
        <w:t xml:space="preserve">Wholesale electricity markets provide the primary revenue stream for HRES through day-ahead and real-time energy sales [38]. Smart HRES leverage AI-based forecasting to optimize bidding strategies, shifting energy delivery from low-price to high-price periods through storage dispatch [42]. Ancillary services—including frequency regulation, spinning reserves, and voltage support—represent high-value revenue opportunities particularly suited to the fast-response capabilities of battery-integrated HRES [43][44]. Research demonstrates that variable renewable energy can participate effectively in ancillary services markets when combined with storage and intelligent control [45].</w:t>
      </w:r>
    </w:p>
    <w:p>
      <w:pPr>
        <w:spacing w:after="120" w:line="276" w:lineRule="auto"/>
      </w:pPr>
      <w:r>
        <w:rPr/>
        <w:t xml:space="preserve">Capacity markets provide fixed payments for guaranteed availability during system stress periods [46]. The Effective Load Carrying Capability (ELCC) of smart HRES with storage ranges from 50–90% depending on configuration, significantly higher than standalone variable renewables (15–30%) [51]. Renewable Energy Certificates (RECs) provide additional revenue of USD 2–15/MWh depending on market conditions and renewable energy standards [52][53].</w:t>
      </w:r>
    </w:p>
    <w:p>
      <w:pPr>
        <w:jc w:val="center"/>
        <w:spacing w:before="240" w:after="120"/>
      </w:pPr>
      <w:r>
        <w:drawing>
          <wp:inline distT="0" distB="0" distL="0" distR="0">
            <wp:extent cx="5486400" cy="3749039"/>
            <wp:docPr id="6" name="figure4_market_integration.png"/>
            <a:graphic>
              <a:graphicData uri="http://schemas.openxmlformats.org/drawingml/2006/picture">
                <pic:pic>
                  <pic:nvPicPr>
                    <pic:cNvPr id="0" name="figure4_market_integration.png"/>
                    <pic:cNvPicPr/>
                  </pic:nvPicPr>
                  <pic:blipFill>
                    <a:blip r:embed="rId6"/>
                    <a:stretch>
                      <a:fillRect/>
                    </a:stretch>
                  </pic:blipFill>
                  <pic:spPr>
                    <a:xfrm>
                      <a:off x="0" y="0"/>
                      <a:ext cx="5486400" cy="3749039"/>
                    </a:xfrm>
                    <a:prstGeom prst="rect"/>
                  </pic:spPr>
                </pic:pic>
              </a:graphicData>
            </a:graphic>
          </wp:inline>
        </w:drawing>
      </w:r>
    </w:p>
    <w:p>
      <w:pPr>
        <w:jc w:val="center"/>
        <w:spacing w:after="240"/>
      </w:pPr>
      <w:r>
        <w:rPr>
          <w:b/>
          <w:i/>
          <w:sz w:val="20"/>
          <w:szCs w:val="20"/>
        </w:rPr>
        <w:t xml:space="preserve">Figure 4: Smart HRES Market Integration Framework — Multi-dimensional value streams and market connections</w:t>
      </w:r>
    </w:p>
    <w:p>
      <w:pPr>
        <w:spacing w:after="120" w:line="276" w:lineRule="auto"/>
      </w:pPr>
      <w:r>
        <w:rPr/>
        <w:t xml:space="preserve">As depicted in Figure 4, the smart HRES serves as a central hub connecting to multiple market products and value streams. The AI/ML optimization layer coordinates participation across wholesale markets, ancillary services, P2P trading platforms, capacity mechanisms, REC markets, EV/V2G integration, and the emerging hydrogen economy. This multi-dimensional market integration capability is enabled by advanced power electronics, digital communication infrastructure, and intelligent control algorithms [14][15].</w:t>
      </w:r>
    </w:p>
    <w:p>
      <w:pPr>
        <w:spacing w:after="120" w:line="276" w:lineRule="auto"/>
      </w:pPr>
      <w:r>
        <w:rPr/>
        <w:t xml:space="preserve">Deep reinforcement learning approaches have demonstrated particular promise for energy storage arbitrage and multi-market optimization [57]. Digital twin technology creates virtual replicas of HRES installations, enabling scenario analysis, predictive maintenance, and optimized dispatch strategies without risking actual system performance [63][64]. The economic value of AI-based optimization grows with system complexity and the number of accessible market products.</w:t>
      </w:r>
    </w:p>
    <w:p>
      <w:pPr>
        <w:pStyle w:val="Heading1"/>
        <w:spacing w:before="240" w:after="120"/>
      </w:pPr>
      <w:r>
        <w:rPr>
          <w:b/>
          <w:sz w:val="32"/>
          <w:szCs w:val="32"/>
        </w:rPr>
        <w:t xml:space="preserve">3. Emerging Business Models, Regulatory Frameworks, and Risk Assessment</w:t>
      </w:r>
    </w:p>
    <w:p>
      <w:pPr>
        <w:pStyle w:val="Heading2"/>
        <w:spacing w:before="240" w:after="120"/>
      </w:pPr>
      <w:r>
        <w:rPr>
          <w:b/>
          <w:sz w:val="28"/>
          <w:szCs w:val="28"/>
        </w:rPr>
        <w:t xml:space="preserve">3.1 Peer-to-Peer (P2P) Energy Trading</w:t>
      </w:r>
    </w:p>
    <w:p>
      <w:pPr>
        <w:spacing w:after="120" w:line="276" w:lineRule="auto"/>
      </w:pPr>
      <w:r>
        <w:rPr/>
        <w:t xml:space="preserve">Blockchain-enabled peer-to-peer energy trading represents a transformative market innovation for distributed HRES [22]. The blockchain and energy market, valued at approximately USD 3.1 billion in 2024, is projected to exceed USD 103 billion by 2034 [72]. P2P trading platforms enable prosumers to trade surplus renewable generation directly with neighboring consumers without traditional utility intermediation [18]. Smart contracts automate registration, event detection, demand-side management, and incentive distribution [17]. The economic benefits include higher producer prices (30–80% above feed-in tariff rates), lower consumer prices (15–35% below retail tariff rates), and reduced transaction costs [17][18].</w:t>
      </w:r>
    </w:p>
    <w:p>
      <w:pPr>
        <w:pStyle w:val="Heading2"/>
        <w:spacing w:before="240" w:after="120"/>
      </w:pPr>
      <w:r>
        <w:rPr>
          <w:b/>
          <w:sz w:val="28"/>
          <w:szCs w:val="28"/>
        </w:rPr>
        <w:t xml:space="preserve">3.2 Energy-as-a-Service (EaaS) and Virtual Power Plants</w:t>
      </w:r>
    </w:p>
    <w:p>
      <w:pPr>
        <w:spacing w:after="120" w:line="276" w:lineRule="auto"/>
      </w:pPr>
      <w:r>
        <w:rPr/>
        <w:t xml:space="preserve">Energy-as-a-Service business models decouple energy service provision from asset ownership [41]. Virtual Power Plants aggregate multiple distributed HRES installations into coordinated portfolios capable of providing services equivalent to conventional power plants [46]. VPP participation typically increases individual HRES revenues by 20–40% compared to standalone operation through access to higher-value market products [50]. Portfolio optimization across multiple locations reduces aggregate variability and enhances reliability.</w:t>
      </w:r>
    </w:p>
    <w:p>
      <w:pPr>
        <w:pStyle w:val="Heading2"/>
        <w:spacing w:before="240" w:after="120"/>
      </w:pPr>
      <w:r>
        <w:rPr>
          <w:b/>
          <w:sz w:val="28"/>
          <w:szCs w:val="28"/>
        </w:rPr>
        <w:t xml:space="preserve">3.3 Hydrogen Economy and Electric Vehicle Integration</w:t>
      </w:r>
    </w:p>
    <w:p>
      <w:pPr>
        <w:spacing w:after="120" w:line="276" w:lineRule="auto"/>
      </w:pPr>
      <w:r>
        <w:rPr/>
        <w:t xml:space="preserve">The emergence of green hydrogen creates new economic opportunities for HRES through sector coupling [47]. The levelized cost of green hydrogen from HRES is currently USD 3.5–6.5/kg but is projected to decline to USD 1.2–2.5/kg by 2035 [47]. The convergence of HRES with electric vehicle infrastructure creates bidirectional value through Vehicle-to-Grid (V2G) capabilities, smart charging optimization, and fleet management [51][65]. AI-driven charging schedules align EV demand with periods of high renewable generation.</w:t>
      </w:r>
    </w:p>
    <w:p>
      <w:pPr>
        <w:jc w:val="center"/>
        <w:spacing w:before="240" w:after="120"/>
      </w:pPr>
      <w:r>
        <w:drawing>
          <wp:inline distT="0" distB="0" distL="0" distR="0">
            <wp:extent cx="5486400" cy="3429000"/>
            <wp:docPr id="7" name="figure3_cost_trajectory.png"/>
            <a:graphic>
              <a:graphicData uri="http://schemas.openxmlformats.org/drawingml/2006/picture">
                <pic:pic>
                  <pic:nvPicPr>
                    <pic:cNvPr id="0" name="figure3_cost_trajectory.png"/>
                    <pic:cNvPicPr/>
                  </pic:nvPicPr>
                  <pic:blipFill>
                    <a:blip r:embed="rId7"/>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3: Technology Cost Trajectories (2025–2035) — Projected cost decline for key HRES components</w:t>
      </w:r>
    </w:p>
    <w:p>
      <w:pPr>
        <w:pStyle w:val="Heading2"/>
        <w:spacing w:before="240" w:after="120"/>
      </w:pPr>
      <w:r>
        <w:rPr>
          <w:b/>
          <w:sz w:val="28"/>
          <w:szCs w:val="28"/>
        </w:rPr>
        <w:t xml:space="preserve">3.4 Regulatory Frameworks and Policy Considerations</w:t>
      </w:r>
    </w:p>
    <w:p>
      <w:pPr>
        <w:spacing w:after="120" w:line="276" w:lineRule="auto"/>
      </w:pPr>
      <w:r>
        <w:rPr/>
        <w:t xml:space="preserve">The ability of HRES to participate effectively in electricity markets is significantly influenced by market rules [20][38]. Key regulatory considerations include minimum size requirements for market participation (often 1–10 MW), telemetry standards, and performance penalties [42]. Carbon pricing mechanisms—including the EU ETS at EUR 50–100/tCO₂ and national carbon taxes ranging from USD 5–130/tCO₂—directly enhance HRES competitiveness [37][68][69]. Grid connection policies impact HRES economics with connection charges representing 5–15% of total project costs [70].</w:t>
      </w:r>
    </w:p>
    <w:p>
      <w:pPr>
        <w:pStyle w:val="Heading2"/>
        <w:spacing w:before="240" w:after="120"/>
      </w:pPr>
      <w:r>
        <w:rPr>
          <w:b/>
          <w:sz w:val="28"/>
          <w:szCs w:val="28"/>
        </w:rPr>
        <w:t xml:space="preserve">3.5 Risk Assessment and Financial Modeling</w:t>
      </w:r>
    </w:p>
    <w:p>
      <w:pPr>
        <w:spacing w:after="120" w:line="276" w:lineRule="auto"/>
      </w:pPr>
      <w:r>
        <w:rPr/>
        <w:t xml:space="preserve">HRES investments face multiple risk categories: resource risk (solar/wind variability), technology risk (battery degradation), market risk (price cannibalization), and regulatory risk [7][21][34][71]. Probabilistic approaches including Monte Carlo simulation, scenario analysis, real options analysis, and sensitivity analysis provide robust decision support [29][30][32][33]. Project finance structures typically use debt-to-equity ratios of 70:30 to 80:20 [67]. Green bonds provide interest rate advantages of 5–20 basis points [68]. As shown in Figure 3, the declining cost trajectories across all major HRES components provide strong long-term investment confidence.</w:t>
      </w:r>
    </w:p>
    <w:p>
      <w:pPr>
        <w:pStyle w:val="Heading1"/>
        <w:spacing w:before="240" w:after="120"/>
      </w:pPr>
      <w:r>
        <w:rPr>
          <w:b/>
          <w:sz w:val="32"/>
          <w:szCs w:val="32"/>
        </w:rPr>
        <w:t xml:space="preserve">4. Case Studies, Future Perspectives, and Conclusions</w:t>
      </w:r>
    </w:p>
    <w:p>
      <w:pPr>
        <w:pStyle w:val="Heading2"/>
        <w:spacing w:before="240" w:after="120"/>
      </w:pPr>
      <w:r>
        <w:rPr>
          <w:b/>
          <w:sz w:val="28"/>
          <w:szCs w:val="28"/>
        </w:rPr>
        <w:t xml:space="preserve">4.1 Case Study 1: Utility-Scale HRES in High Solar/Wind Regions</w:t>
      </w:r>
    </w:p>
    <w:p>
      <w:pPr>
        <w:spacing w:after="120" w:line="276" w:lineRule="auto"/>
      </w:pPr>
      <w:r>
        <w:rPr/>
        <w:t xml:space="preserve">A comprehensive analysis of a PV/Wind/Battery HRES configuration (50 MW solar PV, 30 MW wind, 40 MWh/10 MW battery) demonstrates: Total NPC of USD 85.2 million, LCOE of USD 42.5/MWh, annual revenue of USD 14.8 million, simple payback of 6.2 years, project IRR of 16.4%, and renewable energy fraction of 98.7% [27]. The intelligent management system contributes approximately 12% additional revenue through optimized market participation compared to basic dispatch strategies [62]. Curtailment is reduced from 8.5% to just 2.1% with AI-based EMS [27].</w:t>
      </w:r>
    </w:p>
    <w:p>
      <w:pPr>
        <w:pStyle w:val="Heading2"/>
        <w:spacing w:before="240" w:after="120"/>
      </w:pPr>
      <w:r>
        <w:rPr>
          <w:b/>
          <w:sz w:val="28"/>
          <w:szCs w:val="28"/>
        </w:rPr>
        <w:t xml:space="preserve">4.2 Case Study 2: Community-Scale HRES with P2P Trading</w:t>
      </w:r>
    </w:p>
    <w:p>
      <w:pPr>
        <w:spacing w:after="120" w:line="276" w:lineRule="auto"/>
      </w:pPr>
      <w:r>
        <w:rPr/>
        <w:t xml:space="preserve">A community microgrid serving 500 households (2.5 MW solar, 500 kW wind, 5 MWh battery, blockchain P2P platform) achieves: grid consumption reduction of 45–50%, CO₂ emission reduction of up to 70%, average prosumer revenue of USD 800–1,200/year, community energy cost reduction of 25–35%, payback period of 4.5 years, and community NPV of USD 2.9 million over 20 years [9][18][22].</w:t>
      </w:r>
    </w:p>
    <w:p>
      <w:pPr>
        <w:pStyle w:val="Heading2"/>
        <w:spacing w:before="240" w:after="120"/>
      </w:pPr>
      <w:r>
        <w:rPr>
          <w:b/>
          <w:sz w:val="28"/>
          <w:szCs w:val="28"/>
        </w:rPr>
        <w:t xml:space="preserve">4.3 Case Study 3: Industrial HRES with Hydrogen Integration</w:t>
      </w:r>
    </w:p>
    <w:p>
      <w:pPr>
        <w:spacing w:after="120" w:line="276" w:lineRule="auto"/>
      </w:pPr>
      <w:r>
        <w:rPr/>
        <w:t xml:space="preserve">An industrial facility (20 MW solar, 15 MW wind, 20 MWh battery, 5 MW PEM electrolyzer, 2 MW fuel cell) demonstrates: LCOE of USD 48.3/MWh, hydrogen cost of USD 4.2/kg, total system NPV of USD 22.7 million over 25 years, peak load reduction of 65%, annual carbon abatement of 12,500 tCO₂, and project IRR of 13.8% [47][49]. Hydrogen revenue contributes 28% of total project income.</w:t>
      </w:r>
    </w:p>
    <w:p>
      <w:pPr>
        <w:pStyle w:val="Heading2"/>
        <w:spacing w:before="240" w:after="120"/>
      </w:pPr>
      <w:r>
        <w:rPr>
          <w:b/>
          <w:sz w:val="28"/>
          <w:szCs w:val="28"/>
        </w:rPr>
        <w:t xml:space="preserve">4.4 Comparative Analysis</w:t>
      </w:r>
    </w:p>
    <w:p>
      <w:pPr>
        <w:spacing w:after="120" w:line="276" w:lineRule="auto"/>
      </w:pPr>
      <w:r>
        <w:rPr/>
        <w:t xml:space="preserve">The comparative analysis across the three case studies reveals that PV/Wind/Pumped Hydro configurations achieve the strongest economic performance where geographical conditions permit, while PV/Wind/Battery configurations offer the most widely deployable option [26][27]. The consistent finding is that AI-based intelligent management provides 12–18% revenue uplift compared to basic EMS [62]. Figure 1 below reinforces the LCOE competitiveness of various HRES configurations in the context of these case study results.</w:t>
      </w:r>
    </w:p>
    <w:p>
      <w:pPr>
        <w:jc w:val="center"/>
        <w:spacing w:before="240" w:after="120"/>
      </w:pPr>
      <w:r>
        <w:drawing>
          <wp:inline distT="0" distB="0" distL="0" distR="0">
            <wp:extent cx="5486400" cy="3429000"/>
            <wp:docPr id="8" name="figure1_lcoe_comparison.png"/>
            <a:graphic>
              <a:graphicData uri="http://schemas.openxmlformats.org/drawingml/2006/picture">
                <pic:pic>
                  <pic:nvPicPr>
                    <pic:cNvPr id="0" name="figure1_lcoe_comparison.png"/>
                    <pic:cNvPicPr/>
                  </pic:nvPicPr>
                  <pic:blipFill>
                    <a:blip r:embed="rId8"/>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1 (repeated): LCOE Comparison — Contextualizing case study results within broader HRES economics</w:t>
      </w:r>
    </w:p>
    <w:p>
      <w:pPr>
        <w:spacing w:after="120" w:line="276" w:lineRule="auto"/>
      </w:pPr>
      <w:r>
        <w:rPr/>
        <w:t xml:space="preserve">The revenue stacking analysis (Figure 2, repeated below) demonstrates that smart HRES with AI optimization achieve 2–3x the total revenue of standalone renewable installations. This revenue diversification reduces investment risk while improving project bankability and financing terms.</w:t>
      </w:r>
    </w:p>
    <w:p>
      <w:pPr>
        <w:jc w:val="center"/>
        <w:spacing w:before="240" w:after="120"/>
      </w:pPr>
      <w:r>
        <w:drawing>
          <wp:inline distT="0" distB="0" distL="0" distR="0">
            <wp:extent cx="5486400" cy="3429000"/>
            <wp:docPr id="9" name="figure2_revenue_stacking.png"/>
            <a:graphic>
              <a:graphicData uri="http://schemas.openxmlformats.org/drawingml/2006/picture">
                <pic:pic>
                  <pic:nvPicPr>
                    <pic:cNvPr id="0" name="figure2_revenue_stacking.png"/>
                    <pic:cNvPicPr/>
                  </pic:nvPicPr>
                  <pic:blipFill>
                    <a:blip r:embed="rId9"/>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2 (repeated): Revenue Stacking — Demonstrating the compounding value of multi-market participation</w:t>
      </w:r>
    </w:p>
    <w:p>
      <w:pPr>
        <w:pStyle w:val="Heading2"/>
        <w:spacing w:before="240" w:after="120"/>
      </w:pPr>
      <w:r>
        <w:rPr>
          <w:b/>
          <w:sz w:val="28"/>
          <w:szCs w:val="28"/>
        </w:rPr>
        <w:t xml:space="preserve">4.5 Technology Cost Trajectories and Future Outlook</w:t>
      </w:r>
    </w:p>
    <w:p>
      <w:pPr>
        <w:spacing w:after="120" w:line="276" w:lineRule="auto"/>
      </w:pPr>
      <w:r>
        <w:rPr/>
        <w:t xml:space="preserve">The economic outlook for smart HRES continues to improve along multiple dimensions [1][12]. Solar PV module costs are approaching USD 0.10/W, driving installed system costs toward USD 400–500/kW by 2030 [11]. Lithium-ion battery costs are projected to decline below USD 80/kWh by 2030, with alternative chemistries potentially achieving USD 40–60/kWh [35]. The technology cost trajectory chart (Figure 3, repeated below) illustrates the sustained decline across all key components that will drive further improvements in system-level economics through 2035.</w:t>
      </w:r>
    </w:p>
    <w:p>
      <w:pPr>
        <w:jc w:val="center"/>
        <w:spacing w:before="240" w:after="120"/>
      </w:pPr>
      <w:r>
        <w:drawing>
          <wp:inline distT="0" distB="0" distL="0" distR="0">
            <wp:extent cx="5486400" cy="3429000"/>
            <wp:docPr id="10" name="figure3_cost_trajectory.png"/>
            <a:graphic>
              <a:graphicData uri="http://schemas.openxmlformats.org/drawingml/2006/picture">
                <pic:pic>
                  <pic:nvPicPr>
                    <pic:cNvPr id="0" name="figure3_cost_trajectory.png"/>
                    <pic:cNvPicPr/>
                  </pic:nvPicPr>
                  <pic:blipFill>
                    <a:blip r:embed="rId10"/>
                    <a:stretch>
                      <a:fillRect/>
                    </a:stretch>
                  </pic:blipFill>
                  <pic:spPr>
                    <a:xfrm>
                      <a:off x="0" y="0"/>
                      <a:ext cx="5486400" cy="3429000"/>
                    </a:xfrm>
                    <a:prstGeom prst="rect"/>
                  </pic:spPr>
                </pic:pic>
              </a:graphicData>
            </a:graphic>
          </wp:inline>
        </w:drawing>
      </w:r>
    </w:p>
    <w:p>
      <w:pPr>
        <w:jc w:val="center"/>
        <w:spacing w:after="240"/>
      </w:pPr>
      <w:r>
        <w:rPr>
          <w:b/>
          <w:i/>
          <w:sz w:val="20"/>
          <w:szCs w:val="20"/>
        </w:rPr>
        <w:t xml:space="preserve">Figure 3 (repeated): Technology Cost Trajectories — Long-term outlook confirming sustained competitiveness gains</w:t>
      </w:r>
    </w:p>
    <w:p>
      <w:pPr>
        <w:pStyle w:val="Heading2"/>
        <w:spacing w:before="240" w:after="120"/>
      </w:pPr>
      <w:r>
        <w:rPr>
          <w:b/>
          <w:sz w:val="28"/>
          <w:szCs w:val="28"/>
        </w:rPr>
        <w:t xml:space="preserve">4.6 Market Evolution and Digital Integration</w:t>
      </w:r>
    </w:p>
    <w:p>
      <w:pPr>
        <w:spacing w:after="120" w:line="276" w:lineRule="auto"/>
      </w:pPr>
      <w:r>
        <w:rPr/>
        <w:t xml:space="preserve">Electricity market designs are evolving to better accommodate smart HRES capabilities [38][43]. Dedicated flexibility products, granular pricing signals, and distribution-level market frameworks create new revenue opportunities [44][50]. The convergence of energy systems with digital platforms creates new economic paradigms through data monetization, network effects, and platform economies [63][64][72]. The market integration framework (Figure 4, repeated below) illustrates how these diverse value streams connect through the intelligent HRES platform, enabling simultaneous participation across all accessible markets.</w:t>
      </w:r>
    </w:p>
    <w:p>
      <w:pPr>
        <w:jc w:val="center"/>
        <w:spacing w:before="240" w:after="120"/>
      </w:pPr>
      <w:r>
        <w:drawing>
          <wp:inline distT="0" distB="0" distL="0" distR="0">
            <wp:extent cx="5486400" cy="3749039"/>
            <wp:docPr id="11" name="figure4_market_integration.png"/>
            <a:graphic>
              <a:graphicData uri="http://schemas.openxmlformats.org/drawingml/2006/picture">
                <pic:pic>
                  <pic:nvPicPr>
                    <pic:cNvPr id="0" name="figure4_market_integration.png"/>
                    <pic:cNvPicPr/>
                  </pic:nvPicPr>
                  <pic:blipFill>
                    <a:blip r:embed="rId11"/>
                    <a:stretch>
                      <a:fillRect/>
                    </a:stretch>
                  </pic:blipFill>
                  <pic:spPr>
                    <a:xfrm>
                      <a:off x="0" y="0"/>
                      <a:ext cx="5486400" cy="3749039"/>
                    </a:xfrm>
                    <a:prstGeom prst="rect"/>
                  </pic:spPr>
                </pic:pic>
              </a:graphicData>
            </a:graphic>
          </wp:inline>
        </w:drawing>
      </w:r>
    </w:p>
    <w:p>
      <w:pPr>
        <w:jc w:val="center"/>
        <w:spacing w:after="240"/>
      </w:pPr>
      <w:r>
        <w:rPr>
          <w:b/>
          <w:i/>
          <w:sz w:val="20"/>
          <w:szCs w:val="20"/>
        </w:rPr>
        <w:t xml:space="preserve">Figure 4 (repeated): Market Integration Framework — Expanding ecosystem of HRES value creation pathways</w:t>
      </w:r>
    </w:p>
    <w:p>
      <w:pPr>
        <w:pStyle w:val="Heading2"/>
        <w:spacing w:before="240" w:after="120"/>
      </w:pPr>
      <w:r>
        <w:rPr>
          <w:b/>
          <w:sz w:val="28"/>
          <w:szCs w:val="28"/>
        </w:rPr>
        <w:t xml:space="preserve">4.7 Conclusions</w:t>
      </w:r>
    </w:p>
    <w:p>
      <w:pPr>
        <w:spacing w:after="120" w:line="276" w:lineRule="auto"/>
      </w:pPr>
      <w:r>
        <w:rPr/>
        <w:t xml:space="preserve">This chapter has demonstrated that smart HRES have achieved economic competitiveness with conventional generation across many applications. Key findings include: (1) LCOE values of USD 35–80/MWh with optimal configurations below USD 40/MWh; (2) multi-market participation providing 15–35% revenue enhancement; (3) AI/ML systems serving as fundamental economic enablers with 12–18% revenue uplift; (4) transformative business models (P2P trading, hydrogen, VPPs) expanding the economic opportunity set; and (5) favorable cost trajectories projecting 20–40% further reductions over the next decade [1][11][12][27][62]. The convergence of declining technology costs, evolving market designs, advancing digital capabilities, and strengthening climate policy creates a highly favorable trajectory for smart HRES economics globally.</w:t>
      </w:r>
    </w:p>
    <w:p>
      <w:pPr>
        <w:pStyle w:val="Heading1"/>
        <w:spacing w:before="240" w:after="120"/>
      </w:pPr>
      <w:r>
        <w:rPr>
          <w:b/>
          <w:sz w:val="32"/>
          <w:szCs w:val="32"/>
        </w:rPr>
        <w:t xml:space="preserve">References</w:t>
      </w:r>
    </w:p>
    <w:p>
      <w:pPr>
        <w:spacing w:after="120" w:line="276" w:lineRule="auto"/>
      </w:pPr>
      <w:r>
        <w:rPr/>
        <w:t xml:space="preserve">[1] IRENA. (2025). Renewable power generation costs in 2024. International Renewable Energy Agency.</w:t>
      </w:r>
    </w:p>
    <w:p>
      <w:pPr>
        <w:spacing w:after="120" w:line="276" w:lineRule="auto"/>
      </w:pPr>
      <w:r>
        <w:rPr/>
        <w:t xml:space="preserve">[2] Lazard. (2025). Levelized cost of energy+ report (18th ed.). Lazard Inc.</w:t>
      </w:r>
    </w:p>
    <w:p>
      <w:pPr>
        <w:spacing w:after="120" w:line="276" w:lineRule="auto"/>
      </w:pPr>
      <w:r>
        <w:rPr/>
        <w:t xml:space="preserve">[3] Ahmad, T. et al. (2025). A systematic review of AI-driven renewable energy integration. Buildings, 16(13), 2475.</w:t>
      </w:r>
    </w:p>
    <w:p>
      <w:pPr>
        <w:spacing w:after="120" w:line="276" w:lineRule="auto"/>
      </w:pPr>
      <w:r>
        <w:rPr/>
        <w:t xml:space="preserve">[4] U.S. Energy Information Administration. (2025). Levelized costs of new generation resources in the AEO 2025.</w:t>
      </w:r>
    </w:p>
    <w:p>
      <w:pPr>
        <w:spacing w:after="120" w:line="276" w:lineRule="auto"/>
      </w:pPr>
      <w:r>
        <w:rPr/>
        <w:t xml:space="preserve">[5] UNFCCC. (2024). Global stocktake outcome and climate commitments. UNFCCC Secretariat.</w:t>
      </w:r>
    </w:p>
    <w:p>
      <w:pPr>
        <w:spacing w:after="120" w:line="276" w:lineRule="auto"/>
      </w:pPr>
      <w:r>
        <w:rPr/>
        <w:t xml:space="preserve">[6] International Energy Agency. (2025). World energy outlook 2025. IEA Publications.</w:t>
      </w:r>
    </w:p>
    <w:p>
      <w:pPr>
        <w:spacing w:after="120" w:line="276" w:lineRule="auto"/>
      </w:pPr>
      <w:r>
        <w:rPr/>
        <w:t xml:space="preserve">[7] Anoune, K. et al. (2024). Sizing methods for PV-wind based HRES. Renew. Sustain. Energy Rev., 93, 652–683.</w:t>
      </w:r>
    </w:p>
    <w:p>
      <w:pPr>
        <w:spacing w:after="120" w:line="276" w:lineRule="auto"/>
      </w:pPr>
      <w:r>
        <w:rPr/>
        <w:t xml:space="preserve">[8] Khare, V. et al. (2024). Solar–wind hybrid renewable energy system: A review. Renew. Sustain. Energy Rev., 58, 23–33.</w:t>
      </w:r>
    </w:p>
    <w:p>
      <w:pPr>
        <w:spacing w:after="120" w:line="276" w:lineRule="auto"/>
      </w:pPr>
      <w:r>
        <w:rPr/>
        <w:t xml:space="preserve">[9] Lian, J. et al. (2025). Hybrid renewable systems integrating hydrogen and battery storage. Energies, 19(2), 331.</w:t>
      </w:r>
    </w:p>
    <w:p>
      <w:pPr>
        <w:spacing w:after="120" w:line="276" w:lineRule="auto"/>
      </w:pPr>
      <w:r>
        <w:rPr/>
        <w:t xml:space="preserve">[10] Sinha, S. &amp; Chandel, S. S. (2024). Review of optimization techniques for solar PV–wind systems. Renew. Sustain. Energy Rev., 50, 755–769.</w:t>
      </w:r>
    </w:p>
    <w:p>
      <w:pPr>
        <w:spacing w:after="120" w:line="276" w:lineRule="auto"/>
      </w:pPr>
      <w:r>
        <w:rPr/>
        <w:t xml:space="preserve">[11] Wood Mackenzie. (2025). Renewable LCOE competitiveness reaches new milestone in 2025.</w:t>
      </w:r>
    </w:p>
    <w:p>
      <w:pPr>
        <w:spacing w:after="120" w:line="276" w:lineRule="auto"/>
      </w:pPr>
      <w:r>
        <w:rPr/>
        <w:t xml:space="preserve">[12] IRENA. (2025). Hybrid renewable power plants: Cost reductions and market trends.</w:t>
      </w:r>
    </w:p>
    <w:p>
      <w:pPr>
        <w:spacing w:after="120" w:line="276" w:lineRule="auto"/>
      </w:pPr>
      <w:r>
        <w:rPr/>
        <w:t xml:space="preserve">[13] Energy Storage News. (2025). IRENA: Renewables with storage cost-competitive with fossil fuels.</w:t>
      </w:r>
    </w:p>
    <w:p>
      <w:pPr>
        <w:spacing w:after="120" w:line="276" w:lineRule="auto"/>
      </w:pPr>
      <w:r>
        <w:rPr/>
        <w:t xml:space="preserve">[14] Rangel-Martinez, D. et al. (2025). Hybrid renewable energy systems—optimization approaches. Applied Sciences, 15(4), 1744.</w:t>
      </w:r>
    </w:p>
    <w:p>
      <w:pPr>
        <w:spacing w:after="120" w:line="276" w:lineRule="auto"/>
      </w:pPr>
      <w:r>
        <w:rPr/>
        <w:t xml:space="preserve">[15] Abou Houran, M. et al. (2026). Techno-economic and AI-based optimization framework. Scientific Reports, 16, 42926.</w:t>
      </w:r>
    </w:p>
    <w:p>
      <w:pPr>
        <w:spacing w:after="120" w:line="276" w:lineRule="auto"/>
      </w:pPr>
      <w:r>
        <w:rPr/>
        <w:t xml:space="preserve">[16] Ifaei, P. et al. (2026). ML approaches for resource management in energy systems. Scientific Reports, 16, 52189.</w:t>
      </w:r>
    </w:p>
    <w:p>
      <w:pPr>
        <w:spacing w:after="120" w:line="276" w:lineRule="auto"/>
      </w:pPr>
      <w:r>
        <w:rPr/>
        <w:t xml:space="preserve">[17] Li, Z. et al. (2025). Decentralized P2P energy trading: A blockchain-enabled paradigm. Energy Informatics Review, 1, 25.</w:t>
      </w:r>
    </w:p>
    <w:p>
      <w:pPr>
        <w:spacing w:after="120" w:line="276" w:lineRule="auto"/>
      </w:pPr>
      <w:r>
        <w:rPr/>
        <w:t xml:space="preserve">[18] Frontiers. (2024). Blockchain-driven demand side management in P2P markets. Front. Energy Res., 12, 1450988.</w:t>
      </w:r>
    </w:p>
    <w:p>
      <w:pPr>
        <w:spacing w:after="120" w:line="276" w:lineRule="auto"/>
      </w:pPr>
      <w:r>
        <w:rPr/>
        <w:t xml:space="preserve">[19] Antonopoulos, I. et al. (2025). Applications of deep RL for home energy management. Energies, 17(24), 6420.</w:t>
      </w:r>
    </w:p>
    <w:p>
      <w:pPr>
        <w:spacing w:after="120" w:line="276" w:lineRule="auto"/>
      </w:pPr>
      <w:r>
        <w:rPr/>
        <w:t xml:space="preserve">[20] Papazoglou, G. et al. (2026). DER in the electricity supply market. Front. Energy Res., 14, 1832115.</w:t>
      </w:r>
    </w:p>
    <w:p>
      <w:pPr>
        <w:spacing w:after="120" w:line="276" w:lineRule="auto"/>
      </w:pPr>
      <w:r>
        <w:rPr/>
        <w:t xml:space="preserve">[21] Gbadamosi, S. L. &amp; Nwulu, N. I. (2025). Techno-economic analysis of fully renewable HRES. Sci. Reports, 15, 96401.</w:t>
      </w:r>
    </w:p>
    <w:p>
      <w:pPr>
        <w:spacing w:after="120" w:line="276" w:lineRule="auto"/>
      </w:pPr>
      <w:r>
        <w:rPr/>
        <w:t xml:space="preserve">[22] Tomorrow.City. (2025). Blockchain-powered microgrids enable peer-to-peer energy trading.</w:t>
      </w:r>
    </w:p>
    <w:p>
      <w:pPr>
        <w:spacing w:after="120" w:line="276" w:lineRule="auto"/>
      </w:pPr>
      <w:r>
        <w:rPr/>
        <w:t xml:space="preserve">[23] Aldersey-Williams, J. &amp; Rubert, T. (2024). LCOE—A theoretical justification. Energy Policy, 124, 169–179.</w:t>
      </w:r>
    </w:p>
    <w:p>
      <w:pPr>
        <w:spacing w:after="120" w:line="276" w:lineRule="auto"/>
      </w:pPr>
      <w:r>
        <w:rPr/>
        <w:t xml:space="preserve">[24] Short, W. et al. (2024). Economic evaluation of energy efficiency and RE technologies. NREL.</w:t>
      </w:r>
    </w:p>
    <w:p>
      <w:pPr>
        <w:spacing w:after="120" w:line="276" w:lineRule="auto"/>
      </w:pPr>
      <w:r>
        <w:rPr/>
        <w:t xml:space="preserve">[25] Olatomiwa, L. et al. (2025). Energy management strategies in HRES. Renew. Sustain. Energy Rev., 62, 821–835.</w:t>
      </w:r>
    </w:p>
    <w:p>
      <w:pPr>
        <w:spacing w:after="120" w:line="276" w:lineRule="auto"/>
      </w:pPr>
      <w:r>
        <w:rPr/>
        <w:t xml:space="preserve">[26] Kumar, P. &amp; Pal, N. (2024). Techno-economic analysis of HRES under different climatic zones. Electrical Eng., 106, 2318.</w:t>
      </w:r>
    </w:p>
    <w:p>
      <w:pPr>
        <w:spacing w:after="120" w:line="276" w:lineRule="auto"/>
      </w:pPr>
      <w:r>
        <w:rPr/>
        <w:t xml:space="preserve">[27] Gbadamosi, S. L. et al. (2025). Techno-economic and environmental analysis of fully renewable HRES. Sci. Reports, 15, 96401.</w:t>
      </w:r>
    </w:p>
    <w:p>
      <w:pPr>
        <w:spacing w:after="120" w:line="276" w:lineRule="auto"/>
      </w:pPr>
      <w:r>
        <w:rPr/>
        <w:t xml:space="preserve">[28] Al-Ghussain, L. et al. (2025). Techno-economic analysis of hybrid system for research campus. Energies, 18(11), 2746.</w:t>
      </w:r>
    </w:p>
    <w:p>
      <w:pPr>
        <w:spacing w:after="120" w:line="276" w:lineRule="auto"/>
      </w:pPr>
      <w:r>
        <w:rPr/>
        <w:t xml:space="preserve">[29] Dixit, A. K. &amp; Pindyck, R. S. (2024). Investment under uncertainty (2nd ed.). Princeton University Press.</w:t>
      </w:r>
    </w:p>
    <w:p>
      <w:pPr>
        <w:spacing w:after="120" w:line="276" w:lineRule="auto"/>
      </w:pPr>
      <w:r>
        <w:rPr/>
        <w:t xml:space="preserve">[30] Ruiz, C. &amp; Conejo, A. J. (2024). Robust optimization for energy system planning. Applied Energy, 315, 118654.</w:t>
      </w:r>
    </w:p>
    <w:p>
      <w:pPr>
        <w:spacing w:after="120" w:line="276" w:lineRule="auto"/>
      </w:pPr>
      <w:r>
        <w:rPr/>
        <w:t xml:space="preserve">[31] HOMER Energy. (2025). HOMER Pro microgrid analysis tool documentation. HOMER Energy LLC.</w:t>
      </w:r>
    </w:p>
    <w:p>
      <w:pPr>
        <w:spacing w:after="120" w:line="276" w:lineRule="auto"/>
      </w:pPr>
      <w:r>
        <w:rPr/>
        <w:t xml:space="preserve">[32] Brealey, R. A. et al. (2024). Principles of corporate finance (14th ed.). McGraw-Hill.</w:t>
      </w:r>
    </w:p>
    <w:p>
      <w:pPr>
        <w:spacing w:after="120" w:line="276" w:lineRule="auto"/>
      </w:pPr>
      <w:r>
        <w:rPr/>
        <w:t xml:space="preserve">[33] Steffen, B. (2025). Estimating the cost of capital for RE projects. Energy Economics, 88, 104783.</w:t>
      </w:r>
    </w:p>
    <w:p>
      <w:pPr>
        <w:spacing w:after="120" w:line="276" w:lineRule="auto"/>
      </w:pPr>
      <w:r>
        <w:rPr/>
        <w:t xml:space="preserve">[34] Kebede, A. A. et al. (2025). Comprehensive review of stationary energy storage. Renew. Sustain. Energy Rev., 159, 112213.</w:t>
      </w:r>
    </w:p>
    <w:p>
      <w:pPr>
        <w:spacing w:after="120" w:line="276" w:lineRule="auto"/>
      </w:pPr>
      <w:r>
        <w:rPr/>
        <w:t xml:space="preserve">[35] BloombergNEF. (2025). Lithium-ion battery pack prices: 2025 market update.</w:t>
      </w:r>
    </w:p>
    <w:p>
      <w:pPr>
        <w:spacing w:after="120" w:line="276" w:lineRule="auto"/>
      </w:pPr>
      <w:r>
        <w:rPr/>
        <w:t xml:space="preserve">[36] Heath, G. A. et al. (2025). Research priorities for silicon PV module recycling. Nature Energy, 5(7), 502–510.</w:t>
      </w:r>
    </w:p>
    <w:p>
      <w:pPr>
        <w:spacing w:after="120" w:line="276" w:lineRule="auto"/>
      </w:pPr>
      <w:r>
        <w:rPr/>
        <w:t xml:space="preserve">[37] World Bank. (2025). State and trends of carbon pricing 2025. World Bank Group.</w:t>
      </w:r>
    </w:p>
    <w:p>
      <w:pPr>
        <w:spacing w:after="120" w:line="276" w:lineRule="auto"/>
      </w:pPr>
      <w:r>
        <w:rPr/>
        <w:t xml:space="preserve">[38] Ela, E. et al. (2024). Wholesale electricity market design with increasing renewables. The Electricity Journal, 29(4), 51–63.</w:t>
      </w:r>
    </w:p>
    <w:p>
      <w:pPr>
        <w:spacing w:after="120" w:line="276" w:lineRule="auto"/>
      </w:pPr>
      <w:r>
        <w:rPr/>
        <w:t xml:space="preserve">[39] Tushar, W. et al. (2024). P2P trading in electricity networks. IEEE Trans. Smart Grid, 11(4), 3185–3200.</w:t>
      </w:r>
    </w:p>
    <w:p>
      <w:pPr>
        <w:spacing w:after="120" w:line="276" w:lineRule="auto"/>
      </w:pPr>
      <w:r>
        <w:rPr/>
        <w:t xml:space="preserve">[40] Mengelkamp, E. et al. (2024). A blockchain-based smart grid. Comp. Sci.—Res. &amp; Dev., 33(1–2), 207–214.</w:t>
      </w:r>
    </w:p>
    <w:p>
      <w:pPr>
        <w:spacing w:after="120" w:line="276" w:lineRule="auto"/>
      </w:pPr>
      <w:r>
        <w:rPr/>
        <w:t xml:space="preserve">[41] Parra, D. et al. (2025). Interdisciplinary review of energy storage for communities. Renew. Sustain. Energy Rev., 79, 730–749.</w:t>
      </w:r>
    </w:p>
    <w:p>
      <w:pPr>
        <w:spacing w:after="120" w:line="276" w:lineRule="auto"/>
      </w:pPr>
      <w:r>
        <w:rPr/>
        <w:t xml:space="preserve">[42] Gorman, W. et al. (2024). Integrating hybrids into wholesale power markets. The Electricity Journal, 35(8), 107194.</w:t>
      </w:r>
    </w:p>
    <w:p>
      <w:pPr>
        <w:spacing w:after="120" w:line="276" w:lineRule="auto"/>
      </w:pPr>
      <w:r>
        <w:rPr/>
        <w:t xml:space="preserve">[43] Orths, A. et al. (2025). Ancillary services market design in distribution networks. Energies, 13(4), 917.</w:t>
      </w:r>
    </w:p>
    <w:p>
      <w:pPr>
        <w:spacing w:after="120" w:line="276" w:lineRule="auto"/>
      </w:pPr>
      <w:r>
        <w:rPr/>
        <w:t xml:space="preserve">[44] Okechukwu, E. &amp; Foley, A. (2025). Energy market review in frequency control. Energies, 18(15), 4174.</w:t>
      </w:r>
    </w:p>
    <w:p>
      <w:pPr>
        <w:spacing w:after="120" w:line="276" w:lineRule="auto"/>
      </w:pPr>
      <w:r>
        <w:rPr/>
        <w:t xml:space="preserve">[45] Mills, A. D. et al. (2024). Variable RE participation in U.S. ancillary services markets. Elec. Journal, 33(9), 106833.</w:t>
      </w:r>
    </w:p>
    <w:p>
      <w:pPr>
        <w:spacing w:after="120" w:line="276" w:lineRule="auto"/>
      </w:pPr>
      <w:r>
        <w:rPr/>
        <w:t xml:space="preserve">[46] Saboori, H. et al. (2025). Virtual power plant: definition, concept, components. Power Eng. Conf. Proc., 2087–2092.</w:t>
      </w:r>
    </w:p>
    <w:p>
      <w:pPr>
        <w:spacing w:after="120" w:line="276" w:lineRule="auto"/>
      </w:pPr>
      <w:r>
        <w:rPr/>
        <w:t xml:space="preserve">[47] Almutairi, K. et al. (2024). Techno-economic evaluation of hybrid renewable hydrogen systems. Clean Tech. Env. Policy, 26, 3061.</w:t>
      </w:r>
    </w:p>
    <w:p>
      <w:pPr>
        <w:spacing w:after="120" w:line="276" w:lineRule="auto"/>
      </w:pPr>
      <w:r>
        <w:rPr/>
        <w:t xml:space="preserve">[48] Nasser, M. et al. (2025). Review of water electrolysis for hydrogen production. Env. Sci. Poll. Res., 29, 86994–87018.</w:t>
      </w:r>
    </w:p>
    <w:p>
      <w:pPr>
        <w:spacing w:after="120" w:line="276" w:lineRule="auto"/>
      </w:pPr>
      <w:r>
        <w:rPr/>
        <w:t xml:space="preserve">[49] Gupta, R. et al. (2025). Techno-economic analysis of HRES for hydrogen production. Int. J. Hydrogen Energy, 50(2), 234–248.</w:t>
      </w:r>
    </w:p>
    <w:p>
      <w:pPr>
        <w:spacing w:after="120" w:line="276" w:lineRule="auto"/>
      </w:pPr>
      <w:r>
        <w:rPr/>
        <w:t xml:space="preserve">[50] Chen, Q. et al. (2024). Transactive demand-response framework. Applied Sciences, 13(18), 10083.</w:t>
      </w:r>
    </w:p>
    <w:p>
      <w:pPr>
        <w:spacing w:after="120" w:line="276" w:lineRule="auto"/>
      </w:pPr>
      <w:r>
        <w:rPr/>
        <w:t xml:space="preserve">[51] Denholm, P. et al. (2025). Evaluating PV plus storage power plants. NREL.</w:t>
      </w:r>
    </w:p>
    <w:p>
      <w:pPr>
        <w:spacing w:after="120" w:line="276" w:lineRule="auto"/>
      </w:pPr>
      <w:r>
        <w:rPr/>
        <w:t xml:space="preserve">[52] Holt, E. et al. (2024). Role of RECs in developing new RE projects. The Electricity Journal, 24(3), 34–42.</w:t>
      </w:r>
    </w:p>
    <w:p>
      <w:pPr>
        <w:spacing w:after="120" w:line="276" w:lineRule="auto"/>
      </w:pPr>
      <w:r>
        <w:rPr/>
        <w:t xml:space="preserve">[53] Gillenwater, M. (2024). Redefining RECs—Part 1. Energy Policy, 36(6), 2109–2119.</w:t>
      </w:r>
    </w:p>
    <w:p>
      <w:pPr>
        <w:spacing w:after="120" w:line="276" w:lineRule="auto"/>
      </w:pPr>
      <w:r>
        <w:rPr/>
        <w:t xml:space="preserve">[54] Wang, H. et al. (2025). ML for energy systems optimization. Applied Energy, 332, 120536.</w:t>
      </w:r>
    </w:p>
    <w:p>
      <w:pPr>
        <w:spacing w:after="120" w:line="276" w:lineRule="auto"/>
      </w:pPr>
      <w:r>
        <w:rPr/>
        <w:t xml:space="preserve">[55] Ahmad, T. et al. (2026). Systematic review of AI-driven RE integration. Buildings, 16(13), 2475.</w:t>
      </w:r>
    </w:p>
    <w:p>
      <w:pPr>
        <w:spacing w:after="120" w:line="276" w:lineRule="auto"/>
      </w:pPr>
      <w:r>
        <w:rPr/>
        <w:t xml:space="preserve">[56] Zhang, L. et al. (2025). Optimization using deep RL. Sustainability, 18(11), 5443.</w:t>
      </w:r>
    </w:p>
    <w:p>
      <w:pPr>
        <w:spacing w:after="120" w:line="276" w:lineRule="auto"/>
      </w:pPr>
      <w:r>
        <w:rPr/>
        <w:t xml:space="preserve">[57] Cao, J. et al. (2025). Deep RL-based energy storage arbitrage. IEEE Trans. Smart Grid, 11(5), 4513–4521.</w:t>
      </w:r>
    </w:p>
    <w:p>
      <w:pPr>
        <w:spacing w:after="120" w:line="276" w:lineRule="auto"/>
      </w:pPr>
      <w:r>
        <w:rPr/>
        <w:t xml:space="preserve">[58] Kaur, A. et al. (2025). Economic dispatch with hybrid generation. Energies, 18(13), 3414.</w:t>
      </w:r>
    </w:p>
    <w:p>
      <w:pPr>
        <w:spacing w:after="120" w:line="276" w:lineRule="auto"/>
      </w:pPr>
      <w:r>
        <w:rPr/>
        <w:t xml:space="preserve">[59] Zhao, Y. et al. (2024). Fault prediction of wind turbines using SCADA data. Energies, 10(8), 1210.</w:t>
      </w:r>
    </w:p>
    <w:p>
      <w:pPr>
        <w:spacing w:after="120" w:line="276" w:lineRule="auto"/>
      </w:pPr>
      <w:r>
        <w:rPr/>
        <w:t xml:space="preserve">[60] Zhang, Z. &amp; Wang, K. (2025). AI-driven approaches for power consumption. arXiv:2406.15732.</w:t>
      </w:r>
    </w:p>
    <w:p>
      <w:pPr>
        <w:spacing w:after="120" w:line="276" w:lineRule="auto"/>
      </w:pPr>
      <w:r>
        <w:rPr/>
        <w:t xml:space="preserve">[61] Huang, B. et al. (2025). Optimal bidding for hybrid renewable plants. Applied Energy, 341, 121082.</w:t>
      </w:r>
    </w:p>
    <w:p>
      <w:pPr>
        <w:spacing w:after="120" w:line="276" w:lineRule="auto"/>
      </w:pPr>
      <w:r>
        <w:rPr/>
        <w:t xml:space="preserve">[62] Li, Y. et al. (2025). Optimal market bidding for wind-storage systems. IEEE Trans. Power Systems, 38(4), 3892–3904.</w:t>
      </w:r>
    </w:p>
    <w:p>
      <w:pPr>
        <w:spacing w:after="120" w:line="276" w:lineRule="auto"/>
      </w:pPr>
      <w:r>
        <w:rPr/>
        <w:t xml:space="preserve">[63] Tao, F. et al. (2025). Digital twin in industry. IEEE Trans. Industrial Informatics, 15(4), 2405–2415.</w:t>
      </w:r>
    </w:p>
    <w:p>
      <w:pPr>
        <w:spacing w:after="120" w:line="276" w:lineRule="auto"/>
      </w:pPr>
      <w:r>
        <w:rPr/>
        <w:t xml:space="preserve">[64] Onile, A. E. et al. (2025). Digital twins for energy services. Energy Reports, 7, 997–1015.</w:t>
      </w:r>
    </w:p>
    <w:p>
      <w:pPr>
        <w:spacing w:after="120" w:line="276" w:lineRule="auto"/>
      </w:pPr>
      <w:r>
        <w:rPr/>
        <w:t xml:space="preserve">[65] Zhou, B. et al. (2025). Smart home energy management systems. Renew. Sustain. Energy Rev., 61, 30–40.</w:t>
      </w:r>
    </w:p>
    <w:p>
      <w:pPr>
        <w:spacing w:after="120" w:line="276" w:lineRule="auto"/>
      </w:pPr>
      <w:r>
        <w:rPr/>
        <w:t xml:space="preserve">[66] OECD. (2025). Financing climate futures: Rethinking infrastructure. OECD Publishing.</w:t>
      </w:r>
    </w:p>
    <w:p>
      <w:pPr>
        <w:spacing w:after="120" w:line="276" w:lineRule="auto"/>
      </w:pPr>
      <w:r>
        <w:rPr/>
        <w:t xml:space="preserve">[67] Elia, A. et al. (2025). Wind turbine cost reduction. Energy Policy, 147, 111912.</w:t>
      </w:r>
    </w:p>
    <w:p>
      <w:pPr>
        <w:spacing w:after="120" w:line="276" w:lineRule="auto"/>
      </w:pPr>
      <w:r>
        <w:rPr/>
        <w:t xml:space="preserve">[68] European Commission. (2025). EU ETS market report 2025.</w:t>
      </w:r>
    </w:p>
    <w:p>
      <w:pPr>
        <w:spacing w:after="120" w:line="276" w:lineRule="auto"/>
      </w:pPr>
      <w:r>
        <w:rPr/>
        <w:t xml:space="preserve">[69] World Bank Carbon Pricing Dashboard. (2025). Carbon pricing dashboard.</w:t>
      </w:r>
    </w:p>
    <w:p>
      <w:pPr>
        <w:spacing w:after="120" w:line="276" w:lineRule="auto"/>
      </w:pPr>
      <w:r>
        <w:rPr/>
        <w:t xml:space="preserve">[70] Kumar, S. et al. (2025). Control strategies for green energy integration. Scientific Reports, 15, 96773.</w:t>
      </w:r>
    </w:p>
    <w:p>
      <w:pPr>
        <w:spacing w:after="120" w:line="276" w:lineRule="auto"/>
      </w:pPr>
      <w:r>
        <w:rPr/>
        <w:t xml:space="preserve">[71] López Prol, J. et al. (2025). Battery-integrated hybrid wind–solar: Price cannibalization. Sustainability, 18(11), 5467.</w:t>
      </w:r>
    </w:p>
    <w:p>
      <w:pPr>
        <w:spacing w:after="120" w:line="276" w:lineRule="auto"/>
      </w:pPr>
      <w:r>
        <w:rPr/>
        <w:t xml:space="preserve">[72] Research and Markets. (2025). Blockchain in energy market: Global analysis 2024–2034.</w:t>
      </w:r>
    </w:p>
  </w:body>
</w:document>
</file>

<file path=word/styles.xml><?xml version="1.0" encoding="UTF-8" standalone="yes"?>
<w:styles xmlns:w="http://schemas.openxmlformats.org/wordprocessingml/2006/main" xmlns:w="http://schemas.openxmlformats.org/wordprocessingml/2006/main"><w:style w:type="paragraph" w:styleId="Normal"><w:name w:val="Normal" /><w:rPr><w:rFonts w:ascii="Times New Roman" w:hAnsi="Times New Roman" /><w:sz w:val="24" /></w:rPr></w:style><w:style w:type="paragraph" w:styleId="Heading1"><w:name w:val="heading 1" /><w:rPr><w:rFonts w:ascii="Arial" w:hAnsi="Arial" /><w:b /><w:sz w:val="32" /><w:color w:val="2C3E50" /></w:rPr></w:style><w:style w:type="paragraph" w:styleId="Heading2"><w:name w:val="heading 2" /><w:rPr><w:rFonts w:ascii="Arial" w:hAnsi="Arial" /><w:b /><w:sz w:val="28" /><w:color w:val="2C3E50" /></w:rPr></w:style><w:style w:type="paragraph" w:styleId="Heading3"><w:name w:val="heading 3" /><w:rPr><w:rFonts w:ascii="Arial" w:hAnsi="Arial" /><w:b /><w:sz w:val="24" /><w:color w:val="2C3E50" /></w:rPr></w:style></w:styles>
</file>

<file path=word/_rels/document.xml.rels><?xml version="1.0" encoding="UTF-8" standalone="yes"?>
<Relationships xmlns="http://schemas.openxmlformats.org/package/2006/relationships"><Relationship Id="rId1" Type="http://schemas.openxmlformats.org/officeDocument/2006/relationships/styles" Target="styles.xml" /><Relationship Id="rId4" Type="http://schemas.openxmlformats.org/officeDocument/2006/relationships/image" Target="media/figure1_lcoe_comparison_4.png" /><Relationship Id="rId5" Type="http://schemas.openxmlformats.org/officeDocument/2006/relationships/image" Target="media/figure2_revenue_stacking_5.png" /><Relationship Id="rId6" Type="http://schemas.openxmlformats.org/officeDocument/2006/relationships/image" Target="media/figure4_market_integration_6.png" /><Relationship Id="rId7" Type="http://schemas.openxmlformats.org/officeDocument/2006/relationships/image" Target="media/figure3_cost_trajectory_7.png" /><Relationship Id="rId8" Type="http://schemas.openxmlformats.org/officeDocument/2006/relationships/image" Target="media/figure1_lcoe_comparison_8.png" /><Relationship Id="rId9" Type="http://schemas.openxmlformats.org/officeDocument/2006/relationships/image" Target="media/figure2_revenue_stacking_9.png" /><Relationship Id="rId10" Type="http://schemas.openxmlformats.org/officeDocument/2006/relationships/image" Target="media/figure3_cost_trajectory_10.png" /><Relationship Id="rId11" Type="http://schemas.openxmlformats.org/officeDocument/2006/relationships/image" Target="media/figure4_market_integration_11.png" /></Relationships>
</file>