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400" w:after="200"/>
        <w:jc w:val="center"/>
      </w:pPr>
      <w:r>
        <w:rPr>
          <w:rFonts w:ascii="Calibri Light" w:hAnsi="Calibri Light"/>
          <w:b/>
          <w:sz w:val="48"/>
          <w:szCs w:val="48"/>
          <w:color w:val="1F3A5F"/>
        </w:rPr>
        <w:t xml:space="preserve">Data-Driven and AI-Assisted Thermal Modelling of Nanofluids</w:t>
      </w:r>
    </w:p>
    <w:p>
      <w:pPr>
        <w:spacing w:after="600"/>
        <w:jc w:val="center"/>
      </w:pPr>
      <w:r>
        <w:rPr>
          <w:rFonts w:ascii="Cambria" w:hAnsi="Cambria"/>
          <w:sz w:val="28"/>
          <w:szCs w:val="28"/>
          <w:color w:val="2E69AD"/>
        </w:rPr>
        <w:t xml:space="preserve">Chapters 7–9: Deep Learning, Hybrid AI–CFD, and Metaheuristic Optimization</w:t>
      </w:r>
    </w:p>
    <w:p>
      <w:pPr>
        <w:spacing w:after="120"/>
        <w:jc w:val="center"/>
      </w:pPr>
      <w:r>
        <w:rPr>
          <w:rFonts w:ascii="Cambria" w:hAnsi="Cambria"/>
          <w:sz w:val="22"/>
          <w:szCs w:val="22"/>
          <w:color w:val="404040"/>
        </w:rPr>
        <w:t xml:space="preserve">Chapter 7 — Deep Learning and Advanced Data-Driven Thermal Modelling</w:t>
      </w:r>
    </w:p>
    <w:p>
      <w:pPr>
        <w:spacing w:after="120"/>
        <w:jc w:val="center"/>
      </w:pPr>
      <w:r>
        <w:rPr>
          <w:rFonts w:ascii="Cambria" w:hAnsi="Cambria"/>
          <w:sz w:val="22"/>
          <w:szCs w:val="22"/>
          <w:color w:val="404040"/>
        </w:rPr>
        <w:t xml:space="preserve">Chapter 8 — Hybrid AI–CFD Approaches for Nanofluid Heat Transfer</w:t>
      </w:r>
    </w:p>
    <w:p>
      <w:pPr>
        <w:spacing w:after="120"/>
        <w:jc w:val="center"/>
      </w:pPr>
      <w:r>
        <w:rPr>
          <w:rFonts w:ascii="Cambria" w:hAnsi="Cambria"/>
          <w:sz w:val="22"/>
          <w:szCs w:val="22"/>
          <w:color w:val="404040"/>
        </w:rPr>
        <w:t xml:space="preserve">Chapter 9 — Hybrid AI, ML, and Metaheuristic Optimization</w:t>
      </w:r>
    </w:p>
    <w:p>
      <w:r>
        <w:br w:type="page"/>
      </w:r>
    </w:p>
    <w:p>
      <w:pPr>
        <w:spacing w:before="360" w:after="140"/>
        <w:keepNext/>
        <w:outlineLvl w:val="0"/>
      </w:pPr>
      <w:r>
        <w:rPr>
          <w:rFonts w:ascii="Calibri Light" w:hAnsi="Calibri Light"/>
          <w:b/>
          <w:sz w:val="40"/>
          <w:szCs w:val="40"/>
          <w:color w:val="1F3A5F"/>
        </w:rPr>
        <w:t xml:space="preserve">Chapter 7. Deep Learning and Advanced Data-Driven Thermal Modelling</w:t>
      </w:r>
    </w:p>
    <w:p>
      <w:pPr>
        <w:spacing w:before="260" w:after="140"/>
        <w:keepNext/>
        <w:outlineLvl w:val="2"/>
      </w:pPr>
      <w:r>
        <w:rPr>
          <w:rFonts w:ascii="Calibri Light" w:hAnsi="Calibri Light"/>
          <w:b/>
          <w:sz w:val="26"/>
          <w:szCs w:val="26"/>
          <w:color w:val="2E69AD"/>
        </w:rPr>
        <w:t xml:space="preserve">Abstract</w:t>
      </w:r>
    </w:p>
    <w:p>
      <w:pPr>
        <w:spacing w:after="140" w:line="276" w:lineRule="auto"/>
        <w:jc w:val="both"/>
        <w:ind w:firstLine="360"/>
      </w:pPr>
      <w:r>
        <w:rPr>
          <w:rFonts w:ascii="Cambria" w:hAnsi="Cambria"/>
          <w:sz w:val="22"/>
          <w:szCs w:val="22"/>
        </w:rPr>
        <w:t xml:space="preserve">The thermal characterisation of nanofluids has evolved from purely empirical correlation fitting toward a data-intensive discipline in which deep learning now occupies a central position. This chapter examines the theoretical foundations, architectural families, and practical deployment of deep neural networks for the prediction of heat transfer in nanofluid systems. It begins with an analysis of why shallow regression models and classical correlations struggle to capture the strongly coupled, nonlinear, and multi-scale physics that govern convective and conductive transport in particle-laden fluids. The discussion then develops the mathematical machinery of deep feed-forward networks, describing how successive nonlinear transformations build hierarchical feature representations that map thermophysical descriptors such as Reynolds number, particle volume fraction, Prandtl number, and geometric aspect ratio onto target quantities including the Nusselt number, the convective heat transfer coefficient, and the friction factor. Particular attention is given to the architectural adaptations required for spatially and temporally resolved thermal data, where convolutional neural networks extract morphology-aware features from temperature and velocity fields while recurrent architectures track the evolution of thermal states through time. The chapter closes with a treatment of explainability and interpretability, arguing that the credibility of data-driven thermal models in engineering practice depends not only on predictive accuracy but on the transparency of the mechanisms that generate predictions. Throughout, the emphasis is on connecting algorithmic behaviour to the underlying transport physics so that deep learning becomes a partner to, rather than a replacement for, physical reasoning.</w:t>
      </w:r>
    </w:p>
    <w:p>
      <w:pPr>
        <w:spacing w:before="360" w:after="140"/>
        <w:keepNext/>
        <w:outlineLvl w:val="1"/>
      </w:pPr>
      <w:r>
        <w:rPr>
          <w:rFonts w:ascii="Calibri Light" w:hAnsi="Calibri Light"/>
          <w:b/>
          <w:sz w:val="30"/>
          <w:szCs w:val="30"/>
          <w:color w:val="1F3A5F"/>
        </w:rPr>
        <w:t xml:space="preserve">7.1 Deep Neural Networks for Heat Transfer Prediction</w:t>
      </w:r>
    </w:p>
    <w:p>
      <w:pPr>
        <w:spacing w:after="140" w:line="276" w:lineRule="auto"/>
        <w:jc w:val="both"/>
        <w:ind w:firstLine="360"/>
      </w:pPr>
      <w:r>
        <w:rPr>
          <w:rFonts w:ascii="Cambria" w:hAnsi="Cambria"/>
          <w:sz w:val="22"/>
          <w:szCs w:val="22"/>
        </w:rPr>
        <w:t xml:space="preserve">The prediction of heat transfer in nanofluids has long relied on dimensionless correlations of the Dittus–Boelter or Gnielinski type, in which the Nusselt number is expressed as a power-law product of the Reynolds and Prandtl numbers. While such correlations remain valuable for first-order engineering estimates, they were derived for single-phase Newtonian fluids and only weakly accommodate the additional physics introduced by dispersed nanoparticles, including Brownian diffusion, thermophoresis, particle clustering, interfacial thermal resistance, and the formation of ordered liquid layers at the solid–liquid boundary [1]. Attempts to extend classical correlations by appending volume-fraction terms have produced a proliferation of competing expressions whose coefficients are calibrated to narrow experimental windows and generalise poorly beyond them. It is against this backdrop that deep neural networks have emerged as a flexible alternative capable of representing arbitrarily complex mappings between input descriptors and thermal responses without presupposing a fixed functional form [2].</w:t>
      </w:r>
    </w:p>
    <w:p>
      <w:pPr>
        <w:spacing w:after="140" w:line="276" w:lineRule="auto"/>
        <w:jc w:val="both"/>
        <w:ind w:firstLine="360"/>
      </w:pPr>
      <w:r>
        <w:rPr>
          <w:rFonts w:ascii="Cambria" w:hAnsi="Cambria"/>
          <w:sz w:val="22"/>
          <w:szCs w:val="22"/>
        </w:rPr>
        <w:t xml:space="preserve">To appreciate why the classical approach reaches its limits, one must consider the sheer number of interacting physical mechanisms that a nanofluid correlation would need to encapsulate. The effective thermal conductivity of a suspension depends not only on the volume fraction and the conductivity ratio of the constituents but on the size distribution of the particles, the degree of aggregation, the thickness and ordering of the interfacial nanolayer, and the temperature, which modulates Brownian motion. The effective viscosity, which governs the pumping penalty and couples back into the convective transport through the Prandtl number, exhibits its own complex dependence on shear rate, concentration, and particle morphology. A single algebraic correlation cannot simultaneously honour all of these dependencies without accumulating so many empirical coefficients that its predictive credibility collapses. The deep neural network sidesteps this difficulty by learning the composite relationship directly from data, allocating its representational capacity adaptively to whichever interactions the data reveal to be important.</w:t>
      </w:r>
    </w:p>
    <w:p>
      <w:pPr>
        <w:spacing w:after="140" w:line="276" w:lineRule="auto"/>
        <w:jc w:val="both"/>
        <w:ind w:firstLine="360"/>
      </w:pPr>
      <w:r>
        <w:rPr>
          <w:rFonts w:ascii="Cambria" w:hAnsi="Cambria"/>
          <w:sz w:val="22"/>
          <w:szCs w:val="22"/>
        </w:rPr>
        <w:t xml:space="preserve">A deep neural network for heat transfer prediction is, in its most common form, a fully connected feed-forward architecture. Input neurons receive a vector of thermophysical and operational descriptors; these signals propagate through a sequence of hidden layers, each applying an affine transformation followed by a nonlinear activation; and one or more output neurons emit the predicted thermal quantity. The defining characteristic that separates a deep network from a shallow one is the presence of multiple hidden layers, which allows the model to construct a hierarchy of increasingly abstract intermediate representations. Early layers may learn to combine raw descriptors into composite groups reminiscent of dimensionless numbers, while deeper layers capture higher-order interactions that would be intractable to specify by hand [3]. The universal approximation property guarantees that even a single sufficiently wide hidden layer can approximate any continuous function, but depth confers a representational efficiency that permits the same accuracy with far fewer parameters, an advantage that becomes decisive when the target physics involves interacting mechanisms across disparate scales [4].</w:t>
      </w:r>
    </w:p>
    <w:p>
      <w:pPr>
        <w:spacing w:after="140" w:line="276" w:lineRule="auto"/>
        <w:jc w:val="both"/>
        <w:ind w:firstLine="360"/>
      </w:pPr>
      <w:r>
        <w:rPr>
          <w:rFonts w:ascii="Cambria" w:hAnsi="Cambria"/>
          <w:sz w:val="22"/>
          <w:szCs w:val="22"/>
        </w:rPr>
        <w:t xml:space="preserve">The historical trajectory that led to the present prominence of deep learning in thermal science is worth recalling, for it tempers both the enthusiasm of the newcomer and the scepticism of the traditionalist. Artificial neural networks were applied to heat transfer prediction as early as the closing decades of the twentieth century, but the shallow architectures then feasible, limited by the computational resources and the training algorithms of the era, offered only modest advantages over the regression methods they sought to displace. The confluence of three developments transformed the situation: the accumulation of larger datasets as experimental and computational thermal science matured, the advent of computational hardware capable of training deep architectures efficiently, and the algorithmic advances, in activation functions, optimisation, and regularisation, that rendered deep training stable and reliable. The deep networks that these developments enabled are not merely larger versions of their shallow predecessors but qualitatively more capable models, and the recognition of this qualitative advance underlies the surge of interest that the present chapter reflects. The practitioner who understands this history appreciates that the current success of deep learning rests on a foundation decades in the building, and that its methods, far from being a passing fashion, represent the maturation of a long-developing line of inquiry.</w:t>
      </w:r>
    </w:p>
    <w:p>
      <w:pPr>
        <w:spacing w:after="140" w:line="276" w:lineRule="auto"/>
        <w:jc w:val="both"/>
        <w:ind w:firstLine="360"/>
      </w:pPr>
      <w:r>
        <w:rPr>
          <w:rFonts w:ascii="Cambria" w:hAnsi="Cambria"/>
          <w:sz w:val="22"/>
          <w:szCs w:val="22"/>
        </w:rPr>
        <w:t xml:space="preserve">The mathematics of the forward pass is straightforward yet powerful. Each hidden unit computes a weighted sum of the activations of the preceding layer, adds a bias, and passes the result through a nonlinear activation function; stacking such units in layers composes many simple nonlinear maps into a single highly expressive function. It is the composition of nonlinearities, rather than their individual complexity, that endows the network with its capacity to model the convoluted response surfaces characteristic of nanofluid thermal behaviour. A purely linear composition, however deep, would collapse to a single linear map and would be no more expressive than the multiple linear regression it seeks to surpass; the nonlinear activation is therefore not an incidental detail but the very source of the network's power. This observation explains why the careful selection of activation functions, discussed shortly, exerts such a pronounced influence on the quality of the learned thermal model.</w:t>
      </w:r>
    </w:p>
    <w:p>
      <w:pPr>
        <w:spacing w:after="140" w:line="276" w:lineRule="auto"/>
        <w:jc w:val="both"/>
        <w:ind w:firstLine="360"/>
      </w:pPr>
      <w:r>
        <w:rPr>
          <w:rFonts w:ascii="Cambria" w:hAnsi="Cambria"/>
          <w:sz w:val="22"/>
          <w:szCs w:val="22"/>
        </w:rPr>
        <w:t xml:space="preserve">The training of such a network proceeds by minimising a loss function, typically the mean squared error between predicted and measured thermal responses, using gradient-based optimisation. The gradients are computed efficiently by the back-propagation algorithm, which applies the chain rule of calculus in reverse through the computational graph of the network. Modern optimisers such as Adam adapt the effective learning rate for each parameter on the basis of running estimates of the first and second moments of the gradient, accelerating convergence on the ill-conditioned loss surfaces that are characteristic of thermal regression problems [5]. Regularisation strategies including weight decay, dropout, and early stopping are essential in this domain because experimental nanofluid datasets are frequently small relative to the number of trainable parameters, and unregularised networks readily memorise measurement noise rather than the underlying transport relationship [6].</w:t>
      </w:r>
    </w:p>
    <w:p>
      <w:pPr>
        <w:spacing w:after="140" w:line="276" w:lineRule="auto"/>
        <w:jc w:val="both"/>
        <w:ind w:firstLine="360"/>
      </w:pPr>
      <w:r>
        <w:rPr>
          <w:rFonts w:ascii="Cambria" w:hAnsi="Cambria"/>
          <w:sz w:val="22"/>
          <w:szCs w:val="22"/>
        </w:rPr>
        <w:t xml:space="preserve">The phenomenon of overfitting deserves particular emphasis in the thermal modelling context, where datasets assembled from the published literature rarely exceed a few hundred measurements and are frequently much smaller. A network with thousands of parameters confronted with only hundreds of examples possesses ample capacity to interpolate the training data exactly, including its experimental scatter, while failing entirely to generalise. The signature of this failure is a training error that continues to fall while the validation error rises, and its detection requires the disciplined use of a validation set held apart from training. Early stopping halts the optimisation at the point of minimum validation error, sacrificing a marginal reduction in training error to preserve generalisation. Dropout, which randomly deactivates a fraction of units during each training step, forces the network to distribute its representation redundantly and thereby discourages the brittle co-adaptation of units that underlies overfitting. Weight decay penalises large parameter magnitudes, biasing the network toward the smoother functions that are more likely to reflect genuine physics than measurement artefact.</w:t>
      </w:r>
    </w:p>
    <w:p>
      <w:pPr>
        <w:spacing w:after="140" w:line="276" w:lineRule="auto"/>
        <w:jc w:val="both"/>
        <w:ind w:firstLine="360"/>
      </w:pPr>
      <w:r>
        <w:rPr>
          <w:rFonts w:ascii="Cambria" w:hAnsi="Cambria"/>
          <w:sz w:val="22"/>
          <w:szCs w:val="22"/>
        </w:rPr>
        <w:t xml:space="preserve">The choice of activation function exerts a strong influence on both trainability and physical plausibility. The rectified linear unit and its smooth variants have largely displaced the historically dominant sigmoid and hyperbolic tangent functions because they mitigate the vanishing gradient problem that plagued early deep networks, allowing gradient information to flow effectively through many layers [7]. For heat transfer targets that are strictly positive and monotonic in certain inputs, practitioners sometimes impose architectural constraints or use activations that guarantee the sign of partial derivatives, thereby embedding weak physical priors directly into the model structure. Such measures reduce the risk of the network producing thermodynamically inconsistent predictions, for instance a Nusselt number that decreases with increasing Reynolds number in a regime where enhancement is physically assured [8].</w:t>
      </w:r>
    </w:p>
    <w:p>
      <w:pPr>
        <w:spacing w:after="140" w:line="276" w:lineRule="auto"/>
        <w:jc w:val="both"/>
        <w:ind w:firstLine="360"/>
      </w:pPr>
      <w:r>
        <w:rPr>
          <w:rFonts w:ascii="Cambria" w:hAnsi="Cambria"/>
          <w:sz w:val="22"/>
          <w:szCs w:val="22"/>
        </w:rPr>
        <w:t xml:space="preserve">Feature engineering, though partially automated by the representational capacity of deep networks, remains consequential. The most successful nanofluid thermal models supply the network not with raw dimensional quantities such as flow velocity, tube diameter, and thermal conductivity in isolation, but with a curated set of dimensionless groups and physically motivated ratios. Providing the Reynolds and Prandtl numbers rather than their constituent variables reduces the dimensionality of the input space, enforces the correct scaling behaviour, and dramatically improves generalisation across geometries and fluids [9]. The particle volume fraction, the ratio of nanoparticle to base-fluid thermal conductivity, and the aspect ratio of the flow passage together constitute a compact descriptor set that captures the dominant enhancement mechanisms while remaining small enough to be learned from modest datasets [10].</w:t>
      </w:r>
    </w:p>
    <w:p>
      <w:pPr>
        <w:spacing w:after="140" w:line="276" w:lineRule="auto"/>
        <w:jc w:val="both"/>
        <w:ind w:firstLine="360"/>
      </w:pPr>
      <w:r>
        <w:rPr>
          <w:rFonts w:ascii="Cambria" w:hAnsi="Cambria"/>
          <w:sz w:val="22"/>
          <w:szCs w:val="22"/>
        </w:rPr>
        <w:t xml:space="preserve">The normalisation of inputs and outputs is a further preprocessing step whose importance is frequently underestimated. Thermophysical descriptors span many orders of magnitude, from volume fractions of a fraction of a percent to Reynolds numbers in the tens of thousands, and feeding such disparate scales directly into a network produces an ill-conditioned optimisation in which the gradients associated with the large-magnitude inputs dwarf those of the small-magnitude inputs. Standardising each descriptor to zero mean and unit variance, or scaling it to a fixed interval, equalises the influence of the inputs and accelerates convergence. The target quantity is likewise scaled, and care must be taken to invert the scaling correctly when interpreting predictions and when propagating uncertainty. These operations are elementary, yet their omission is a common cause of the disappointing performance that sometimes leads practitioners to conclude, wrongly, that deep learning is unsuited to their problem.</w:t>
      </w:r>
    </w:p>
    <w:p>
      <w:pPr>
        <w:spacing w:after="140" w:line="276" w:lineRule="auto"/>
        <w:jc w:val="both"/>
        <w:ind w:firstLine="360"/>
      </w:pPr>
      <w:r>
        <w:rPr>
          <w:rFonts w:ascii="Cambria" w:hAnsi="Cambria"/>
          <w:sz w:val="22"/>
          <w:szCs w:val="22"/>
        </w:rPr>
        <w:t xml:space="preserve">Figure 1 illustrates a representative deep network configured for nanofluid Nusselt number prediction, together with a comparison of predictive accuracy across model classes. The architecture shown accepts four dimensionless inputs, passes them through three hidden layers, and emits a single Nusselt number estimate. The accompanying accuracy comparison demonstrates the systematic improvement in the coefficient of determination as model expressiveness increases from multiple linear regression through support vector regression and a shallow artificial neural network to the deep network, underscoring the value of depth for this class of problem [11]. The magnitude of the improvement is not merely cosmetic; the reduction in residual error translates directly into narrower confidence intervals on predicted heat transfer coefficients, which in turn permits less conservative and more economical thermal system design.</w:t>
      </w:r>
    </w:p>
    <w:p>
      <w:pPr>
        <w:jc w:val="center"/>
        <w:spacing w:before="120" w:after="40"/>
      </w:pPr>
      <w:r>
        <w:drawing>
          <wp:inline distT="0" distB="0" distL="0" distR="0">
            <wp:extent cx="59055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1"/>
                    <a:stretch>
                      <a:fillRect/>
                    </a:stretch>
                  </pic:blipFill>
                  <pic:spPr>
                    <a:xfrm>
                      <a:off x="0" y="0"/>
                      <a:ext cx="5905500" cy="3857625"/>
                    </a:xfrm>
                    <a:prstGeom prst="rect">
                      <a:avLst/>
                    </a:prstGeom>
                  </pic:spPr>
                </pic:pic>
              </a:graphicData>
            </a:graphic>
          </wp:inline>
        </w:drawing>
      </w:r>
    </w:p>
    <w:p>
      <w:pPr>
        <w:spacing w:before="60" w:after="220"/>
        <w:jc w:val="center"/>
      </w:pPr>
      <w:r>
        <w:rPr>
          <w:rFonts w:ascii="Cambria" w:hAnsi="Cambria"/>
          <w:b/>
          <w:sz w:val="18"/>
          <w:szCs w:val="18"/>
          <w:color w:val="595959"/>
        </w:rPr>
        <w:t xml:space="preserve">Figure 1. Deep neural network architecture for nanofluid Nusselt number prediction (left) and comparison of predictive accuracy across model classes (right).</w:t>
      </w:r>
    </w:p>
    <w:p>
      <w:pPr>
        <w:spacing w:after="140" w:line="276" w:lineRule="auto"/>
        <w:jc w:val="both"/>
        <w:ind w:firstLine="360"/>
      </w:pPr>
      <w:r>
        <w:rPr>
          <w:rFonts w:ascii="Cambria" w:hAnsi="Cambria"/>
          <w:sz w:val="22"/>
          <w:szCs w:val="22"/>
        </w:rPr>
        <w:t xml:space="preserve">The empirical evidence supporting deep networks for nanofluid heat transfer is now substantial. Across a wide range of nanoparticle chemistries, including metal oxides such as alumina, titania, and copper oxide, as well as carbon-based additives and hybrid combinations, deep models have consistently achieved coefficients of determination exceeding 0.99 on held-out test data, with mean absolute percentage errors frequently below two percent [12]. These figures substantially outperform classical correlations, whose errors on the same datasets commonly exceed ten percent. The performance advantage is most pronounced in the transitional and turbulent regimes and at higher particle loadings, precisely the conditions under which the assumptions underlying classical correlations break down and the nonlinear interactions that deep networks excel at capturing become dominant [13].</w:t>
      </w:r>
    </w:p>
    <w:p>
      <w:pPr>
        <w:spacing w:after="140" w:line="276" w:lineRule="auto"/>
        <w:jc w:val="both"/>
        <w:ind w:firstLine="360"/>
      </w:pPr>
      <w:r>
        <w:rPr>
          <w:rFonts w:ascii="Cambria" w:hAnsi="Cambria"/>
          <w:sz w:val="22"/>
          <w:szCs w:val="22"/>
        </w:rPr>
        <w:t xml:space="preserve">The interpretation of these accuracy figures warrants caution, however, because the coefficient of determination is a summary statistic that can conceal systematic deficiencies. A model may achieve an impressive aggregate score while exhibiting a characteristic bias at the extremes of the response range, systematically underpredicting the highest Nusselt numbers or overpredicting the lowest, a pattern that would be masked in the aggregate but that could prove decisive in a design operating near those extremes. Rigorous model assessment therefore supplements the coefficient of determination with residual analysis, examining the distribution of prediction errors as a function of each input and of the predicted value itself, and searching for the structure in the residuals that signals unmodelled physics. Returning to the accuracy comparison of Figure 1, the superiority of the deep network over the simpler models is evident not only in the aggregate score but, on closer inspection of the underlying residuals, in the absence of the systematic curvature that betrays the inadequacy of the linear and kernel models across the operating envelope.</w:t>
      </w:r>
    </w:p>
    <w:p>
      <w:pPr>
        <w:spacing w:after="140" w:line="276" w:lineRule="auto"/>
        <w:jc w:val="both"/>
        <w:ind w:firstLine="360"/>
      </w:pPr>
      <w:r>
        <w:rPr>
          <w:rFonts w:ascii="Cambria" w:hAnsi="Cambria"/>
          <w:sz w:val="22"/>
          <w:szCs w:val="22"/>
        </w:rPr>
        <w:t xml:space="preserve">A recurring practical concern is the partitioning of data into training, validation, and test subsets. Because nanofluid experiments are often reported as families of measurements sharing a common apparatus, base fluid, and particle type, naive random splitting can leak information between subsets and produce optimistic performance estimates. Rigorous evaluation therefore requires grouped or stratified splitting that holds out entire experimental families, so that the reported test accuracy reflects genuine extrapolation to unseen conditions rather than interpolation within a densely sampled cluster [14]. This methodological point is frequently underappreciated and accounts for a portion of the disparity between the glowing accuracy reported in some studies and the more sobering performance observed when models are deployed on truly novel systems.</w:t>
      </w:r>
    </w:p>
    <w:p>
      <w:pPr>
        <w:spacing w:after="140" w:line="276" w:lineRule="auto"/>
        <w:jc w:val="both"/>
        <w:ind w:firstLine="360"/>
      </w:pPr>
      <w:r>
        <w:rPr>
          <w:rFonts w:ascii="Cambria" w:hAnsi="Cambria"/>
          <w:sz w:val="22"/>
          <w:szCs w:val="22"/>
        </w:rPr>
        <w:t xml:space="preserve">Hyperparameter selection introduces a further layer of complexity. The number of hidden layers, the width of each layer, the learning rate, the batch size, and the regularisation strength interact in ways that resist analytical prediction, and the optimal configuration depends on the size and character of the dataset. Systematic search strategies ranging from grid and random search to Bayesian optimisation and, increasingly, evolutionary metaheuristics are used to navigate this space efficiently, a theme developed at length in Chapter 9 [15]. In the thermal modelling context the tuning objective is typically the validation error, but multi-criteria formulations that jointly penalise model complexity and prediction variance are attracting interest because they yield parsimonious models that are less prone to overfitting and easier to interpret [16].</w:t>
      </w:r>
    </w:p>
    <w:p>
      <w:pPr>
        <w:spacing w:after="140" w:line="276" w:lineRule="auto"/>
        <w:jc w:val="both"/>
        <w:ind w:firstLine="360"/>
      </w:pPr>
      <w:r>
        <w:rPr>
          <w:rFonts w:ascii="Cambria" w:hAnsi="Cambria"/>
          <w:sz w:val="22"/>
          <w:szCs w:val="22"/>
        </w:rPr>
        <w:t xml:space="preserve">The relationship between dataset size and achievable accuracy is governed by a learning curve whose shape informs the allocation of experimental effort. In the data-scarce regime that characterises much of nanofluid research, the addition of each new measurement yields a substantial reduction in generalisation error, and the marginal value of data collection is high. As the dataset grows, the learning curve flattens, and further measurements yield diminishing returns until the error asymptotes at a floor set by the irreducible noise of the measurements and the residual mismatch between the model class and the true physics. Estimating the position of a study on this curve guides the rational decision of whether to invest in additional experiments, in a richer model, or in improved measurement precision, and it tempers the expectation that deep learning can conjure accuracy from data that do not contain it.</w:t>
      </w:r>
    </w:p>
    <w:p>
      <w:pPr>
        <w:spacing w:after="140" w:line="276" w:lineRule="auto"/>
        <w:jc w:val="both"/>
        <w:ind w:firstLine="360"/>
      </w:pPr>
      <w:r>
        <w:rPr>
          <w:rFonts w:ascii="Cambria" w:hAnsi="Cambria"/>
          <w:sz w:val="22"/>
          <w:szCs w:val="22"/>
        </w:rPr>
        <w:t xml:space="preserve">Table 1 summarises the comparative characteristics of the principal data-driven model families applied to nanofluid heat transfer prediction, contrasting their representational capacity, data requirements, interpretability, and typical accuracy. The table makes explicit the trade-offs that a practitioner must weigh: linear and kernel methods offer transparency and low data hunger but limited accuracy, whereas deep architectures deliver superior accuracy at the cost of larger data requirements and reduced native interpretability, a deficit that the techniques of Section 7.3 are designed to address [17].</w:t>
      </w:r>
    </w:p>
    <w:p>
      <w:pPr>
        <w:spacing w:after="40"/>
      </w:pPr>
    </w:p>
    <w:tbl>
      <w:tblPr>
        <w:tblStyle w:val="TableGrid"/>
        <w:tblW w:w="9300" w:type="dxa"/>
        <w:jc w:val="center"/>
        <w:tblBorders>
          <w:top w:val="single" w:sz="6" w:color="9BB0C9"/>
          <w:left w:val="single" w:sz="6" w:color="9BB0C9"/>
          <w:bottom w:val="single" w:sz="6" w:color="9BB0C9"/>
          <w:right w:val="single" w:sz="6" w:color="9BB0C9"/>
          <w:insideH w:val="single" w:sz="4" w:color="C6D2E0"/>
          <w:insideV w:val="single" w:sz="4" w:color="C6D2E0"/>
        </w:tblBorders>
      </w:tblPr>
      <w:tblGrid>
        <w:gridCol w:w="2600"/>
        <w:gridCol w:w="1400"/>
        <w:gridCol w:w="1300"/>
        <w:gridCol w:w="1900"/>
        <w:gridCol w:w="1400"/>
      </w:tblGrid>
      <w:tr>
        <w:trPr>
          <w:tblHeader/>
        </w:trPr>
        <w:tc>
          <w:tcPr>
            <w:tcW w:w="26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Model family</w:t>
            </w:r>
          </w:p>
        </w:tc>
        <w:tc>
          <w:tcPr>
            <w:tcW w:w="14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Capacity</w:t>
            </w:r>
          </w:p>
        </w:tc>
        <w:tc>
          <w:tcPr>
            <w:tcW w:w="13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Data need</w:t>
            </w:r>
          </w:p>
        </w:tc>
        <w:tc>
          <w:tcPr>
            <w:tcW w:w="19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Interpretability</w:t>
            </w:r>
          </w:p>
        </w:tc>
        <w:tc>
          <w:tcPr>
            <w:tcW w:w="14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Typical R2</w:t>
            </w:r>
          </w:p>
        </w:tc>
      </w:tr>
      <w:tr>
        <w:tc>
          <w:tcPr>
            <w:tcW w:w="26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Multiple linear regression</w:t>
            </w:r>
          </w:p>
        </w:tc>
        <w:tc>
          <w:tcPr>
            <w:tcW w:w="14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Low</w:t>
            </w:r>
          </w:p>
        </w:tc>
        <w:tc>
          <w:tcPr>
            <w:tcW w:w="13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Low</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High</w:t>
            </w:r>
          </w:p>
        </w:tc>
        <w:tc>
          <w:tcPr>
            <w:tcW w:w="14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0.82–0.88</w:t>
            </w:r>
          </w:p>
        </w:tc>
      </w:tr>
      <w:tr>
        <w:tc>
          <w:tcPr>
            <w:tcW w:w="26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Support vector regression</w:t>
            </w:r>
          </w:p>
        </w:tc>
        <w:tc>
          <w:tcPr>
            <w:tcW w:w="14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Medium</w:t>
            </w:r>
          </w:p>
        </w:tc>
        <w:tc>
          <w:tcPr>
            <w:tcW w:w="13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Medium</w:t>
            </w:r>
          </w:p>
        </w:tc>
        <w:tc>
          <w:tcPr>
            <w:tcW w:w="19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Medium</w:t>
            </w:r>
          </w:p>
        </w:tc>
        <w:tc>
          <w:tcPr>
            <w:tcW w:w="14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0.90–0.95</w:t>
            </w:r>
          </w:p>
        </w:tc>
      </w:tr>
      <w:tr>
        <w:tc>
          <w:tcPr>
            <w:tcW w:w="26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Shallow ANN</w:t>
            </w:r>
          </w:p>
        </w:tc>
        <w:tc>
          <w:tcPr>
            <w:tcW w:w="14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Medium-high</w:t>
            </w:r>
          </w:p>
        </w:tc>
        <w:tc>
          <w:tcPr>
            <w:tcW w:w="13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Medium</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Low</w:t>
            </w:r>
          </w:p>
        </w:tc>
        <w:tc>
          <w:tcPr>
            <w:tcW w:w="14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0.95–0.97</w:t>
            </w:r>
          </w:p>
        </w:tc>
      </w:tr>
      <w:tr>
        <w:tc>
          <w:tcPr>
            <w:tcW w:w="26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Deep neural network</w:t>
            </w:r>
          </w:p>
        </w:tc>
        <w:tc>
          <w:tcPr>
            <w:tcW w:w="14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High</w:t>
            </w:r>
          </w:p>
        </w:tc>
        <w:tc>
          <w:tcPr>
            <w:tcW w:w="13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High</w:t>
            </w:r>
          </w:p>
        </w:tc>
        <w:tc>
          <w:tcPr>
            <w:tcW w:w="19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Low</w:t>
            </w:r>
          </w:p>
        </w:tc>
        <w:tc>
          <w:tcPr>
            <w:tcW w:w="14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0.98–0.99</w:t>
            </w:r>
          </w:p>
        </w:tc>
      </w:tr>
      <w:tr>
        <w:tc>
          <w:tcPr>
            <w:tcW w:w="26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CNN / RNN hybrids</w:t>
            </w:r>
          </w:p>
        </w:tc>
        <w:tc>
          <w:tcPr>
            <w:tcW w:w="14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Very high</w:t>
            </w:r>
          </w:p>
        </w:tc>
        <w:tc>
          <w:tcPr>
            <w:tcW w:w="13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Very high</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Very low</w:t>
            </w:r>
          </w:p>
        </w:tc>
        <w:tc>
          <w:tcPr>
            <w:tcW w:w="14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0.98–0.995</w:t>
            </w:r>
          </w:p>
        </w:tc>
      </w:tr>
    </w:tbl>
    <w:p>
      <w:pPr>
        <w:spacing w:before="60" w:after="220"/>
        <w:jc w:val="center"/>
      </w:pPr>
      <w:r>
        <w:rPr>
          <w:rFonts w:ascii="Cambria" w:hAnsi="Cambria"/>
          <w:b/>
          <w:sz w:val="18"/>
          <w:szCs w:val="18"/>
          <w:color w:val="595959"/>
        </w:rPr>
        <w:t xml:space="preserve">Table 1. Comparative characteristics of data-driven model families for nanofluid heat transfer prediction.</w:t>
      </w:r>
    </w:p>
    <w:p>
      <w:pPr>
        <w:spacing w:after="140" w:line="276" w:lineRule="auto"/>
        <w:jc w:val="both"/>
        <w:ind w:firstLine="360"/>
      </w:pPr>
      <w:r>
        <w:rPr>
          <w:rFonts w:ascii="Cambria" w:hAnsi="Cambria"/>
          <w:sz w:val="22"/>
          <w:szCs w:val="22"/>
        </w:rPr>
        <w:t xml:space="preserve">The trade-offs catalogued in Table 1 are not absolute but contingent on the specific problem and the resources available. In a data-rich setting with an abundance of high-quality measurements, the data-hunger of the deep architectures ceases to be a liability and their superior capacity becomes decisive; in a data-poor setting, the transparency and modest requirements of the simpler models may recommend them despite their lower ceiling on accuracy. The mature practitioner treats the table not as a ranking but as a map of a decision space, selecting the model family whose profile of strengths and weaknesses best matches the constraints and objectives of the task at hand, and remaining prepared to revise the choice as data accumulate and requirements evolve.</w:t>
      </w:r>
    </w:p>
    <w:p>
      <w:pPr>
        <w:spacing w:after="140" w:line="276" w:lineRule="auto"/>
        <w:jc w:val="both"/>
        <w:ind w:firstLine="360"/>
      </w:pPr>
      <w:r>
        <w:rPr>
          <w:rFonts w:ascii="Cambria" w:hAnsi="Cambria"/>
          <w:sz w:val="22"/>
          <w:szCs w:val="22"/>
        </w:rPr>
        <w:t xml:space="preserve">It is worth emphasising that predictive accuracy, however impressive, is a necessary but not sufficient condition for engineering adoption. A model that predicts the Nusselt number accurately across the training distribution may nonetheless fail catastrophically when extrapolated, and it may violate elementary physical constraints in regions of the input space that are sparsely sampled. Consequently the contemporary research frontier is moving beyond the pursuit of ever-lower test errors toward the construction of models that are simultaneously accurate, physically consistent, and interpretable [18]. Physics-informed deep learning, in which the governing conservation equations are embedded into the loss function as soft constraints, represents one influential response to this challenge and is discussed further in Chapter 8 in the context of hybrid solver architectures [19].</w:t>
      </w:r>
    </w:p>
    <w:p>
      <w:pPr>
        <w:spacing w:after="140" w:line="276" w:lineRule="auto"/>
        <w:jc w:val="both"/>
        <w:ind w:firstLine="360"/>
      </w:pPr>
      <w:r>
        <w:rPr>
          <w:rFonts w:ascii="Cambria" w:hAnsi="Cambria"/>
          <w:sz w:val="22"/>
          <w:szCs w:val="22"/>
        </w:rPr>
        <w:t xml:space="preserve">The section concludes with a note on uncertainty quantification. Point predictions of heat transfer coefficients, however accurate on average, provide no indication of the confidence that should be attached to them. Bayesian neural networks, deep ensembles, and Monte Carlo dropout offer practical routes to calibrated predictive distributions, enabling the model to signal when an input lies outside its region of competence [20]. In safety-critical thermal management applications such as electronics cooling and nuclear systems, the ability to bound predictive uncertainty is arguably as valuable as the accuracy of the central estimate, and it is increasingly regarded as a prerequisite for the deployment of data-driven thermal models in regulated settings. A model that not only predicts a heat transfer coefficient but also reports a credible interval around it enables the designer to incorporate the prediction into a risk-aware analysis, propagating the uncertainty through to the quantities that ultimately determine the safety and economy of the system.</w:t>
      </w:r>
    </w:p>
    <w:p>
      <w:pPr>
        <w:spacing w:after="140" w:line="276" w:lineRule="auto"/>
        <w:jc w:val="both"/>
        <w:ind w:firstLine="360"/>
      </w:pPr>
      <w:r>
        <w:rPr>
          <w:rFonts w:ascii="Cambria" w:hAnsi="Cambria"/>
          <w:sz w:val="22"/>
          <w:szCs w:val="22"/>
        </w:rPr>
        <w:t xml:space="preserve">The sources of predictive uncertainty in a data-driven thermal model are usefully separated into two categories whose distinct origins call for distinct treatment. Aleatoric uncertainty arises from the intrinsic noise of the measurements and the irreducible scatter of the underlying phenomenon; it is a property of the data rather than of the model, and no accumulation of further data of the same quality will eliminate it, though its magnitude may be estimated and reported. Epistemic uncertainty, by contrast, arises from the model's ignorance in regions of the input space that the training data sampled sparsely or not at all; it is a property of the model rather than of the data, and it can be reduced by the acquisition of data in the regions where it is greatest. The distinction matters because the two uncertainties respond differently to intervention: an engineer who observes large aleatoric uncertainty must improve the measurements or accept the scatter, whereas an engineer who observes large epistemic uncertainty can reduce it by directing new experiments to the underexplored regions, a strategy that connects directly to the active-learning methods developed in the chapter that follows.</w:t>
      </w:r>
    </w:p>
    <w:p>
      <w:pPr>
        <w:spacing w:after="140" w:line="276" w:lineRule="auto"/>
        <w:jc w:val="both"/>
        <w:ind w:firstLine="360"/>
      </w:pPr>
      <w:r>
        <w:rPr>
          <w:rFonts w:ascii="Cambria" w:hAnsi="Cambria"/>
          <w:sz w:val="22"/>
          <w:szCs w:val="22"/>
        </w:rPr>
        <w:t xml:space="preserve">The role of the loss function in shaping the behaviour of a thermal model extends well beyond the routine choice of mean squared error, and its deliberate design is a lever of considerable power. The mean squared error penalises large deviations disproportionately and thus produces models that avoid gross errors at the expense of a slight bias in the bulk of the predictions, a trade-off that suits many applications but not all. Where the relative rather than the absolute error is the quantity of engineering interest, as it often is for heat transfer coefficients that span a wide range, a loss formulated in terms of the logarithm of the target or in terms of the percentage error yields a model better aligned with the engineering objective. Where the consequences of over-prediction and under-prediction are asymmetric, as they are in safety-critical applications that can tolerate conservatism but not optimism, an asymmetric loss that penalises the dangerous direction more heavily steers the model toward the cautious errors that the application prefers. The loss function, in short, encodes the engineering priorities into the training objective, and its thoughtful design aligns the model with the purpose it is to serve.</w:t>
      </w:r>
    </w:p>
    <w:p>
      <w:pPr>
        <w:spacing w:after="140" w:line="276" w:lineRule="auto"/>
        <w:jc w:val="both"/>
        <w:ind w:firstLine="360"/>
      </w:pPr>
      <w:r>
        <w:rPr>
          <w:rFonts w:ascii="Cambria" w:hAnsi="Cambria"/>
          <w:sz w:val="22"/>
          <w:szCs w:val="22"/>
        </w:rPr>
        <w:t xml:space="preserve">The curation of the training dataset from the heterogeneous and often inconsistent published literature is a labour that precedes modelling and that conditions its success profoundly. Measurements drawn from different laboratories employ different apparatus, different measurement protocols, and different conventions for reporting, and their naive pooling into a single dataset can introduce systematic inconsistencies that no modelling technique can wholly overcome. The reconciliation of units, the harmonisation of definitions, the identification and treatment of outliers, and the assessment of the relative reliability of the several sources are painstaking tasks whose diligent execution distinguishes a trustworthy dataset from a corrupt one. The adage that the majority of the effort in a data-driven project is consumed by data preparation rather than by modelling holds with full force in nanofluid thermal science, where the data are scarce, heterogeneous, and hard-won, and where their careful curation is the foundation on which every subsequent step depends.</w:t>
      </w:r>
    </w:p>
    <w:p>
      <w:pPr>
        <w:spacing w:after="140" w:line="276" w:lineRule="auto"/>
        <w:jc w:val="both"/>
        <w:ind w:firstLine="360"/>
      </w:pPr>
      <w:r>
        <w:rPr>
          <w:rFonts w:ascii="Cambria" w:hAnsi="Cambria"/>
          <w:sz w:val="22"/>
          <w:szCs w:val="22"/>
        </w:rPr>
        <w:t xml:space="preserve">The deployment of a trained thermal model into an engineering workflow raises questions of maintenance and monitoring that the training-focused literature frequently neglects. A model trained on the nanofluids and operating conditions of today will encounter, over its service life, new particle chemistries, new base fluids, and new operating regimes that lay outside its training distribution, and its accuracy on these novelties cannot be assumed. Responsible deployment therefore instruments the model with monitoring that detects when its inputs stray beyond the region in which it was validated, flagging such inputs for cautious treatment and for the eventual retraining that will extend the model's competence. This lifecycle perspective, in which a model is not a finished artefact but a living component that must be maintained as its operating environment evolves, is increasingly recognised as essential to the sustained reliability of data-driven thermal models in practice.</w:t>
      </w:r>
    </w:p>
    <w:p>
      <w:pPr>
        <w:spacing w:after="140" w:line="276" w:lineRule="auto"/>
        <w:jc w:val="both"/>
        <w:ind w:firstLine="360"/>
      </w:pPr>
      <w:r>
        <w:rPr>
          <w:rFonts w:ascii="Cambria" w:hAnsi="Cambria"/>
          <w:sz w:val="22"/>
          <w:szCs w:val="22"/>
        </w:rPr>
        <w:t xml:space="preserve">Ensemble methods, in which the predictions of several independently trained models are combined, deserve mention both for their contribution to accuracy and for their role in uncertainty quantification. The averaging of several models reduces the variance of the prediction, damping the idiosyncratic errors of any single model and yielding an aggregate prediction that is typically more accurate and more robust than that of its best constituent. The spread of the constituent predictions, moreover, furnishes a practical estimate of epistemic uncertainty: where the models agree, the ensemble is confident; where they diverge, the input likely lies in a region that the training data constrained weakly, and caution is warranted. The deep ensemble, comprising several deep networks trained from different random initialisations, has become a favoured route to calibrated uncertainty precisely because it delivers both benefits at once, and its computational cost, several times that of a single model, is frequently justified by the value of the uncertainty information it provides.</w:t>
      </w:r>
    </w:p>
    <w:p>
      <w:pPr>
        <w:spacing w:before="360" w:after="140"/>
        <w:keepNext/>
        <w:outlineLvl w:val="1"/>
      </w:pPr>
      <w:r>
        <w:rPr>
          <w:rFonts w:ascii="Calibri Light" w:hAnsi="Calibri Light"/>
          <w:b/>
          <w:sz w:val="30"/>
          <w:szCs w:val="30"/>
          <w:color w:val="1F3A5F"/>
        </w:rPr>
        <w:t xml:space="preserve">7.2 Convolutional and Recurrent Neural Networks for Thermal Data</w:t>
      </w:r>
    </w:p>
    <w:p>
      <w:pPr>
        <w:spacing w:after="140" w:line="276" w:lineRule="auto"/>
        <w:jc w:val="both"/>
        <w:ind w:firstLine="360"/>
      </w:pPr>
      <w:r>
        <w:rPr>
          <w:rFonts w:ascii="Cambria" w:hAnsi="Cambria"/>
          <w:sz w:val="22"/>
          <w:szCs w:val="22"/>
        </w:rPr>
        <w:t xml:space="preserve">While fully connected networks are well suited to the prediction of scalar thermal quantities from tabular descriptors, a large and growing class of thermal modelling problems involves data with intrinsic spatial or temporal structure. Temperature and velocity fields obtained from computational fluid dynamics or from infrared thermography are inherently two- or three-dimensional; the evolution of a thermal system during transient operation is inherently sequential. For such data the flat vector representation demanded by a fully connected network discards the very structure that carries the most informative physical content. Convolutional and recurrent neural networks were developed precisely to exploit spatial and temporal regularities, and their adaptation to thermal problems has opened new avenues for field-level prediction and time-resolved forecasting [21].</w:t>
      </w:r>
    </w:p>
    <w:p>
      <w:pPr>
        <w:spacing w:after="140" w:line="276" w:lineRule="auto"/>
        <w:jc w:val="both"/>
        <w:ind w:firstLine="360"/>
      </w:pPr>
      <w:r>
        <w:rPr>
          <w:rFonts w:ascii="Cambria" w:hAnsi="Cambria"/>
          <w:sz w:val="22"/>
          <w:szCs w:val="22"/>
        </w:rPr>
        <w:t xml:space="preserve">The inadequacy of the fully connected treatment of field data becomes stark when its consequences are examined quantitatively. A modest two-dimensional temperature field discretised on a grid of one hundred by one hundred points contains ten thousand values; a fully connected layer mapping this field to a hidden representation of comparable size would require on the order of one hundred million weights, a parameter count that no realistic thermal dataset could constrain. Worse, such a layer would treat each grid point as an independent input, blind to the spatial adjacency that governs the diffusion of heat, and would have to learn the translational structure of the physics afresh at every location. The convolutional architecture resolves both difficulties at a stroke, and understanding how it does so illuminates why it has become indispensable for field-level thermal modelling.</w:t>
      </w:r>
    </w:p>
    <w:p>
      <w:pPr>
        <w:spacing w:after="140" w:line="276" w:lineRule="auto"/>
        <w:jc w:val="both"/>
        <w:ind w:firstLine="360"/>
      </w:pPr>
      <w:r>
        <w:rPr>
          <w:rFonts w:ascii="Cambria" w:hAnsi="Cambria"/>
          <w:sz w:val="22"/>
          <w:szCs w:val="22"/>
        </w:rPr>
        <w:t xml:space="preserve">The convolutional neural network operates by sliding small learnable filters across an input field, computing at each location a weighted sum of the local neighbourhood. This operation embodies two powerful inductive biases that align closely with the physics of heat transfer. The first is locality: the value of a temperature field at a point is most strongly influenced by its immediate surroundings through diffusion, so a filter with limited spatial extent captures the dominant local interactions economically. The second is translational weight sharing: the same physical laws govern heat conduction everywhere within a homogeneous medium, so a single set of filter weights applied across the entire field encodes this spatial invariance and dramatically reduces the number of free parameters relative to a fully connected treatment of the same field [22]. Successive convolutional and pooling layers build a hierarchy of features, progressing from edges and gradients in the shallow layers to complex morphological patterns such as recirculation zones, thermal plumes, and boundary layer structures in the deeper layers [23].</w:t>
      </w:r>
    </w:p>
    <w:p>
      <w:pPr>
        <w:spacing w:after="140" w:line="276" w:lineRule="auto"/>
        <w:jc w:val="both"/>
        <w:ind w:firstLine="360"/>
      </w:pPr>
      <w:r>
        <w:rPr>
          <w:rFonts w:ascii="Cambria" w:hAnsi="Cambria"/>
          <w:sz w:val="22"/>
          <w:szCs w:val="22"/>
        </w:rPr>
        <w:t xml:space="preserve">The pooling operation that typically follows convolution deserves comment because it introduces a controlled loss of spatial precision in exchange for robustness and efficiency. By aggregating the activations within a local region, pooling renders the representation insensitive to small spatial shifts and reduces the resolution of the feature maps, concentrating the network's attention on the presence and approximate location of thermal features rather than their exact position. This coarsening aligns with the physical intuition that the gross structure of a thermal field, the location of a hot spot or the extent of a boundary layer, is often more consequential for engineering purposes than the precise value at any single point. In problems where fine spatial detail must be preserved, such as the reconstruction of a full field rather than the prediction of a summary quantity, architectures that eschew aggressive pooling or that restore resolution through learned upsampling are preferred.</w:t>
      </w:r>
    </w:p>
    <w:p>
      <w:pPr>
        <w:spacing w:after="140" w:line="276" w:lineRule="auto"/>
        <w:jc w:val="both"/>
        <w:ind w:firstLine="360"/>
      </w:pPr>
      <w:r>
        <w:rPr>
          <w:rFonts w:ascii="Cambria" w:hAnsi="Cambria"/>
          <w:sz w:val="22"/>
          <w:szCs w:val="22"/>
        </w:rPr>
        <w:t xml:space="preserve">In nanofluid heat transfer studies, convolutional networks have been applied to predict full temperature and Nusselt number distributions over heated surfaces given boundary and operating conditions, effectively serving as rapid surrogates for expensive field simulations. They have also been used in an inverse mode, inferring unknown boundary heat fluxes or particle distributions from observed surface temperature patterns, a task that is ill-posed for classical methods but tractable for a network trained on a rich corpus of simulated field pairs [24]. The capacity of convolutional architectures to process raw field data without hand-crafted feature extraction is especially valuable when the relevant thermal structures are difficult to characterise analytically, as is often the case in complex geometries and multiphase flows [25].</w:t>
      </w:r>
    </w:p>
    <w:p>
      <w:pPr>
        <w:spacing w:after="140" w:line="276" w:lineRule="auto"/>
        <w:jc w:val="both"/>
        <w:ind w:firstLine="360"/>
      </w:pPr>
      <w:r>
        <w:rPr>
          <w:rFonts w:ascii="Cambria" w:hAnsi="Cambria"/>
          <w:sz w:val="22"/>
          <w:szCs w:val="22"/>
        </w:rPr>
        <w:t xml:space="preserve">Recurrent neural networks address the temporal dimension. In their classical form they maintain a hidden state that is updated at each time step as a function of the current input and the previous state, allowing information to persist and propagate through a sequence. This mechanism makes them natural models for transient thermal processes such as the response of a heat exchanger to a step change in flow rate, the thermal cycling of an electronic component, or the charging and discharging of a latent-heat storage unit [26]. However, the simple recurrent architecture suffers from the vanishing and exploding gradient problems when sequences are long, which limited its early utility. The long short-term memory network resolved this difficulty through a gated cell that regulates the flow of information, deciding at each step what to retain, what to discard, and what to expose, thereby preserving relevant thermal history over extended intervals [27].</w:t>
      </w:r>
    </w:p>
    <w:p>
      <w:pPr>
        <w:spacing w:after="140" w:line="276" w:lineRule="auto"/>
        <w:jc w:val="both"/>
        <w:ind w:firstLine="360"/>
      </w:pPr>
      <w:r>
        <w:rPr>
          <w:rFonts w:ascii="Cambria" w:hAnsi="Cambria"/>
          <w:sz w:val="22"/>
          <w:szCs w:val="22"/>
        </w:rPr>
        <w:t xml:space="preserve">The gating mechanism of the long short-term memory cell repays closer examination because it explains the architecture's remarkable facility with the multi-scale temporal dynamics that thermal systems so often exhibit. A heat exchanger subjected to a fluctuating load experiences both rapid transients, as the fluid temperature responds within seconds to a change in flow, and slow drifts, as the thermal mass of the solid structure equilibrates over minutes. A model that must forecast such behaviour must simultaneously track the fast and slow modes, and the gated cell accomplishes this by learning to hold slowly varying information in its memory while allowing rapidly varying information to pass through and update. The forget gate learns when to discard stale information, the input gate learns when to admit new information, and the output gate learns what portion of the accumulated memory to expose at each step, and the coordination of these gates endows the cell with a learned, adaptive time constant that no fixed-order autoregressive model can match.</w:t>
      </w:r>
    </w:p>
    <w:p>
      <w:pPr>
        <w:spacing w:after="140" w:line="276" w:lineRule="auto"/>
        <w:jc w:val="both"/>
        <w:ind w:firstLine="360"/>
      </w:pPr>
      <w:r>
        <w:rPr>
          <w:rFonts w:ascii="Cambria" w:hAnsi="Cambria"/>
          <w:sz w:val="22"/>
          <w:szCs w:val="22"/>
        </w:rPr>
        <w:t xml:space="preserve">The gated recurrent unit offers a streamlined alternative to the long short-term memory cell, combining the forget and input gates into a single update gate and thereby reducing the parameter count while retaining much of the modelling capacity. In thermal forecasting benchmarks the two architectures often perform comparably, with the gated recurrent unit favoured when data are scarce and the long short-term memory cell favoured when the temporal dependencies are especially long-range or intricate [28]. Both architectures substantially outperform autoregressive statistical models on nonlinear transient thermal problems, particularly when the system exhibits regime changes or coupling between multiple time scales [29].</w:t>
      </w:r>
    </w:p>
    <w:p>
      <w:pPr>
        <w:spacing w:after="140" w:line="276" w:lineRule="auto"/>
        <w:jc w:val="both"/>
        <w:ind w:firstLine="360"/>
      </w:pPr>
      <w:r>
        <w:rPr>
          <w:rFonts w:ascii="Cambria" w:hAnsi="Cambria"/>
          <w:sz w:val="22"/>
          <w:szCs w:val="22"/>
        </w:rPr>
        <w:t xml:space="preserve">The most powerful contemporary approaches to spatio-temporal thermal data combine convolutional and recurrent components into a single pipeline. A convolutional front end extracts spatial features from each field snapshot, compressing a high-dimensional temperature or velocity field into a compact feature vector; a recurrent back end then models the evolution of these feature vectors through time, capturing the temporal dynamics of the thermal system. Figure 2 depicts such a convolutional–recurrent pipeline applied to the forecasting of spatio-temporal thermal fields, together with an illustration of its accuracy in tracking wall temperature over time against a computational ground truth [30]. The close agreement between the predicted and reference trajectories demonstrates that the hybrid architecture successfully learns both the spatial morphology and the temporal rhythm of the thermal field, a feat beyond the reach of either component in isolation.</w:t>
      </w:r>
    </w:p>
    <w:p>
      <w:pPr>
        <w:jc w:val="center"/>
        <w:spacing w:before="120" w:after="40"/>
      </w:pPr>
      <w:r>
        <w:drawing>
          <wp:inline distT="0" distB="0" distL="0" distR="0">
            <wp:extent cx="590550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2"/>
                    <a:stretch>
                      <a:fillRect/>
                    </a:stretch>
                  </pic:blipFill>
                  <pic:spPr>
                    <a:xfrm>
                      <a:off x="0" y="0"/>
                      <a:ext cx="5905500" cy="3371850"/>
                    </a:xfrm>
                    <a:prstGeom prst="rect">
                      <a:avLst/>
                    </a:prstGeom>
                  </pic:spPr>
                </pic:pic>
              </a:graphicData>
            </a:graphic>
          </wp:inline>
        </w:drawing>
      </w:r>
    </w:p>
    <w:p>
      <w:pPr>
        <w:spacing w:before="60" w:after="220"/>
        <w:jc w:val="center"/>
      </w:pPr>
      <w:r>
        <w:rPr>
          <w:rFonts w:ascii="Cambria" w:hAnsi="Cambria"/>
          <w:b/>
          <w:sz w:val="18"/>
          <w:szCs w:val="18"/>
          <w:color w:val="595959"/>
        </w:rPr>
        <w:t xml:space="preserve">Figure 2. Convolutional–recurrent pipeline for spatio-temporal thermal field forecasting (top) and temporal tracking of wall temperature against computational ground truth (bottom).</w:t>
      </w:r>
    </w:p>
    <w:p>
      <w:pPr>
        <w:spacing w:after="140" w:line="276" w:lineRule="auto"/>
        <w:jc w:val="both"/>
        <w:ind w:firstLine="360"/>
      </w:pPr>
      <w:r>
        <w:rPr>
          <w:rFonts w:ascii="Cambria" w:hAnsi="Cambria"/>
          <w:sz w:val="22"/>
          <w:szCs w:val="22"/>
        </w:rPr>
        <w:t xml:space="preserve">A further architectural development of considerable importance is the attention mechanism and the transformer family of models built upon it. Attention allows a network to weight the relevance of different spatial locations or time steps dynamically, rather than treating all positions uniformly or relying solely on the fixed receptive fields of convolution and the sequential memory of recurrence. In thermal applications, attention enables a model to focus on the regions of a field or the moments in a sequence that carry the greatest predictive significance, such as the leading edge of a thermal boundary layer or the onset of a transient event [31]. Although transformers demand large training corpora and were initially prohibitive for data-scarce thermal problems, the increasing availability of large simulation databases and the development of data-efficient training regimes are bringing them within reach for nanofluid modelling [32].</w:t>
      </w:r>
    </w:p>
    <w:p>
      <w:pPr>
        <w:spacing w:after="140" w:line="276" w:lineRule="auto"/>
        <w:jc w:val="both"/>
        <w:ind w:firstLine="360"/>
      </w:pPr>
      <w:r>
        <w:rPr>
          <w:rFonts w:ascii="Cambria" w:hAnsi="Cambria"/>
          <w:sz w:val="22"/>
          <w:szCs w:val="22"/>
        </w:rPr>
        <w:t xml:space="preserve">The attention mechanism also confers an interpretability benefit that is especially prized in engineering settings. Because the attention weights are explicit and inspectable, they reveal which parts of the input the model deemed relevant to each prediction, offering a window into its reasoning that the distributed representations of convolution and recurrence do not readily provide. A thermal model that attends strongly to the near-wall region when predicting the heat transfer coefficient is behaving in a manner consistent with physical understanding, and the confirmation of such behaviour through the examination of attention maps reinforces confidence in the model. This convergence of predictive power and inspectability positions attention-based architectures at the intersection of the accuracy concerns of the present section and the interpretability concerns of the next.</w:t>
      </w:r>
    </w:p>
    <w:p>
      <w:pPr>
        <w:spacing w:after="140" w:line="276" w:lineRule="auto"/>
        <w:jc w:val="both"/>
        <w:ind w:firstLine="360"/>
      </w:pPr>
      <w:r>
        <w:rPr>
          <w:rFonts w:ascii="Cambria" w:hAnsi="Cambria"/>
          <w:sz w:val="22"/>
          <w:szCs w:val="22"/>
        </w:rPr>
        <w:t xml:space="preserve">Table 2 organises the principal neural architectures discussed in this section according to the data modality for which each is best suited, the inductive bias it embodies, and the representative thermal tasks to which it has been applied. The table is intended to serve as a practical guide for architecture selection: the appropriate choice follows primarily from the structure of the available data and the nature of the prediction target, rather than from any general superiority of one family over another [33].</w:t>
      </w:r>
    </w:p>
    <w:p>
      <w:pPr>
        <w:spacing w:after="40"/>
      </w:pPr>
    </w:p>
    <w:tbl>
      <w:tblPr>
        <w:tblStyle w:val="TableGrid"/>
        <w:tblW w:w="9300" w:type="dxa"/>
        <w:jc w:val="center"/>
        <w:tblBorders>
          <w:top w:val="single" w:sz="6" w:color="9BB0C9"/>
          <w:left w:val="single" w:sz="6" w:color="9BB0C9"/>
          <w:bottom w:val="single" w:sz="6" w:color="9BB0C9"/>
          <w:right w:val="single" w:sz="6" w:color="9BB0C9"/>
          <w:insideH w:val="single" w:sz="4" w:color="C6D2E0"/>
          <w:insideV w:val="single" w:sz="4" w:color="C6D2E0"/>
        </w:tblBorders>
      </w:tblPr>
      <w:tblGrid>
        <w:gridCol w:w="2100"/>
        <w:gridCol w:w="1900"/>
        <w:gridCol w:w="2100"/>
        <w:gridCol w:w="2700"/>
      </w:tblGrid>
      <w:tr>
        <w:trPr>
          <w:tblHeader/>
        </w:trPr>
        <w:tc>
          <w:tcPr>
            <w:tcW w:w="21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Architecture</w:t>
            </w:r>
          </w:p>
        </w:tc>
        <w:tc>
          <w:tcPr>
            <w:tcW w:w="19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Data modality</w:t>
            </w:r>
          </w:p>
        </w:tc>
        <w:tc>
          <w:tcPr>
            <w:tcW w:w="21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Inductive bias</w:t>
            </w:r>
          </w:p>
        </w:tc>
        <w:tc>
          <w:tcPr>
            <w:tcW w:w="27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Representative thermal task</w:t>
            </w:r>
          </w:p>
        </w:tc>
      </w:tr>
      <w:tr>
        <w:tc>
          <w:tcPr>
            <w:tcW w:w="21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Feed-forward DNN</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Tabular / scalar</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None (universal)</w:t>
            </w:r>
          </w:p>
        </w:tc>
        <w:tc>
          <w:tcPr>
            <w:tcW w:w="27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Nusselt number regression</w:t>
            </w:r>
          </w:p>
        </w:tc>
      </w:tr>
      <w:tr>
        <w:tc>
          <w:tcPr>
            <w:tcW w:w="21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Convolutional NN</w:t>
            </w:r>
          </w:p>
        </w:tc>
        <w:tc>
          <w:tcPr>
            <w:tcW w:w="19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Spatial fields</w:t>
            </w:r>
          </w:p>
        </w:tc>
        <w:tc>
          <w:tcPr>
            <w:tcW w:w="21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Locality, translation</w:t>
            </w:r>
          </w:p>
        </w:tc>
        <w:tc>
          <w:tcPr>
            <w:tcW w:w="27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Temperature field prediction</w:t>
            </w:r>
          </w:p>
        </w:tc>
      </w:tr>
      <w:tr>
        <w:tc>
          <w:tcPr>
            <w:tcW w:w="21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Recurrent NN / LSTM</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Time series</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Temporal ordering</w:t>
            </w:r>
          </w:p>
        </w:tc>
        <w:tc>
          <w:tcPr>
            <w:tcW w:w="27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Transient response forecasting</w:t>
            </w:r>
          </w:p>
        </w:tc>
      </w:tr>
      <w:tr>
        <w:tc>
          <w:tcPr>
            <w:tcW w:w="21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CNN–LSTM hybrid</w:t>
            </w:r>
          </w:p>
        </w:tc>
        <w:tc>
          <w:tcPr>
            <w:tcW w:w="19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Spatio-temporal</w:t>
            </w:r>
          </w:p>
        </w:tc>
        <w:tc>
          <w:tcPr>
            <w:tcW w:w="21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Spatial + temporal</w:t>
            </w:r>
          </w:p>
        </w:tc>
        <w:tc>
          <w:tcPr>
            <w:tcW w:w="27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Field evolution forecasting</w:t>
            </w:r>
          </w:p>
        </w:tc>
      </w:tr>
      <w:tr>
        <w:tc>
          <w:tcPr>
            <w:tcW w:w="21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Transformer</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Sequence / field</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Global attention</w:t>
            </w:r>
          </w:p>
        </w:tc>
        <w:tc>
          <w:tcPr>
            <w:tcW w:w="27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Long-range dependency modelling</w:t>
            </w:r>
          </w:p>
        </w:tc>
      </w:tr>
    </w:tbl>
    <w:p>
      <w:pPr>
        <w:spacing w:before="60" w:after="220"/>
        <w:jc w:val="center"/>
      </w:pPr>
      <w:r>
        <w:rPr>
          <w:rFonts w:ascii="Cambria" w:hAnsi="Cambria"/>
          <w:b/>
          <w:sz w:val="18"/>
          <w:szCs w:val="18"/>
          <w:color w:val="595959"/>
        </w:rPr>
        <w:t xml:space="preserve">Table 2. Neural architecture selection guide by data modality and thermal task.</w:t>
      </w:r>
    </w:p>
    <w:p>
      <w:pPr>
        <w:spacing w:after="140" w:line="276" w:lineRule="auto"/>
        <w:jc w:val="both"/>
        <w:ind w:firstLine="360"/>
      </w:pPr>
      <w:r>
        <w:rPr>
          <w:rFonts w:ascii="Cambria" w:hAnsi="Cambria"/>
          <w:sz w:val="22"/>
          <w:szCs w:val="22"/>
        </w:rPr>
        <w:t xml:space="preserve">The guidance distilled in Table 2 should be applied with an awareness that real thermal problems frequently blend modalities and thus reward hybrid architectures. A study of a heat exchanger operating under a time-varying load produces data that are simultaneously spatial, in the distribution of temperature across the exchanger, and temporal, in the evolution of that distribution through the operating cycle, and the combined convolutional–recurrent architecture that the table identifies for spatio-temporal problems corresponds precisely to the pipeline illustrated in Figure 2. The lesson is that architecture selection is not the mechanical application of a lookup table but the thoughtful matching of the model's inductive biases to the structure of the physics, and the table serves this reasoning by making the correspondence between structure and architecture explicit.</w:t>
      </w:r>
    </w:p>
    <w:p>
      <w:pPr>
        <w:spacing w:after="140" w:line="276" w:lineRule="auto"/>
        <w:jc w:val="both"/>
        <w:ind w:firstLine="360"/>
      </w:pPr>
      <w:r>
        <w:rPr>
          <w:rFonts w:ascii="Cambria" w:hAnsi="Cambria"/>
          <w:sz w:val="22"/>
          <w:szCs w:val="22"/>
        </w:rPr>
        <w:t xml:space="preserve">The practical deployment of convolutional and recurrent architectures for thermal data raises distinctive data-handling challenges. Field data are voluminous, and the memory footprint of training on three-dimensional temperature fields at high spatial resolution can be prohibitive; strategies such as patch-based training, resolution reduction, and mixed-precision arithmetic are commonly employed to manage this burden [34]. Temporal data, meanwhile, require careful attention to sampling rates and sequence lengths: too coarse a sampling interval aliases fast dynamics, while excessively long sequences inflate training cost and complicate gradient propagation. The judicious preprocessing of thermal data, including normalisation, detrending, and the removal of measurement artefacts, is frequently as decisive for final performance as the choice of architecture itself [35].</w:t>
      </w:r>
    </w:p>
    <w:p>
      <w:pPr>
        <w:spacing w:after="140" w:line="276" w:lineRule="auto"/>
        <w:jc w:val="both"/>
        <w:ind w:firstLine="360"/>
      </w:pPr>
      <w:r>
        <w:rPr>
          <w:rFonts w:ascii="Cambria" w:hAnsi="Cambria"/>
          <w:sz w:val="22"/>
          <w:szCs w:val="22"/>
        </w:rPr>
        <w:t xml:space="preserve">A final consideration concerns generalisation across geometries and operating regimes. A convolutional network trained on temperature fields from one channel geometry does not automatically transfer to another, because the spatial statistics of the fields differ. Techniques from transfer learning, in which a network pretrained on a large and diverse corpus is fine-tuned on a smaller target dataset, offer a route to broader applicability and are increasingly adopted in thermal modelling to amortise the cost of data collection across related problems [36]. The combination of transfer learning with the physics-informed constraints introduced earlier holds particular promise, since physical laws are geometry-independent and can anchor the model in regions where target-domain data are sparse. A network pretrained on a large synthetic corpus of simulated fields and fine-tuned on a modest set of experimental measurements inherits the physical regularities embedded in the simulations while adapting to the specifics of the experimental apparatus, and this two-stage strategy has proved among the most effective routes to accurate field-level thermal models under realistic data constraints.</w:t>
      </w:r>
    </w:p>
    <w:p>
      <w:pPr>
        <w:spacing w:after="140" w:line="276" w:lineRule="auto"/>
        <w:jc w:val="both"/>
        <w:ind w:firstLine="360"/>
      </w:pPr>
      <w:r>
        <w:rPr>
          <w:rFonts w:ascii="Cambria" w:hAnsi="Cambria"/>
          <w:sz w:val="22"/>
          <w:szCs w:val="22"/>
        </w:rPr>
        <w:t xml:space="preserve">The receptive field of a convolutional network, the extent of the input that influences a given feature, is a design consideration of direct physical significance in thermal applications. Heat diffuses over distances that depend on the thermal diffusivity and the time scale of interest, and a network whose receptive field is smaller than the physically relevant length scale cannot capture the influence of distant regions upon a local prediction, however deep it may be in other respects. The enlargement of the receptive field, whether by stacking many layers, by employing dilated convolutions that expand the field without a commensurate increase in parameters, or by incorporating global pooling that admits information from the entire field, is therefore not a mere architectural nicety but a means of matching the network's spatial reach to the physics of the transport it models. The analyst who configures a convolutional network for a thermal problem must reason about the length scales of the physics and ensure that the network can perceive them, lest a myopic architecture systematically neglect the non-local influences that the transport equations dictate.</w:t>
      </w:r>
    </w:p>
    <w:p>
      <w:pPr>
        <w:spacing w:after="140" w:line="276" w:lineRule="auto"/>
        <w:jc w:val="both"/>
        <w:ind w:firstLine="360"/>
      </w:pPr>
      <w:r>
        <w:rPr>
          <w:rFonts w:ascii="Cambria" w:hAnsi="Cambria"/>
          <w:sz w:val="22"/>
          <w:szCs w:val="22"/>
        </w:rPr>
        <w:t xml:space="preserve">The treatment of boundary conditions poses a distinctive challenge for convolutional networks applied to thermal fields, for the convolution operation, defined most naturally on an unbounded or periodic domain, must be adapted to the finite domains with prescribed boundaries that thermal problems present. The padding of the field at its boundaries, the choice between treating the boundary as a wall, an inlet, or an outlet, and the incorporation of the boundary conditions as additional inputs are decisions that materially affect the network's fidelity near the boundaries, precisely where the thermal gradients are steepest and the engineering interest is often greatest. Architectures that encode the boundary conditions explicitly, whether through specialised boundary treatments or through the physics-informed constraints that enforce them, achieve superior accuracy in the near-boundary region, and their adoption reflects the recognition that the boundaries, far from being a peripheral detail, are frequently the locus of the phenomena that the model most needs to capture.</w:t>
      </w:r>
    </w:p>
    <w:p>
      <w:pPr>
        <w:spacing w:after="140" w:line="276" w:lineRule="auto"/>
        <w:jc w:val="both"/>
        <w:ind w:firstLine="360"/>
      </w:pPr>
      <w:r>
        <w:rPr>
          <w:rFonts w:ascii="Cambria" w:hAnsi="Cambria"/>
          <w:sz w:val="22"/>
          <w:szCs w:val="22"/>
        </w:rPr>
        <w:t xml:space="preserve">The generative modelling of thermal fields, though less mature than the predictive applications emphasised above, is emerging as a further use of convolutional architectures with distinctive value for data augmentation and design exploration. A generative model trained on a corpus of temperature fields learns the distribution from which those fields are drawn and can thereafter synthesise new fields that are statistically consistent with the training corpus, enriching a scarce dataset with plausible additional examples or proposing novel field configurations for a designer to consider. In the data-poor setting that characterises much of nanofluid research, the ability to augment a limited experimental corpus with synthetic fields that respect the learned statistics of the phenomenon offers a route to more robust downstream models, provided that the synthetic data are used with an awareness that they encode the assumptions of the generative model rather than independent observations of the physical world.</w:t>
      </w:r>
    </w:p>
    <w:p>
      <w:pPr>
        <w:spacing w:after="140" w:line="276" w:lineRule="auto"/>
        <w:jc w:val="both"/>
        <w:ind w:firstLine="360"/>
      </w:pPr>
      <w:r>
        <w:rPr>
          <w:rFonts w:ascii="Cambria" w:hAnsi="Cambria"/>
          <w:sz w:val="22"/>
          <w:szCs w:val="22"/>
        </w:rPr>
        <w:t xml:space="preserve">A recurring practical difficulty in the application of recurrent architectures to thermal forecasting is the accumulation of error over long prediction horizons. A model that forecasts one step ahead with high accuracy may, when its predictions are fed back as inputs for successive steps in an autoregressive rollout, accumulate small errors into a large drift that renders the long-horizon forecast useless. Techniques that mitigate this accumulation, including training regimes that expose the model to its own predictions during training and architectures that forecast multiple steps directly rather than autoregressively, are essential to reliable long-horizon thermal forecasting, and their neglect is a common cause of the disappointing long-term performance that sometimes leads practitioners to underestimate the potential of recurrent models for transient thermal analysis.</w:t>
      </w:r>
    </w:p>
    <w:p>
      <w:pPr>
        <w:spacing w:after="140" w:line="276" w:lineRule="auto"/>
        <w:jc w:val="both"/>
        <w:ind w:firstLine="360"/>
      </w:pPr>
      <w:r>
        <w:rPr>
          <w:rFonts w:ascii="Cambria" w:hAnsi="Cambria"/>
          <w:sz w:val="22"/>
          <w:szCs w:val="22"/>
        </w:rPr>
        <w:t xml:space="preserve">The physical consistency of the fields and sequences that these architectures produce is a concern that the pursuit of pointwise accuracy can obscure. A convolutional network may predict a temperature field that matches the reference field closely at every point yet violates the conservation of energy in the aggregate, or a recurrent network may forecast a temperature trajectory that tracks the reference closely yet exhibits unphysical oscillations at fine temporal scales. The enforcement of physical consistency, whether through the physics-informed loss terms discussed elsewhere or through architectural constraints that build conservation into the model by construction, elevates the predictions from mere curve-fits to physically credible reconstructions, and it is increasingly regarded as a requirement rather than a refinement for field-level and sequence-level thermal models intended for engineering use.</w:t>
      </w:r>
    </w:p>
    <w:p>
      <w:pPr>
        <w:spacing w:before="360" w:after="140"/>
        <w:keepNext/>
        <w:outlineLvl w:val="1"/>
      </w:pPr>
      <w:r>
        <w:rPr>
          <w:rFonts w:ascii="Calibri Light" w:hAnsi="Calibri Light"/>
          <w:b/>
          <w:sz w:val="30"/>
          <w:szCs w:val="30"/>
          <w:color w:val="1F3A5F"/>
        </w:rPr>
        <w:t xml:space="preserve">7.3 Explainable and Interpretable Machine Learning</w:t>
      </w:r>
    </w:p>
    <w:p>
      <w:pPr>
        <w:spacing w:after="140" w:line="276" w:lineRule="auto"/>
        <w:jc w:val="both"/>
        <w:ind w:firstLine="360"/>
      </w:pPr>
      <w:r>
        <w:rPr>
          <w:rFonts w:ascii="Cambria" w:hAnsi="Cambria"/>
          <w:sz w:val="22"/>
          <w:szCs w:val="22"/>
        </w:rPr>
        <w:t xml:space="preserve">The predictive power of deep learning in thermal modelling has been established beyond reasonable doubt, yet a persistent obstacle to its adoption in engineering practice is the opacity of the models themselves. A deep network with hundreds of thousands of parameters offers no immediate insight into why it produces a particular prediction, and this opacity is problematic in a discipline where physical understanding, design justification, and regulatory compliance all demand traceable reasoning. Explainable and interpretable machine learning addresses this deficit by providing tools that render the behaviour of complex models intelligible to human experts, thereby transforming a black box into a glass box whose internal logic can be inspected, validated, and, where necessary, corrected [37].</w:t>
      </w:r>
    </w:p>
    <w:p>
      <w:pPr>
        <w:spacing w:after="140" w:line="276" w:lineRule="auto"/>
        <w:jc w:val="both"/>
        <w:ind w:firstLine="360"/>
      </w:pPr>
      <w:r>
        <w:rPr>
          <w:rFonts w:ascii="Cambria" w:hAnsi="Cambria"/>
          <w:sz w:val="22"/>
          <w:szCs w:val="22"/>
        </w:rPr>
        <w:t xml:space="preserve">The demand for interpretability in thermal engineering is not a mere philosophical preference but a practical and often contractual necessity. When a data-driven model informs the design of a cooling system for critical electronics or the thermal management of a reactor, the engineers responsible must be able to justify the model's predictions to reviewers, certifiers, and regulators who will not accept an appeal to the model's accuracy on a test set as a substitute for understanding. A prediction that cannot be explained cannot be defended, and a model that cannot be defended cannot be deployed in a regulated setting regardless of its accuracy. The techniques of this section thus serve not to satisfy an abstract ideal but to meet the concrete requirements of engineering accountability, and their mastery is as much a part of the responsible practice of data-driven thermal modelling as the training of the models themselves.</w:t>
      </w:r>
    </w:p>
    <w:p>
      <w:pPr>
        <w:spacing w:after="140" w:line="276" w:lineRule="auto"/>
        <w:jc w:val="both"/>
        <w:ind w:firstLine="360"/>
      </w:pPr>
      <w:r>
        <w:rPr>
          <w:rFonts w:ascii="Cambria" w:hAnsi="Cambria"/>
          <w:sz w:val="22"/>
          <w:szCs w:val="22"/>
        </w:rPr>
        <w:t xml:space="preserve">It is useful to distinguish between interpretability and explainability, terms that are frequently conflated. Interpretability refers to the degree to which a model's structure is inherently comprehensible: a linear regression or a shallow decision tree is interpretable because its decision logic can be read directly from its parameters. Explainability, by contrast, refers to post-hoc techniques that generate human-understandable accounts of the behaviour of a model that is not itself interpretable, such as a deep network. Both routes are pursued in thermal modelling, and the appropriate choice depends on whether the accuracy sacrificed by adopting an inherently interpretable model is acceptable for the application at hand [38].</w:t>
      </w:r>
    </w:p>
    <w:p>
      <w:pPr>
        <w:spacing w:after="140" w:line="276" w:lineRule="auto"/>
        <w:jc w:val="both"/>
        <w:ind w:firstLine="360"/>
      </w:pPr>
      <w:r>
        <w:rPr>
          <w:rFonts w:ascii="Cambria" w:hAnsi="Cambria"/>
          <w:sz w:val="22"/>
          <w:szCs w:val="22"/>
        </w:rPr>
        <w:t xml:space="preserve">Among post-hoc explanation techniques, feature attribution methods have proved especially influential. These methods quantify the contribution of each input descriptor to a given prediction, revealing which of the Reynolds number, particle volume fraction, Prandtl number, and geometric parameters the model relies upon most heavily. The Shapley additive explanation framework, grounded in cooperative game theory, distributes the predicted value among the input features in a manner that satisfies desirable axioms of fairness and consistency, and it has become a standard tool for auditing nanofluid thermal models [39]. When the attributions produced by such a method align with established physical intuition, for example when the Reynolds number is identified as the dominant driver of convective enhancement, confidence in the model is reinforced; when they diverge, the discrepancy prompts a valuable investigation that may expose either a flaw in the model or a genuinely novel physical relationship [40].</w:t>
      </w:r>
    </w:p>
    <w:p>
      <w:pPr>
        <w:spacing w:after="140" w:line="276" w:lineRule="auto"/>
        <w:jc w:val="both"/>
        <w:ind w:firstLine="360"/>
      </w:pPr>
      <w:r>
        <w:rPr>
          <w:rFonts w:ascii="Cambria" w:hAnsi="Cambria"/>
          <w:sz w:val="22"/>
          <w:szCs w:val="22"/>
        </w:rPr>
        <w:t xml:space="preserve">The tension between accuracy and interpretability, frequently presented as an inescapable trade-off in which every gain in the one is purchased by a loss in the other, deserves examination rather than uncritical acceptance. The trade-off is real in the sense that the most flexible models, capable of the highest accuracy, are also the least transparent; yet it is not absolute, for the techniques surveyed in this section recover a measure of transparency from even the most opaque model, and the physics-informed approaches build interpretability into the model from the outset without sacrificing accuracy. Moreover, the presumption that a simpler, more interpretable model must be less accurate is not always borne out, for on problems whose underlying relationship is itself simple, a transparent model may match the accuracy of an opaque one while far surpassing it in interpretability. The wise practitioner treats the trade-off not as a law to be obeyed but as a tendency to be tested, examining in each case whether the accuracy that the opaque model promises is real and necessary, and whether the transparency that the simple model offers can be had without an unacceptable sacrifice.</w:t>
      </w:r>
    </w:p>
    <w:p>
      <w:pPr>
        <w:spacing w:after="140" w:line="276" w:lineRule="auto"/>
        <w:jc w:val="both"/>
        <w:ind w:firstLine="360"/>
      </w:pPr>
      <w:r>
        <w:rPr>
          <w:rFonts w:ascii="Cambria" w:hAnsi="Cambria"/>
          <w:sz w:val="22"/>
          <w:szCs w:val="22"/>
        </w:rPr>
        <w:t xml:space="preserve">The value of feature attribution extends beyond the auditing of individual predictions to the aggregate characterisation of a model's behaviour across its domain. By averaging the attributions over many predictions, one obtains a global ranking of feature importance that summarises which descriptors the model has learned to rely upon, and the comparison of this learned ranking against the ordering suggested by physical theory constitutes a powerful validation. A model that assigns dominant importance to the Reynolds number and secondary importance to the particle volume fraction, in accordance with the established understanding of forced convective enhancement, has learned a physically sensible relationship; a model that assigns dominant importance to a geometric parameter that theory holds to be secondary has likely latched onto a spurious correlation peculiar to the training data, and its predictions beyond that data should be regarded with suspicion until the anomaly is understood.</w:t>
      </w:r>
    </w:p>
    <w:p>
      <w:pPr>
        <w:spacing w:after="140" w:line="276" w:lineRule="auto"/>
        <w:jc w:val="both"/>
        <w:ind w:firstLine="360"/>
      </w:pPr>
      <w:r>
        <w:rPr>
          <w:rFonts w:ascii="Cambria" w:hAnsi="Cambria"/>
          <w:sz w:val="22"/>
          <w:szCs w:val="22"/>
        </w:rPr>
        <w:t xml:space="preserve">Partial dependence and individual conditional expectation plots offer a complementary perspective by visualising how the predicted thermal response varies as a single input is swept across its range while the others are held fixed or marginalised. Such plots recover the effective functional relationship that the network has learned between, say, the Nusselt number and the particle volume fraction, and they permit direct comparison with the monotonic enhancement trends expected on physical grounds [41]. Deviations from expected monotonicity or the appearance of implausible non-monotonic structure serve as diagnostic signals that the model may be overfitting noise or exploiting spurious correlations in the training data, guiding targeted remediation [42].</w:t>
      </w:r>
    </w:p>
    <w:p>
      <w:pPr>
        <w:spacing w:after="140" w:line="276" w:lineRule="auto"/>
        <w:jc w:val="both"/>
        <w:ind w:firstLine="360"/>
      </w:pPr>
      <w:r>
        <w:rPr>
          <w:rFonts w:ascii="Cambria" w:hAnsi="Cambria"/>
          <w:sz w:val="22"/>
          <w:szCs w:val="22"/>
        </w:rPr>
        <w:t xml:space="preserve">The individual conditional expectation plot refines the partial dependence plot by disaggregating the average response into the individual responses of each data instance, thereby revealing heterogeneity that averaging conceals. If the effect of increasing the particle volume fraction on the Nusselt number differs systematically between the low-Reynolds-number and high-Reynolds-number regimes, a phenomenon of genuine physical interest reflecting the changing balance of enhancement mechanisms, the partial dependence plot would report only the blended average while the individual conditional expectation plot would expose the two distinct behaviours as diverging curves. Such interaction effects are precisely the higher-order relationships that motivated the adoption of deep networks in the first place, and their visualisation closes an interpretive loop, allowing the analyst to confirm that the model has captured the interactions that the physics leads one to expect.</w:t>
      </w:r>
    </w:p>
    <w:p>
      <w:pPr>
        <w:spacing w:after="140" w:line="276" w:lineRule="auto"/>
        <w:jc w:val="both"/>
        <w:ind w:firstLine="360"/>
      </w:pPr>
      <w:r>
        <w:rPr>
          <w:rFonts w:ascii="Cambria" w:hAnsi="Cambria"/>
          <w:sz w:val="22"/>
          <w:szCs w:val="22"/>
        </w:rPr>
        <w:t xml:space="preserve">Surrogate modelling provides a further explanatory route. Here a simple, interpretable model such as a shallow decision tree or a sparse symbolic expression is fitted to the input–output behaviour of the complex network, either globally or locally in the neighbourhood of a prediction of interest. The resulting surrogate approximates the network's behaviour while exposing an interpretable decision structure, and in the thermal context it can sometimes be distilled into a compact algebraic correlation that engineers can use directly, thereby closing the loop back to the classical correlations that deep learning was introduced to surpass [43]. This distillation of learned knowledge into human-readable form represents one of the most appealing prospects of explainable thermal modelling, since it combines the discovery power of deep learning with the transparency and portability of a closed-form expression.</w:t>
      </w:r>
    </w:p>
    <w:p>
      <w:pPr>
        <w:spacing w:after="140" w:line="276" w:lineRule="auto"/>
        <w:jc w:val="both"/>
        <w:ind w:firstLine="360"/>
      </w:pPr>
      <w:r>
        <w:rPr>
          <w:rFonts w:ascii="Cambria" w:hAnsi="Cambria"/>
          <w:sz w:val="22"/>
          <w:szCs w:val="22"/>
        </w:rPr>
        <w:t xml:space="preserve">A more ambitious paradigm is symbolic regression, in which an evolutionary or gradient-based search directly seeks compact mathematical expressions that fit the data without presupposing a functional form. Applied to nanofluid heat transfer, symbolic regression has recovered correlations that resemble but refine the classical power laws, sometimes discovering physically meaningful correction terms that account for particle-scale effects [44]. Because the output is an explicit equation, it is simultaneously accurate, interpretable, and amenable to dimensional analysis, making it an attractive endpoint for a modelling workflow that begins with a flexible deep network and progressively distils its knowledge into transparent form. The equations that symbolic regression produces can be checked for dimensional consistency, examined for the correct asymptotic behaviour at the limits of zero particle loading and infinite Reynolds number, and compared term by term with the classical correlations, subjecting the learned relationship to the full battery of scrutiny that physical science brings to bear on any proposed law.</w:t>
      </w:r>
    </w:p>
    <w:p>
      <w:pPr>
        <w:spacing w:after="140" w:line="276" w:lineRule="auto"/>
        <w:jc w:val="both"/>
        <w:ind w:firstLine="360"/>
      </w:pPr>
      <w:r>
        <w:rPr>
          <w:rFonts w:ascii="Cambria" w:hAnsi="Cambria"/>
          <w:sz w:val="22"/>
          <w:szCs w:val="22"/>
        </w:rPr>
        <w:t xml:space="preserve">Table 3 catalogues the principal interpretability and explainability techniques relevant to data-driven thermal modelling, characterising each by its scope, its output, and its typical use in the nanofluid context. The table underscores that no single technique is universally superior; rather, a portfolio of methods applied in concert provides the most robust route to a trustworthy model, with feature attribution establishing global importance, dependence plots revealing functional shape, and surrogate or symbolic methods distilling actionable expressions [45].</w:t>
      </w:r>
    </w:p>
    <w:p>
      <w:pPr>
        <w:spacing w:after="40"/>
      </w:pPr>
    </w:p>
    <w:tbl>
      <w:tblPr>
        <w:tblStyle w:val="TableGrid"/>
        <w:tblW w:w="9300" w:type="dxa"/>
        <w:jc w:val="center"/>
        <w:tblBorders>
          <w:top w:val="single" w:sz="6" w:color="9BB0C9"/>
          <w:left w:val="single" w:sz="6" w:color="9BB0C9"/>
          <w:bottom w:val="single" w:sz="6" w:color="9BB0C9"/>
          <w:right w:val="single" w:sz="6" w:color="9BB0C9"/>
          <w:insideH w:val="single" w:sz="4" w:color="C6D2E0"/>
          <w:insideV w:val="single" w:sz="4" w:color="C6D2E0"/>
        </w:tblBorders>
      </w:tblPr>
      <w:tblGrid>
        <w:gridCol w:w="2200"/>
        <w:gridCol w:w="1900"/>
        <w:gridCol w:w="2200"/>
        <w:gridCol w:w="3000"/>
      </w:tblGrid>
      <w:tr>
        <w:trPr>
          <w:tblHeader/>
        </w:trPr>
        <w:tc>
          <w:tcPr>
            <w:tcW w:w="22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Technique</w:t>
            </w:r>
          </w:p>
        </w:tc>
        <w:tc>
          <w:tcPr>
            <w:tcW w:w="19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Scope</w:t>
            </w:r>
          </w:p>
        </w:tc>
        <w:tc>
          <w:tcPr>
            <w:tcW w:w="22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Output</w:t>
            </w:r>
          </w:p>
        </w:tc>
        <w:tc>
          <w:tcPr>
            <w:tcW w:w="30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Thermal use case</w:t>
            </w:r>
          </w:p>
        </w:tc>
      </w:tr>
      <w:tr>
        <w:tc>
          <w:tcPr>
            <w:tcW w:w="22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SHAP attribution</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Global / local</w:t>
            </w:r>
          </w:p>
        </w:tc>
        <w:tc>
          <w:tcPr>
            <w:tcW w:w="22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Feature contributions</w:t>
            </w:r>
          </w:p>
        </w:tc>
        <w:tc>
          <w:tcPr>
            <w:tcW w:w="30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Ranking Re, phi, Pr importance</w:t>
            </w:r>
          </w:p>
        </w:tc>
      </w:tr>
      <w:tr>
        <w:tc>
          <w:tcPr>
            <w:tcW w:w="22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Partial dependence</w:t>
            </w:r>
          </w:p>
        </w:tc>
        <w:tc>
          <w:tcPr>
            <w:tcW w:w="19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Global</w:t>
            </w:r>
          </w:p>
        </w:tc>
        <w:tc>
          <w:tcPr>
            <w:tcW w:w="22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Response curves</w:t>
            </w:r>
          </w:p>
        </w:tc>
        <w:tc>
          <w:tcPr>
            <w:tcW w:w="30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Verifying enhancement trends</w:t>
            </w:r>
          </w:p>
        </w:tc>
      </w:tr>
      <w:tr>
        <w:tc>
          <w:tcPr>
            <w:tcW w:w="22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Surrogate trees</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Global / local</w:t>
            </w:r>
          </w:p>
        </w:tc>
        <w:tc>
          <w:tcPr>
            <w:tcW w:w="22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Decision rules</w:t>
            </w:r>
          </w:p>
        </w:tc>
        <w:tc>
          <w:tcPr>
            <w:tcW w:w="30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Approximating network logic</w:t>
            </w:r>
          </w:p>
        </w:tc>
      </w:tr>
      <w:tr>
        <w:tc>
          <w:tcPr>
            <w:tcW w:w="22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Symbolic regression</w:t>
            </w:r>
          </w:p>
        </w:tc>
        <w:tc>
          <w:tcPr>
            <w:tcW w:w="19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Global</w:t>
            </w:r>
          </w:p>
        </w:tc>
        <w:tc>
          <w:tcPr>
            <w:tcW w:w="22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Explicit equation</w:t>
            </w:r>
          </w:p>
        </w:tc>
        <w:tc>
          <w:tcPr>
            <w:tcW w:w="30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Distilling new correlations</w:t>
            </w:r>
          </w:p>
        </w:tc>
      </w:tr>
      <w:tr>
        <w:tc>
          <w:tcPr>
            <w:tcW w:w="22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Physics-informed loss</w:t>
            </w:r>
          </w:p>
        </w:tc>
        <w:tc>
          <w:tcPr>
            <w:tcW w:w="19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Global</w:t>
            </w:r>
          </w:p>
        </w:tc>
        <w:tc>
          <w:tcPr>
            <w:tcW w:w="22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Constrained model</w:t>
            </w:r>
          </w:p>
        </w:tc>
        <w:tc>
          <w:tcPr>
            <w:tcW w:w="30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Enforcing conservation laws</w:t>
            </w:r>
          </w:p>
        </w:tc>
      </w:tr>
    </w:tbl>
    <w:p>
      <w:pPr>
        <w:spacing w:before="60" w:after="220"/>
        <w:jc w:val="center"/>
      </w:pPr>
      <w:r>
        <w:rPr>
          <w:rFonts w:ascii="Cambria" w:hAnsi="Cambria"/>
          <w:b/>
          <w:sz w:val="18"/>
          <w:szCs w:val="18"/>
          <w:color w:val="595959"/>
        </w:rPr>
        <w:t xml:space="preserve">Table 3. Interpretability and explainability techniques for data-driven thermal models.</w:t>
      </w:r>
    </w:p>
    <w:p>
      <w:pPr>
        <w:spacing w:after="140" w:line="276" w:lineRule="auto"/>
        <w:jc w:val="both"/>
        <w:ind w:firstLine="360"/>
      </w:pPr>
      <w:r>
        <w:rPr>
          <w:rFonts w:ascii="Cambria" w:hAnsi="Cambria"/>
          <w:sz w:val="22"/>
          <w:szCs w:val="22"/>
        </w:rPr>
        <w:t xml:space="preserve">The complementary character of the techniques listed in Table 3 is the key to their effective use. Feature attribution answers the question of which inputs matter but is silent on the shape of their influence; dependence plots reveal the shape but do not by themselves yield a portable expression; symbolic regression delivers a portable expression but may miss interactions that a more flexible surrogate would capture. A workflow that deploys these methods in sequence, using attribution to identify the important inputs, dependence plots to characterise their functional influence, and symbolic regression to distil the result into an equation, extracts from the opaque network a transparent and defensible account of its behaviour, and it is this orchestrated application rather than any single technique that constitutes best practice in interpretable thermal modelling.</w:t>
      </w:r>
    </w:p>
    <w:p>
      <w:pPr>
        <w:spacing w:after="140" w:line="276" w:lineRule="auto"/>
        <w:jc w:val="both"/>
        <w:ind w:firstLine="360"/>
      </w:pPr>
      <w:r>
        <w:rPr>
          <w:rFonts w:ascii="Cambria" w:hAnsi="Cambria"/>
          <w:sz w:val="22"/>
          <w:szCs w:val="22"/>
        </w:rPr>
        <w:t xml:space="preserve">Physics-informed and physics-constrained learning occupies a special place in the interpretability discussion because it addresses the trust deficit at its root rather than after the fact. By embedding the governing conservation equations, boundary conditions, or known asymptotic behaviours directly into the training objective, these methods ensure that the model respects the relevant physics by construction, which both improves generalisation and renders the model's behaviour more predictable and defensible [46]. A network that is guaranteed to conserve energy and to reproduce the correct limiting behaviour at zero particle loading is inherently more trustworthy than one whose fidelity to physics is merely hoped for, and the transparency of the imposed constraints provides a form of interpretability that complements the post-hoc techniques described above [47].</w:t>
      </w:r>
    </w:p>
    <w:p>
      <w:pPr>
        <w:spacing w:after="140" w:line="276" w:lineRule="auto"/>
        <w:jc w:val="both"/>
        <w:ind w:firstLine="360"/>
      </w:pPr>
      <w:r>
        <w:rPr>
          <w:rFonts w:ascii="Cambria" w:hAnsi="Cambria"/>
          <w:sz w:val="22"/>
          <w:szCs w:val="22"/>
        </w:rPr>
        <w:t xml:space="preserve">The chapter closes by situating explainability within the broader engineering workflow. An interpretable thermal model is not an academic luxury but a practical necessity: it enables design engineers to justify their choices to reviewers and regulators, it allows domain experts to detect and correct model failures before they propagate into hardware, and it supports the accumulation of physical understanding that is the ultimate goal of thermal science. As deep learning becomes ever more deeply woven into the fabric of thermal engineering, the techniques surveyed in this section will determine whether that integration proceeds on a foundation of understanding or of blind faith. The subsequent chapters build upon this foundation, turning first to the fusion of data-driven models with physics-based computational fluid dynamics and then to the optimisation frameworks that harness these models to design thermal systems of superior performance. The trajectory of the field is unmistakably toward models that are at once accurate, physically grounded, and transparent, and the practitioner who commands the full range of techniques surveyed here is equipped to build thermal models worthy of the confidence that their deployment in consequential engineering decisions demands.</w:t>
      </w:r>
    </w:p>
    <w:p>
      <w:pPr>
        <w:spacing w:after="140" w:line="276" w:lineRule="auto"/>
        <w:jc w:val="both"/>
        <w:ind w:firstLine="360"/>
      </w:pPr>
      <w:r>
        <w:rPr>
          <w:rFonts w:ascii="Cambria" w:hAnsi="Cambria"/>
          <w:sz w:val="22"/>
          <w:szCs w:val="22"/>
        </w:rPr>
        <w:t xml:space="preserve">It is worth dwelling on the epistemic role that interpretability plays in the scientific, as distinct from the engineering, use of data-driven thermal models. When a deep network trained on nanofluid measurements achieves high accuracy, it has, in a sense, discovered a relationship that the classical correlations failed to capture, but that relationship remains locked within the network's parameters until the techniques of this section extract it into human-comprehensible form. The interpretability apparatus is thus not merely a means of auditing a model for deployment but an instrument of discovery, a way of interrogating a successful model to learn what it has learned and thereby to advance the physical understanding of the phenomenon. A feature-attribution analysis that identifies an unexpectedly strong dependence on a particular parameter, or a symbolic regression that recovers a correction term absent from the classical theory, contributes to thermal science in its own right, and the most fruitful applications of data-driven modelling treat prediction and understanding as complementary rather than competing goals.</w:t>
      </w:r>
    </w:p>
    <w:p>
      <w:pPr>
        <w:spacing w:after="140" w:line="276" w:lineRule="auto"/>
        <w:jc w:val="both"/>
        <w:ind w:firstLine="360"/>
      </w:pPr>
      <w:r>
        <w:rPr>
          <w:rFonts w:ascii="Cambria" w:hAnsi="Cambria"/>
          <w:sz w:val="22"/>
          <w:szCs w:val="22"/>
        </w:rPr>
        <w:t xml:space="preserve">The synthesis of the several interpretability techniques into a coherent narrative account of a model's behaviour is the skill that transforms a collection of diagnostic tools into genuine understanding. A feature-attribution ranking, a set of dependence plots, and a distilled symbolic expression are, individually, fragments of insight; woven together into a consistent story of how the model maps its inputs to its outputs, and checked against the physical understanding of the phenomenon, they constitute an explanation worthy of the name. The construction of such a narrative demands both technical facility with the tools and physical insight into the phenomenon, and it is in the union of these that the interpretive art consists. The thermal engineer who can look at a trained network and articulate, in the language of transport physics and with the support of the interpretive tools, why it predicts what it predicts has achieved the understanding that renders the model trustworthy, and has thereby closed the gap between the predictive power of deep learning and the physical comprehension that is the enduring aim of thermal science.</w:t>
      </w:r>
    </w:p>
    <w:p>
      <w:pPr>
        <w:spacing w:after="140" w:line="276" w:lineRule="auto"/>
        <w:jc w:val="both"/>
        <w:ind w:firstLine="360"/>
      </w:pPr>
      <w:r>
        <w:rPr>
          <w:rFonts w:ascii="Cambria" w:hAnsi="Cambria"/>
          <w:sz w:val="22"/>
          <w:szCs w:val="22"/>
        </w:rPr>
        <w:t xml:space="preserve">The governance of data-driven thermal models, encompassing the documentation of their training data, the recording of their validation results, and the versioning of the models themselves, is a final dimension of responsible practice that interpretability supports and that engineering accountability requires. A model whose provenance is documented, whose region of validity is recorded, and whose predictions can be explained is a model that can be audited, defended, and improved; a model lacking these attributes is a liability whose failures cannot be diagnosed and whose successes cannot be trusted beyond the conditions under which they were observed. As data-driven models assume ever greater responsibility in the design of thermal systems, the disciplines of documentation and governance that mature engineering fields have long applied to their physical artefacts are being extended to their computational models, and interpretability is the foundation on which this extension rests.</w:t>
      </w:r>
    </w:p>
    <w:p>
      <w:r>
        <w:br w:type="page"/>
      </w:r>
    </w:p>
    <w:p>
      <w:pPr>
        <w:spacing w:before="360" w:after="140"/>
        <w:keepNext/>
        <w:outlineLvl w:val="0"/>
      </w:pPr>
      <w:r>
        <w:rPr>
          <w:rFonts w:ascii="Calibri Light" w:hAnsi="Calibri Light"/>
          <w:b/>
          <w:sz w:val="40"/>
          <w:szCs w:val="40"/>
          <w:color w:val="1F3A5F"/>
        </w:rPr>
        <w:t xml:space="preserve">Chapter 8. Hybrid AI–CFD Approaches for Nanofluid Heat Transfer</w:t>
      </w:r>
    </w:p>
    <w:p>
      <w:pPr>
        <w:spacing w:before="260" w:after="140"/>
        <w:keepNext/>
        <w:outlineLvl w:val="2"/>
      </w:pPr>
      <w:r>
        <w:rPr>
          <w:rFonts w:ascii="Calibri Light" w:hAnsi="Calibri Light"/>
          <w:b/>
          <w:sz w:val="26"/>
          <w:szCs w:val="26"/>
          <w:color w:val="2E69AD"/>
        </w:rPr>
        <w:t xml:space="preserve">Abstract</w:t>
      </w:r>
    </w:p>
    <w:p>
      <w:pPr>
        <w:spacing w:after="140" w:line="276" w:lineRule="auto"/>
        <w:jc w:val="both"/>
        <w:ind w:firstLine="360"/>
      </w:pPr>
      <w:r>
        <w:rPr>
          <w:rFonts w:ascii="Cambria" w:hAnsi="Cambria"/>
          <w:sz w:val="22"/>
          <w:szCs w:val="22"/>
        </w:rPr>
        <w:t xml:space="preserve">Computational fluid dynamics has become the workhorse of thermal analysis for nanofluid systems, resolving the coupled conservation equations of mass, momentum, and energy across intricate geometries and flow regimes. Yet the fidelity of high-resolution simulation comes at a formidable computational price, and the iterative design studies, parametric sweeps, and optimisation campaigns that engineering practice demands can require thousands of individual solutions. This chapter examines how the marriage of artificial intelligence with computational fluid dynamics addresses this tension, producing hybrid methodologies that retain the physical rigour of simulation while achieving the speed and scalability of data-driven models. The discussion opens with a taxonomy of integration strategies, distinguishing loosely coupled arrangements in which machine learning post-processes or accelerates an otherwise conventional solver from tightly coupled schemes in which learned components are embedded within the solution algorithm itself. It then turns to the use of artificial intelligence to accelerate the convergence of iterative solvers, examining how learned initial guesses, adaptive relaxation, and predicted preconditioners can dramatically reduce the number of iterations required to reach a converged thermal field. The final theme is surrogate and reduced-order modelling, in which the full high-dimensional simulation is replaced by a compact approximation that captures the essential input–output behaviour at a small fraction of the cost. Throughout, the chapter maintains that the objective of hybridisation is not to supplant physics-based simulation but to amplify its reach, enabling analyses that would otherwise be computationally intractable while preserving fidelity to the governing transport equations.</w:t>
      </w:r>
    </w:p>
    <w:p>
      <w:pPr>
        <w:spacing w:before="360" w:after="140"/>
        <w:keepNext/>
        <w:outlineLvl w:val="1"/>
      </w:pPr>
      <w:r>
        <w:rPr>
          <w:rFonts w:ascii="Calibri Light" w:hAnsi="Calibri Light"/>
          <w:b/>
          <w:sz w:val="30"/>
          <w:szCs w:val="30"/>
          <w:color w:val="1F3A5F"/>
        </w:rPr>
        <w:t xml:space="preserve">8.1 Integration of CFD and Machine Learning</w:t>
      </w:r>
    </w:p>
    <w:p>
      <w:pPr>
        <w:spacing w:after="140" w:line="276" w:lineRule="auto"/>
        <w:jc w:val="both"/>
        <w:ind w:firstLine="360"/>
      </w:pPr>
      <w:r>
        <w:rPr>
          <w:rFonts w:ascii="Cambria" w:hAnsi="Cambria"/>
          <w:sz w:val="22"/>
          <w:szCs w:val="22"/>
        </w:rPr>
        <w:t xml:space="preserve">The integration of machine learning with computational fluid dynamics can be understood as a spectrum of increasing intimacy between the data-driven and physics-based components. At the loosest end of this spectrum, machine learning operates entirely outside the solver, consuming the outputs of completed simulations to build predictive models or to extract insight. In the middle of the spectrum, learned components assist the solver without altering its fundamental structure, for example by furnishing improved initial conditions or by adaptively controlling numerical parameters. At the tightest end, machine learning is embedded within the governing equations themselves, replacing closure terms or entire submodels with learned functions that are trained to reproduce high-fidelity behaviour. Each level of integration entails a distinct balance of accuracy, generality, and implementation complexity, and the appropriate choice depends on the specific objectives of the analysis [1].</w:t>
      </w:r>
    </w:p>
    <w:p>
      <w:pPr>
        <w:spacing w:after="140" w:line="276" w:lineRule="auto"/>
        <w:jc w:val="both"/>
        <w:ind w:firstLine="360"/>
      </w:pPr>
      <w:r>
        <w:rPr>
          <w:rFonts w:ascii="Cambria" w:hAnsi="Cambria"/>
          <w:sz w:val="22"/>
          <w:szCs w:val="22"/>
        </w:rPr>
        <w:t xml:space="preserve">The computational burden that motivates this integration merits quantification, for it is the severity of that burden that justifies the considerable effort of hybridisation. A single high-fidelity simulation of turbulent nanofluid flow through a complex heat exchanger geometry, resolving the boundary layers and the near-wall thermal gradients with the fidelity required for accurate heat transfer prediction, may occupy many hours or days of computation on a substantial parallel machine. A parametric study that varies particle concentration, flow rate, and geometry across even a modest grid of values multiplies this cost by hundreds or thousands, and an optimisation campaign that searches the design space adaptively may demand more evaluations still. Confronted with such costs, the analyst faces a stark choice between the impoverished exploration that a limited simulation budget permits and the surrogate-assisted exploration that machine learning enables, and it is the manifest inadequacy of the former that has driven the rapid adoption of the latter.</w:t>
      </w:r>
    </w:p>
    <w:p>
      <w:pPr>
        <w:spacing w:after="140" w:line="276" w:lineRule="auto"/>
        <w:jc w:val="both"/>
        <w:ind w:firstLine="360"/>
      </w:pPr>
      <w:r>
        <w:rPr>
          <w:rFonts w:ascii="Cambria" w:hAnsi="Cambria"/>
          <w:sz w:val="22"/>
          <w:szCs w:val="22"/>
        </w:rPr>
        <w:t xml:space="preserve">The complementary strengths of the physics-based and data-driven approaches, which their integration seeks to combine, are worth articulating clearly, for it is the recognition of their complementarity that motivates the entire hybrid enterprise. Physics-based simulation embodies the accumulated understanding of transport phenomena in the governing equations, generalises reliably to conditions it has never encountered because those equations hold universally, and yields results whose fidelity is bounded only by the resolution of the discretisation and the accuracy of the closures; its weakness is its cost. Data-driven modelling embodies no understanding of the physics but learns the input-output relationship directly from data, evaluates that relationship with negligible cost, and captures effects that the closures of the physics engine may miss; its weakness is its dependence on the data, its unreliability beyond their reach, and its silence concerning the mechanisms it has learned. The hybrid approach aspires to unite the generalisation and fidelity of the physics with the speed of the data-driven model, deploying each where its strength lies and covering the weakness of each with the strength of the other, and the several integration paradigms surveyed in this chapter are so many strategies for achieving this union under different circumstances and to different degrees.</w:t>
      </w:r>
    </w:p>
    <w:p>
      <w:pPr>
        <w:spacing w:after="140" w:line="276" w:lineRule="auto"/>
        <w:jc w:val="both"/>
        <w:ind w:firstLine="360"/>
      </w:pPr>
      <w:r>
        <w:rPr>
          <w:rFonts w:ascii="Cambria" w:hAnsi="Cambria"/>
          <w:sz w:val="22"/>
          <w:szCs w:val="22"/>
        </w:rPr>
        <w:t xml:space="preserve">The loosest and most widely practised form of integration is the construction of data-driven surrogates from simulation output, a theme developed in detail in Section 8.3. In this arrangement a campaign of computational fluid dynamics simulations is executed across a designed sample of the input parameter space, and the resulting input–output pairs train a machine learning model that thereafter predicts the thermal response for new inputs without recourse to the solver. Because the surrogate is decoupled from the physics engine, it can be evaluated in milliseconds, enabling the rapid parametric exploration and optimisation that direct simulation renders prohibitively expensive [2]. The principal limitation is that the surrogate is only as trustworthy as the simulations that trained it and only within the region of the parameter space that those simulations sampled [3].</w:t>
      </w:r>
    </w:p>
    <w:p>
      <w:pPr>
        <w:spacing w:after="140" w:line="276" w:lineRule="auto"/>
        <w:jc w:val="both"/>
        <w:ind w:firstLine="360"/>
      </w:pPr>
      <w:r>
        <w:rPr>
          <w:rFonts w:ascii="Cambria" w:hAnsi="Cambria"/>
          <w:sz w:val="22"/>
          <w:szCs w:val="22"/>
        </w:rPr>
        <w:t xml:space="preserve">A tighter and more physically ambitious form of integration targets the turbulence and multiphase closure models that constitute the greatest source of uncertainty in nanofluid simulation. The Reynolds-averaged Navier–Stokes framework, which underpins the majority of engineering computational fluid dynamics, requires a turbulence closure to relate the unresolved turbulent stresses to the mean flow; conventional closures such as the two-equation eddy-viscosity models embody strong simplifying assumptions that are known to fail in flows with strong curvature, separation, or buoyancy [4]. Machine learning offers a route to data-driven closures that are trained on high-fidelity reference data and that correct the deficiencies of conventional models in the specific flow regimes of interest. For nanofluids, where the presence of particles modifies the effective viscosity, thermal conductivity, and turbulence structure in ways that conventional closures do not anticipate, learned closures hold particular promise [5].</w:t>
      </w:r>
    </w:p>
    <w:p>
      <w:pPr>
        <w:spacing w:after="140" w:line="276" w:lineRule="auto"/>
        <w:jc w:val="both"/>
        <w:ind w:firstLine="360"/>
      </w:pPr>
      <w:r>
        <w:rPr>
          <w:rFonts w:ascii="Cambria" w:hAnsi="Cambria"/>
          <w:sz w:val="22"/>
          <w:szCs w:val="22"/>
        </w:rPr>
        <w:t xml:space="preserve">The training of a learned closure demands high-fidelity reference data of a kind that is expensive to obtain, typically drawn from direct numerical simulation or large-eddy simulation of canonical flows in which the turbulent stresses are resolved rather than modelled. The learned closure is then trained to reproduce these resolved stresses from the mean-flow quantities available in a Reynolds-averaged computation, effectively transferring the fidelity of the expensive high-resolution simulation into the cheap engineering solver. The success of this transfer hinges on the assumption that the relationship between the mean flow and the turbulent stresses learned in the canonical flows carries over to the target flows, an assumption that holds well when the flows are dynamically similar and less well when the target flow contains features absent from the training flows, a limitation that circumscribes the applicability of learned closures and motivates ongoing efforts to broaden their training data.</w:t>
      </w:r>
    </w:p>
    <w:p>
      <w:pPr>
        <w:spacing w:after="140" w:line="276" w:lineRule="auto"/>
        <w:jc w:val="both"/>
        <w:ind w:firstLine="360"/>
      </w:pPr>
      <w:r>
        <w:rPr>
          <w:rFonts w:ascii="Cambria" w:hAnsi="Cambria"/>
          <w:sz w:val="22"/>
          <w:szCs w:val="22"/>
        </w:rPr>
        <w:t xml:space="preserve">The embedding of learned closures within the solver raises subtle questions of numerical stability and consistency. A closure that is accurate in a static sense, reproducing reference stresses when supplied with reference mean fields, may nonetheless destabilise the coupled solution when integrated into the iterative solver, because small errors in the closure can be amplified by the nonlinear feedback between the closure and the evolving flow field [6]. Ensuring that a learned closure yields a stable and convergent coupled system is an active area of research, and the most successful approaches constrain the learned function to respect physical invariances such as Galilean invariance and to preserve the mathematical properties, such as positivity of the eddy viscosity, that guarantee well-posedness [7].</w:t>
      </w:r>
    </w:p>
    <w:p>
      <w:pPr>
        <w:spacing w:after="140" w:line="276" w:lineRule="auto"/>
        <w:jc w:val="both"/>
        <w:ind w:firstLine="360"/>
      </w:pPr>
      <w:r>
        <w:rPr>
          <w:rFonts w:ascii="Cambria" w:hAnsi="Cambria"/>
          <w:sz w:val="22"/>
          <w:szCs w:val="22"/>
        </w:rPr>
        <w:t xml:space="preserve">Figure 3 presents a canonical hybrid artificial intelligence and computational fluid dynamics workflow, in which simulation generates a training dataset that is used to fit a machine learning surrogate, which thereafter delivers rapid predictions, with an active-learning loop that returns informative new cases to the simulation engine for labelling. The figure also quantifies the dramatic reduction in wall-clock time per evaluation that the surrogate achieves relative to full simulation and to intermediate reduced-order models, and it illustrates how the surrogate's predictive error decays as the training set grows [8]. This workflow embodies the loosely coupled integration paradigm in its most refined form, in which the expensive physics engine is invoked selectively and strategically rather than exhaustively, and the data-driven surrogate assumes the burden of routine prediction.</w:t>
      </w:r>
    </w:p>
    <w:p>
      <w:pPr>
        <w:jc w:val="center"/>
        <w:spacing w:before="120" w:after="40"/>
      </w:pPr>
      <w:r>
        <w:drawing>
          <wp:inline distT="0" distB="0" distL="0" distR="0">
            <wp:extent cx="5905500" cy="368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3"/>
                    <a:stretch>
                      <a:fillRect/>
                    </a:stretch>
                  </pic:blipFill>
                  <pic:spPr>
                    <a:xfrm>
                      <a:off x="0" y="0"/>
                      <a:ext cx="5905500" cy="3686175"/>
                    </a:xfrm>
                    <a:prstGeom prst="rect">
                      <a:avLst/>
                    </a:prstGeom>
                  </pic:spPr>
                </pic:pic>
              </a:graphicData>
            </a:graphic>
          </wp:inline>
        </w:drawing>
      </w:r>
    </w:p>
    <w:p>
      <w:pPr>
        <w:spacing w:before="60" w:after="220"/>
        <w:jc w:val="center"/>
      </w:pPr>
      <w:r>
        <w:rPr>
          <w:rFonts w:ascii="Cambria" w:hAnsi="Cambria"/>
          <w:b/>
          <w:sz w:val="18"/>
          <w:szCs w:val="18"/>
          <w:color w:val="595959"/>
        </w:rPr>
        <w:t xml:space="preserve">Figure 3. Hybrid AI–CFD surrogate-assisted workflow with active-learning retraining (top), relative wall-clock speedup by method (bottom left), and surrogate error versus training set size (bottom right).</w:t>
      </w:r>
    </w:p>
    <w:p>
      <w:pPr>
        <w:spacing w:after="140" w:line="276" w:lineRule="auto"/>
        <w:jc w:val="both"/>
        <w:ind w:firstLine="360"/>
      </w:pPr>
      <w:r>
        <w:rPr>
          <w:rFonts w:ascii="Cambria" w:hAnsi="Cambria"/>
          <w:sz w:val="22"/>
          <w:szCs w:val="22"/>
        </w:rPr>
        <w:t xml:space="preserve">The active-learning loop shown in Figure 3 deserves particular emphasis because it addresses the central inefficiency of naive surrogate construction, namely the wasteful expenditure of simulation effort on regions of the parameter space where the surrogate is already accurate. In active learning the surrogate itself identifies the inputs about which it is most uncertain, and the simulation engine is directed to label precisely those cases, so that each expensive simulation contributes maximally to the reduction of predictive error [9]. This targeted allocation of computational resources can reduce the number of simulations required to reach a given accuracy by an order of magnitude relative to space-filling sampling, and it is especially valuable when the parameter space is high-dimensional and the response contains localised features that uniform sampling would fail to capture [10].</w:t>
      </w:r>
    </w:p>
    <w:p>
      <w:pPr>
        <w:spacing w:after="140" w:line="276" w:lineRule="auto"/>
        <w:jc w:val="both"/>
        <w:ind w:firstLine="360"/>
      </w:pPr>
      <w:r>
        <w:rPr>
          <w:rFonts w:ascii="Cambria" w:hAnsi="Cambria"/>
          <w:sz w:val="22"/>
          <w:szCs w:val="22"/>
        </w:rPr>
        <w:t xml:space="preserve">The criterion by which active learning selects the next simulation is itself a subject of considerable subtlety. The simplest strategy targets the input of maximum predictive uncertainty, directing simulation effort to wherever the surrogate is least confident, but this pure exploration can neglect regions that, while less uncertain, are more consequential for the ultimate purpose of the model. More sophisticated acquisition criteria balance the reduction of uncertainty against the relevance of the region to the downstream task, concentrating effort near a suspected performance optimum when the surrogate serves an optimisation, or along a decision boundary when it serves a classification. The design of the acquisition criterion is thus not a generic choice but one that should reflect the purpose to which the surrogate will be put, and its thoughtful specification is a hallmark of an efficient hybrid workflow.</w:t>
      </w:r>
    </w:p>
    <w:p>
      <w:pPr>
        <w:spacing w:after="140" w:line="276" w:lineRule="auto"/>
        <w:jc w:val="both"/>
        <w:ind w:firstLine="360"/>
      </w:pPr>
      <w:r>
        <w:rPr>
          <w:rFonts w:ascii="Cambria" w:hAnsi="Cambria"/>
          <w:sz w:val="22"/>
          <w:szCs w:val="22"/>
        </w:rPr>
        <w:t xml:space="preserve">A distinct and rapidly maturing integration paradigm is the physics-informed neural network, which dissolves the boundary between solver and surrogate by training a network to satisfy the governing partial differential equations directly. Rather than learning from labelled simulation output, a physics-informed network is trained to minimise the residual of the conservation equations evaluated at a set of collocation points, together with residuals enforcing the boundary and initial conditions [11]. The trained network then constitutes a mesh-free approximation to the solution of the thermal transport problem, differentiable everywhere and evaluable at arbitrary points. For nanofluid problems this approach offers the appealing prospect of solving forward and inverse problems within a unified framework, inferring unknown parameters such as effective thermal conductivity from sparse measurements while simultaneously reconstructing the full field [12].</w:t>
      </w:r>
    </w:p>
    <w:p>
      <w:pPr>
        <w:spacing w:after="140" w:line="276" w:lineRule="auto"/>
        <w:jc w:val="both"/>
        <w:ind w:firstLine="360"/>
      </w:pPr>
      <w:r>
        <w:rPr>
          <w:rFonts w:ascii="Cambria" w:hAnsi="Cambria"/>
          <w:sz w:val="22"/>
          <w:szCs w:val="22"/>
        </w:rPr>
        <w:t xml:space="preserve">The mesh-free character of the physics-informed network is a genuine and consequential advantage in geometries that defy convenient discretisation. The generation of a high-quality mesh for a complex heat exchanger geometry is itself a laborious and error-prone undertaking, and the accuracy of a conventional solution depends sensitively on the quality of that mesh near the walls where the thermal gradients are steepest. The physics-informed network, requiring only a scattering of collocation points at which to evaluate the equation residuals, sidesteps the meshing burden entirely and adapts naturally to irregular domains. This advantage is offset by the difficulty of training and by the generally lower efficiency of the network relative to a mature conventional solver on problems where meshing is straightforward, so that the physics-informed paradigm is most compelling precisely where conventional meshing is most troublesome.</w:t>
      </w:r>
    </w:p>
    <w:p>
      <w:pPr>
        <w:spacing w:after="140" w:line="276" w:lineRule="auto"/>
        <w:jc w:val="both"/>
        <w:ind w:firstLine="360"/>
      </w:pPr>
      <w:r>
        <w:rPr>
          <w:rFonts w:ascii="Cambria" w:hAnsi="Cambria"/>
          <w:sz w:val="22"/>
          <w:szCs w:val="22"/>
        </w:rPr>
        <w:t xml:space="preserve">The physics-informed paradigm is not without difficulty. The optimisation of the residual loss is frequently ill-conditioned, with the multiple loss terms competing and the training prone to converge to trivial or physically incorrect solutions if not carefully balanced [13]. Advances in adaptive loss weighting, in the placement of collocation points, and in network architecture have substantially improved robustness, and the approach is increasingly competitive with conventional solvers for certain classes of problem, particularly those involving inverse inference or the assimilation of experimental data into a physical model [14]. In the nanofluid context, where the effective properties are themselves uncertain and spatially variable, the capacity of physics-informed networks to infer fields and parameters jointly is especially attractive [15].</w:t>
      </w:r>
    </w:p>
    <w:p>
      <w:pPr>
        <w:spacing w:after="140" w:line="276" w:lineRule="auto"/>
        <w:jc w:val="both"/>
        <w:ind w:firstLine="360"/>
      </w:pPr>
      <w:r>
        <w:rPr>
          <w:rFonts w:ascii="Cambria" w:hAnsi="Cambria"/>
          <w:sz w:val="22"/>
          <w:szCs w:val="22"/>
        </w:rPr>
        <w:t xml:space="preserve">A further mode of integration uses machine learning not to replace or accelerate the solver but to enhance the interpretation and analysis of its output. Simulations of nanofluid flows generate vast quantities of field data whose salient features, such as the location of separation, the structure of thermal plumes, and the distribution of wall heat flux, must be extracted and correlated with design parameters. Unsupervised learning techniques including clustering and dimensionality reduction distil these high-dimensional fields into a small number of interpretable modes and regimes, revealing structure that manual inspection would miss and providing a compact vocabulary for describing the thermal behaviour of a design across its operating envelope [16]. This analytical use of machine learning complements its predictive and accelerative roles and is frequently the first point of contact between data-driven methods and an established simulation practice [17].</w:t>
      </w:r>
    </w:p>
    <w:p>
      <w:pPr>
        <w:spacing w:after="140" w:line="276" w:lineRule="auto"/>
        <w:jc w:val="both"/>
        <w:ind w:firstLine="360"/>
      </w:pPr>
      <w:r>
        <w:rPr>
          <w:rFonts w:ascii="Cambria" w:hAnsi="Cambria"/>
          <w:sz w:val="22"/>
          <w:szCs w:val="22"/>
        </w:rPr>
        <w:t xml:space="preserve">The choice among the integration paradigms surveyed above is not merely technical but strategic, reflecting the analyst's judgement of where the greatest value lies for a given problem and a given set of resources. An organisation possessing a large archive of prior simulations and confronting a well-bounded design space may reap the greatest reward from the construction of a data-driven surrogate over that archive, harvesting value from computation already performed. An organisation whose simulations are limited by the inaccuracy of a turbulence closure in a critical flow regime may find the greatest reward in a learned closure that corrects that specific deficiency. An organisation confronting an inverse problem, in which fields and parameters must be inferred from sparse measurements, may find the physics-informed network uniquely suited to its needs. The taxonomy of integration strategies thus functions less as a ranking than as a menu, from which the analyst selects the paradigm whose profile of costs and benefits aligns with the problem at hand, and the sophistication of a hybrid practice is measured in part by the discernment with which this selection is made.</w:t>
      </w:r>
    </w:p>
    <w:p>
      <w:pPr>
        <w:spacing w:after="140" w:line="276" w:lineRule="auto"/>
        <w:jc w:val="both"/>
        <w:ind w:firstLine="360"/>
      </w:pPr>
      <w:r>
        <w:rPr>
          <w:rFonts w:ascii="Cambria" w:hAnsi="Cambria"/>
          <w:sz w:val="22"/>
          <w:szCs w:val="22"/>
        </w:rPr>
        <w:t xml:space="preserve">The dimensionality of the parameter space over which a surrogate must generalise exerts a decisive influence on the feasibility of its construction, and the phenomenon known as the curse of dimensionality sets a stern limit on the ambition of surrogate modelling. As the number of design and operating parameters grows, the volume of the parameter space expands exponentially, and the number of simulations required to sample it with a given density grows correspondingly, so that a surrogate over a space of many parameters may demand a training campaign whose cost negates the economy the surrogate was meant to provide. The mitigation of this curse, whether by the reduction of the parameter space to its few influential dimensions through sensitivity analysis, by the exploitation of the smoothness of the response to interpolate from sparse samples, or by the incorporation of physical structure that constrains the response, is central to the practical construction of surrogates over the moderately high-dimensional spaces that realistic thermal design problems present, and its neglect condemns the surrogate approach to the low-dimensional problems on which its advantage is least needed.</w:t>
      </w:r>
    </w:p>
    <w:p>
      <w:pPr>
        <w:spacing w:after="140" w:line="276" w:lineRule="auto"/>
        <w:jc w:val="both"/>
        <w:ind w:firstLine="360"/>
      </w:pPr>
      <w:r>
        <w:rPr>
          <w:rFonts w:ascii="Cambria" w:hAnsi="Cambria"/>
          <w:sz w:val="22"/>
          <w:szCs w:val="22"/>
        </w:rPr>
        <w:t xml:space="preserve">A consideration that pervades every integration paradigm is the quality and representativeness of the data on which the learned components depend. A surrogate trained on simulations that themselves harbour systematic error will faithfully reproduce that error, and a learned closure trained on reference data drawn from flows unrepresentative of the target application will mislead the solver into which it is embedded. The adage that a model can be no better than its data applies with full force in the hybrid setting, and it places a premium on the rigour of the simulations and measurements that furnish the training data. The verification and validation of the underlying physics engine, the careful characterisation of its errors, and the deliberate design of the training campaign to span the conditions of intended use are therefore not preliminaries to be dispatched hastily but foundations on which the entire hybrid edifice rests, and their neglect undermines even the most sophisticated learning architecture.</w:t>
      </w:r>
    </w:p>
    <w:p>
      <w:pPr>
        <w:spacing w:after="140" w:line="276" w:lineRule="auto"/>
        <w:jc w:val="both"/>
        <w:ind w:firstLine="360"/>
      </w:pPr>
      <w:r>
        <w:rPr>
          <w:rFonts w:ascii="Cambria" w:hAnsi="Cambria"/>
          <w:sz w:val="22"/>
          <w:szCs w:val="22"/>
        </w:rPr>
        <w:t xml:space="preserve">The interpretability concerns that occupied the closing section of the preceding chapter reappear in the hybrid setting with additional force, for a learned component embedded within a physics-based solver influences a computation whose results carry the authority of simulation. When a learned closure alters the turbulent stresses that a Reynolds-averaged computation predicts, the resulting field bears the imprimatur of the governing equations even though a data-driven function shaped it, and the analyst who trusts the field must be able to understand and defend the behaviour of the learned component that shaped it. The extension of feature-attribution and constraint-based interpretability techniques to the learned components of hybrid solvers is an active concern, and the constraining of those components to respect physical invariances serves interpretability as well as stability, rendering their behaviour both more predictable and more defensible.</w:t>
      </w:r>
    </w:p>
    <w:p>
      <w:pPr>
        <w:spacing w:before="360" w:after="140"/>
        <w:keepNext/>
        <w:outlineLvl w:val="1"/>
      </w:pPr>
      <w:r>
        <w:rPr>
          <w:rFonts w:ascii="Calibri Light" w:hAnsi="Calibri Light"/>
          <w:b/>
          <w:sz w:val="30"/>
          <w:szCs w:val="30"/>
          <w:color w:val="1F3A5F"/>
        </w:rPr>
        <w:t xml:space="preserve">8.2 AI-Assisted Convergence and Computational Acceleration</w:t>
      </w:r>
    </w:p>
    <w:p>
      <w:pPr>
        <w:spacing w:after="140" w:line="276" w:lineRule="auto"/>
        <w:jc w:val="both"/>
        <w:ind w:firstLine="360"/>
      </w:pPr>
      <w:r>
        <w:rPr>
          <w:rFonts w:ascii="Cambria" w:hAnsi="Cambria"/>
          <w:sz w:val="22"/>
          <w:szCs w:val="22"/>
        </w:rPr>
        <w:t xml:space="preserve">The iterative solvers that lie at the heart of computational fluid dynamics converge to a solution through a sequence of successive approximations, and the number of iterations required to reach a specified tolerance dominates the overall computational cost. Any technique that reduces this iteration count, or that reduces the cost of each iteration, translates directly into faster analysis and enables larger and more numerous simulations within a fixed computational budget. Artificial intelligence has proved remarkably effective at accelerating convergence through several complementary mechanisms, each of which exploits the capacity of learned models to recognise patterns in the solver's behaviour and to anticipate its trajectory [18].</w:t>
      </w:r>
    </w:p>
    <w:p>
      <w:pPr>
        <w:spacing w:after="140" w:line="276" w:lineRule="auto"/>
        <w:jc w:val="both"/>
        <w:ind w:firstLine="360"/>
      </w:pPr>
      <w:r>
        <w:rPr>
          <w:rFonts w:ascii="Cambria" w:hAnsi="Cambria"/>
          <w:sz w:val="22"/>
          <w:szCs w:val="22"/>
        </w:rPr>
        <w:t xml:space="preserve">The most immediate opportunity lies in the provision of improved initial guesses. Iterative solvers converge fastest when initialised close to the solution, yet in the absence of prior information they are typically started from a crude uniform field that lies far from the converged state. A machine learning model trained on a database of previously converged solutions can predict, for a new set of boundary and operating conditions, an initial field that already captures the gross structure of the solution, so that the solver need only refine the details rather than construct the field from scratch [19]. In nanofluid heat exchanger studies this strategy has been shown to reduce iteration counts substantially, with the greatest gains realised in parametric campaigns where each new case differs only modestly from cases already computed [20].</w:t>
      </w:r>
    </w:p>
    <w:p>
      <w:pPr>
        <w:spacing w:after="140" w:line="276" w:lineRule="auto"/>
        <w:jc w:val="both"/>
        <w:ind w:firstLine="360"/>
      </w:pPr>
      <w:r>
        <w:rPr>
          <w:rFonts w:ascii="Cambria" w:hAnsi="Cambria"/>
          <w:sz w:val="22"/>
          <w:szCs w:val="22"/>
        </w:rPr>
        <w:t xml:space="preserve">The elegance of the learned initial guess lies in its exploitation of the redundancy inherent in a parametric campaign. When a study computes the thermal field for a sequence of closely spaced operating conditions, the converged fields differ only slightly from one case to the next, and the information contained in the already-computed fields is largely predictive of the fields yet to be computed. A conventional workflow discards this information, restarting each solution from the same uninformative uniform field, whereas the learned-initialisation workflow accumulates it, so that the surrogate providing the initial guess grows more accurate as the campaign proceeds and the later cases converge faster than the earlier ones. This progressive acceleration is a distinctive and valuable feature of the approach, and it aligns the cost of the campaign with the novelty of its cases rather than with their mere number.</w:t>
      </w:r>
    </w:p>
    <w:p>
      <w:pPr>
        <w:spacing w:after="140" w:line="276" w:lineRule="auto"/>
        <w:jc w:val="both"/>
        <w:ind w:firstLine="360"/>
      </w:pPr>
      <w:r>
        <w:rPr>
          <w:rFonts w:ascii="Cambria" w:hAnsi="Cambria"/>
          <w:sz w:val="22"/>
          <w:szCs w:val="22"/>
        </w:rPr>
        <w:t xml:space="preserve">A second mechanism is the adaptive control of numerical parameters during the solution. The convergence rate of an iterative solver depends sensitively on parameters such as under-relaxation factors and pseudo-time steps, and the optimal values of these parameters vary during the solution as the field evolves from its initial state toward convergence. A learned controller, trained by reinforcement learning or by supervised imitation of expert-tuned solutions, can adjust these parameters dynamically, maintaining the largest stable step at every stage of the solution and thereby minimising the total iteration count [21]. Such adaptive control removes a source of manual tuning that has traditionally demanded considerable expertise, and it renders the solver more robust to the diversity of conditions encountered in an automated design study [22].</w:t>
      </w:r>
    </w:p>
    <w:p>
      <w:pPr>
        <w:spacing w:after="140" w:line="276" w:lineRule="auto"/>
        <w:jc w:val="both"/>
        <w:ind w:firstLine="360"/>
      </w:pPr>
      <w:r>
        <w:rPr>
          <w:rFonts w:ascii="Cambria" w:hAnsi="Cambria"/>
          <w:sz w:val="22"/>
          <w:szCs w:val="22"/>
        </w:rPr>
        <w:t xml:space="preserve">The convergence behaviour of an iterative solver is not merely a matter of the number of iterations but of the reliability with which convergence is attained at all, for a solver may stall, oscillate, or diverge under conditions that its designers did not anticipate, and such failures are especially troublesome in the automated design studies where no human is present to intervene. The learned components that accelerate convergence can also be enlisted to safeguard it, detecting the onset of stall or divergence from the pattern of the residuals and intervening to restore stability, whether by retreating to a more conservative parameter setting or by restarting from a better-conditioned state. This role of machine learning as a guardian of robustness, distinct from its role as an accelerator of the well-behaved solution, is of particular value in the unattended execution of the many simulations that populate a design study, where the reliability of each solution is as important as its speed and where a single silent failure can corrupt the dataset on which a surrogate is subsequently trained.</w:t>
      </w:r>
    </w:p>
    <w:p>
      <w:pPr>
        <w:spacing w:after="140" w:line="276" w:lineRule="auto"/>
        <w:jc w:val="both"/>
        <w:ind w:firstLine="360"/>
      </w:pPr>
      <w:r>
        <w:rPr>
          <w:rFonts w:ascii="Cambria" w:hAnsi="Cambria"/>
          <w:sz w:val="22"/>
          <w:szCs w:val="22"/>
        </w:rPr>
        <w:t xml:space="preserve">The framing of solver control as a reinforcement learning problem is conceptually illuminating. The solver, the state of the flow field, and the control parameters together constitute an environment in which an agent, the learned controller, takes actions, the adjustments to the parameters, and receives rewards, the progress toward convergence, and the machinery of reinforcement learning discovers a control policy that maximises the cumulative reward, which is to say a policy that reaches convergence in the fewest iterations. This framing brings to bear on the venerable problem of solver tuning the full power of modern sequential decision-making, and it promises to encode in a learned policy the hard-won intuition that expert practitioners have traditionally applied by hand, making that intuition available automatically to every solution the solver performs.</w:t>
      </w:r>
    </w:p>
    <w:p>
      <w:pPr>
        <w:spacing w:after="140" w:line="276" w:lineRule="auto"/>
        <w:jc w:val="both"/>
        <w:ind w:firstLine="360"/>
      </w:pPr>
      <w:r>
        <w:rPr>
          <w:rFonts w:ascii="Cambria" w:hAnsi="Cambria"/>
          <w:sz w:val="22"/>
          <w:szCs w:val="22"/>
        </w:rPr>
        <w:t xml:space="preserve">A third and more sophisticated mechanism operates at the level of the linear algebra that underlies each nonlinear iteration. The solution of the large sparse linear systems that arise from discretisation is itself performed iteratively, and its efficiency depends on the quality of the preconditioner that transforms the system into a more tractable form. Machine learning has been employed to predict effective preconditioners, to select among candidate solver configurations, and even to learn the multigrid transfer operators that govern the propagation of corrections across scales, in each case reducing the cost of the linear solves that dominate the per-iteration expense [23]. These developments sit at the intersection of numerical analysis and machine learning and represent some of the most technically demanding but potentially transformative applications of artificial intelligence to computational fluid dynamics [24].</w:t>
      </w:r>
    </w:p>
    <w:p>
      <w:pPr>
        <w:spacing w:after="140" w:line="276" w:lineRule="auto"/>
        <w:jc w:val="both"/>
        <w:ind w:firstLine="360"/>
      </w:pPr>
      <w:r>
        <w:rPr>
          <w:rFonts w:ascii="Cambria" w:hAnsi="Cambria"/>
          <w:sz w:val="22"/>
          <w:szCs w:val="22"/>
        </w:rPr>
        <w:t xml:space="preserve">The magnitude of the acceleration achievable through these mechanisms spans a wide range, from the modest but faithful speedups of the full-fidelity techniques to the transformative speedups of fully data-driven surrogates, a progression that runs from full simulation through reduced-order models to direct regression. While the convergence-acceleration techniques described in this section do not achieve the extreme speedups of a fully trained surrogate, they possess the compensating virtue of retaining the full physical fidelity of the solver, since they alter only the path to the solution and not the solution itself [25]. This distinction is crucial: an accelerated solver produces the same converged thermal field as an unaccelerated one, whereas a surrogate produces an approximation whose fidelity is bounded by its training. The two approaches are therefore complementary, and sophisticated workflows deploy convergence acceleration for the high-fidelity simulations that generate training data and surrogates for the routine predictions that consume it [26].</w:t>
      </w:r>
    </w:p>
    <w:p>
      <w:pPr>
        <w:spacing w:after="140" w:line="276" w:lineRule="auto"/>
        <w:jc w:val="both"/>
        <w:ind w:firstLine="360"/>
      </w:pPr>
      <w:r>
        <w:rPr>
          <w:rFonts w:ascii="Cambria" w:hAnsi="Cambria"/>
          <w:sz w:val="22"/>
          <w:szCs w:val="22"/>
        </w:rPr>
        <w:t xml:space="preserve">Table 4 systematises the principal acceleration strategies discussed across this chapter, characterising each by the mechanism it exploits, the typical speedup it delivers, and the degree to which it preserves physical fidelity. The table clarifies the trade-off that governs the selection of an acceleration strategy: techniques that preserve fidelity most completely tend to deliver the most modest speedups, while those that achieve the greatest acceleration do so by substituting an approximation for the full solution [27]. The surrogate approaches occupy the high-speedup, lower-fidelity corner of this trade-off, whereas convergence acceleration occupies the moderate-speedup, full-fidelity corner, and the judicious combination of both is the hallmark of a mature hybrid workflow.</w:t>
      </w:r>
    </w:p>
    <w:p>
      <w:pPr>
        <w:spacing w:after="40"/>
      </w:pPr>
    </w:p>
    <w:tbl>
      <w:tblPr>
        <w:tblStyle w:val="TableGrid"/>
        <w:tblW w:w="9300" w:type="dxa"/>
        <w:jc w:val="center"/>
        <w:tblBorders>
          <w:top w:val="single" w:sz="6" w:color="9BB0C9"/>
          <w:left w:val="single" w:sz="6" w:color="9BB0C9"/>
          <w:bottom w:val="single" w:sz="6" w:color="9BB0C9"/>
          <w:right w:val="single" w:sz="6" w:color="9BB0C9"/>
          <w:insideH w:val="single" w:sz="4" w:color="C6D2E0"/>
          <w:insideV w:val="single" w:sz="4" w:color="C6D2E0"/>
        </w:tblBorders>
      </w:tblPr>
      <w:tblGrid>
        <w:gridCol w:w="2600"/>
        <w:gridCol w:w="2100"/>
        <w:gridCol w:w="2100"/>
        <w:gridCol w:w="2500"/>
      </w:tblGrid>
      <w:tr>
        <w:trPr>
          <w:tblHeader/>
        </w:trPr>
        <w:tc>
          <w:tcPr>
            <w:tcW w:w="26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Acceleration strategy</w:t>
            </w:r>
          </w:p>
        </w:tc>
        <w:tc>
          <w:tcPr>
            <w:tcW w:w="21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Mechanism</w:t>
            </w:r>
          </w:p>
        </w:tc>
        <w:tc>
          <w:tcPr>
            <w:tcW w:w="21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Typical speedup</w:t>
            </w:r>
          </w:p>
        </w:tc>
        <w:tc>
          <w:tcPr>
            <w:tcW w:w="2500" w:type="dxa"/>
            <w:shd w:val="clear" w:fill="1F3A5F"/>
            <w:vAlign w:val="center"/>
            <w:tcMar>
              <w:top w:w="40" w:type="dxa"/>
              <w:bottom w:w="40" w:type="dxa"/>
              <w:left w:w="80" w:type="dxa"/>
              <w:right w:w="80" w:type="dxa"/>
            </w:tcMar>
          </w:tcPr>
          <w:p>
            <w:pPr>
              <w:spacing w:after="20" w:line="240" w:lineRule="auto"/>
              <w:jc w:val="center"/>
            </w:pPr>
            <w:r>
              <w:rPr>
                <w:rFonts w:ascii="Cambria" w:hAnsi="Cambria"/>
                <w:b/>
                <w:sz w:val="19"/>
                <w:szCs w:val="19"/>
                <w:color w:val="FFFFFF"/>
              </w:rPr>
              <w:t xml:space="preserve">Fidelity</w:t>
            </w:r>
          </w:p>
        </w:tc>
      </w:tr>
      <w:tr>
        <w:tc>
          <w:tcPr>
            <w:tcW w:w="26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Learned initial guess</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Warm-start iteration</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2–5x</w:t>
            </w:r>
          </w:p>
        </w:tc>
        <w:tc>
          <w:tcPr>
            <w:tcW w:w="25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Full</w:t>
            </w:r>
          </w:p>
        </w:tc>
      </w:tr>
      <w:tr>
        <w:tc>
          <w:tcPr>
            <w:tcW w:w="26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Adaptive parameter control</w:t>
            </w:r>
          </w:p>
        </w:tc>
        <w:tc>
          <w:tcPr>
            <w:tcW w:w="21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Dynamic relaxation</w:t>
            </w:r>
          </w:p>
        </w:tc>
        <w:tc>
          <w:tcPr>
            <w:tcW w:w="21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1.5–3x</w:t>
            </w:r>
          </w:p>
        </w:tc>
        <w:tc>
          <w:tcPr>
            <w:tcW w:w="25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Full</w:t>
            </w:r>
          </w:p>
        </w:tc>
      </w:tr>
      <w:tr>
        <w:tc>
          <w:tcPr>
            <w:tcW w:w="26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Learned preconditioner</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Faster linear solves</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2–4x</w:t>
            </w:r>
          </w:p>
        </w:tc>
        <w:tc>
          <w:tcPr>
            <w:tcW w:w="25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Full</w:t>
            </w:r>
          </w:p>
        </w:tc>
      </w:tr>
      <w:tr>
        <w:tc>
          <w:tcPr>
            <w:tcW w:w="2600" w:type="dxa"/>
            <w:shd w:val="clear" w:fill="EEF3F9"/>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Reduced-order model</w:t>
            </w:r>
          </w:p>
        </w:tc>
        <w:tc>
          <w:tcPr>
            <w:tcW w:w="21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Modal projection</w:t>
            </w:r>
          </w:p>
        </w:tc>
        <w:tc>
          <w:tcPr>
            <w:tcW w:w="21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10–100x</w:t>
            </w:r>
          </w:p>
        </w:tc>
        <w:tc>
          <w:tcPr>
            <w:tcW w:w="2500" w:type="dxa"/>
            <w:shd w:val="clear" w:fill="EEF3F9"/>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High</w:t>
            </w:r>
          </w:p>
        </w:tc>
      </w:tr>
      <w:tr>
        <w:tc>
          <w:tcPr>
            <w:tcW w:w="2600" w:type="dxa"/>
            <w:shd w:val="clear" w:fill="FFFFFF"/>
            <w:vAlign w:val="center"/>
            <w:tcMar>
              <w:top w:w="40" w:type="dxa"/>
              <w:bottom w:w="40" w:type="dxa"/>
              <w:left w:w="80" w:type="dxa"/>
              <w:right w:w="80" w:type="dxa"/>
            </w:tcMar>
          </w:tcPr>
          <w:p>
            <w:pPr>
              <w:spacing w:after="20" w:line="240" w:lineRule="auto"/>
              <w:jc w:val="left"/>
            </w:pPr>
            <w:r>
              <w:rPr>
                <w:rFonts w:ascii="Cambria" w:hAnsi="Cambria"/>
                <w:sz w:val="18"/>
                <w:szCs w:val="18"/>
                <w:color w:val="222222"/>
              </w:rPr>
              <w:t xml:space="preserve">ML surrogate</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Direct regression</w:t>
            </w:r>
          </w:p>
        </w:tc>
        <w:tc>
          <w:tcPr>
            <w:tcW w:w="21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100–1000x</w:t>
            </w:r>
          </w:p>
        </w:tc>
        <w:tc>
          <w:tcPr>
            <w:tcW w:w="2500" w:type="dxa"/>
            <w:shd w:val="clear" w:fill="FFFFFF"/>
            <w:vAlign w:val="center"/>
            <w:tcMar>
              <w:top w:w="40" w:type="dxa"/>
              <w:bottom w:w="40" w:type="dxa"/>
              <w:left w:w="80" w:type="dxa"/>
              <w:right w:w="80" w:type="dxa"/>
            </w:tcMar>
          </w:tcPr>
          <w:p>
            <w:pPr>
              <w:spacing w:after="20" w:line="240" w:lineRule="auto"/>
              <w:jc w:val="center"/>
            </w:pPr>
            <w:r>
              <w:rPr>
                <w:rFonts w:ascii="Cambria" w:hAnsi="Cambria"/>
                <w:sz w:val="18"/>
                <w:szCs w:val="18"/>
                <w:color w:val="222222"/>
              </w:rPr>
              <w:t xml:space="preserve">Approximate</w:t>
            </w:r>
          </w:p>
        </w:tc>
      </w:tr>
    </w:tbl>
    <w:p>
      <w:pPr>
        <w:spacing w:before="60" w:after="220"/>
        <w:jc w:val="center"/>
      </w:pPr>
      <w:r>
        <w:rPr>
          <w:rFonts w:ascii="Cambria" w:hAnsi="Cambria"/>
          <w:b/>
          <w:sz w:val="18"/>
          <w:szCs w:val="18"/>
          <w:color w:val="595959"/>
        </w:rPr>
        <w:t xml:space="preserve">Table 4. Acceleration strategies for hybrid AI–CFD workflows and their fidelity trade-offs.</w:t>
      </w:r>
    </w:p>
    <w:p>
      <w:pPr>
        <w:spacing w:after="140" w:line="276" w:lineRule="auto"/>
        <w:jc w:val="both"/>
        <w:ind w:firstLine="360"/>
      </w:pPr>
      <w:r>
        <w:rPr>
          <w:rFonts w:ascii="Cambria" w:hAnsi="Cambria"/>
          <w:sz w:val="22"/>
          <w:szCs w:val="22"/>
        </w:rPr>
        <w:t xml:space="preserve">The stratification of strategies in Table 4 suggests a natural division of labour within a comprehensive workflow. The full-fidelity acceleration techniques, delivering modest but faithful speedups, are best deployed on the relatively small number of high-fidelity simulations that anchor the workflow and generate its training data, where fidelity is paramount and the moderate acceleration is welcome but not transformative. The surrogate techniques, delivering transformative speedups at the cost of fidelity, are best deployed on the vast number of routine predictions that populate a parametric sweep or drive an optimisation, where speed is paramount and the fidelity, though bounded, is adequate when the surrogate is well trained and its predictions are periodically confirmed. The two tiers of the table thus map onto two tiers of a workflow, and their coordinated use extracts the maximum benefit from each.</w:t>
      </w:r>
    </w:p>
    <w:p>
      <w:pPr>
        <w:spacing w:after="140" w:line="276" w:lineRule="auto"/>
        <w:jc w:val="both"/>
        <w:ind w:firstLine="360"/>
      </w:pPr>
      <w:r>
        <w:rPr>
          <w:rFonts w:ascii="Cambria" w:hAnsi="Cambria"/>
          <w:sz w:val="22"/>
          <w:szCs w:val="22"/>
        </w:rPr>
        <w:t xml:space="preserve">Beyond the acceleration of individual solutions, artificial intelligence enables a strategic reallocation of computational effort across a campaign of simulations. In multi-fidelity modelling, cheap low-fidelity simulations, obtained on coarse meshes or with simplified physics, are combined with a small number of expensive high-fidelity simulations, and a machine learning model learns the systematic relationship between the two, correcting the low-fidelity results toward high-fidelity accuracy [28]. This approach exploits the observation that low-fidelity simulations, while quantitatively inaccurate, frequently capture the correct qualitative trends, so that the expensive high-fidelity simulations need only supply the corrections rather than the full response. In nanofluid design studies, multi-fidelity strategies have achieved high-fidelity accuracy at a small fraction of the high-fidelity cost, and they integrate naturally with the surrogate and optimisation frameworks discussed elsewhere in this chapter and the next [29].</w:t>
      </w:r>
    </w:p>
    <w:p>
      <w:pPr>
        <w:spacing w:after="140" w:line="276" w:lineRule="auto"/>
        <w:jc w:val="both"/>
        <w:ind w:firstLine="360"/>
      </w:pPr>
      <w:r>
        <w:rPr>
          <w:rFonts w:ascii="Cambria" w:hAnsi="Cambria"/>
          <w:sz w:val="22"/>
          <w:szCs w:val="22"/>
        </w:rPr>
        <w:t xml:space="preserve">The graphics processing unit and other specialised accelerators have transformed the economics of both simulation and machine learning, and their exploitation is itself a form of computational acceleration relevant to hybrid workflows. Machine learning frameworks are engineered to extract maximal performance from these accelerators, and the migration of computational fluid dynamics operations onto the same hardware, sometimes expressed within the same differentiable programming frameworks as the learned components, enables tight and efficient coupling between the physics-based and data-driven parts of a hybrid solver [30]. Differentiable simulation, in which the entire solver is constructed to permit the computation of gradients of its outputs with respect to its inputs, is a particularly powerful enabler of hybridisation, since it allows learned components to be trained end-to-end through the solver and permits gradient-based optimisation of designs with respect to simulated performance [31].</w:t>
      </w:r>
    </w:p>
    <w:p>
      <w:pPr>
        <w:spacing w:after="140" w:line="276" w:lineRule="auto"/>
        <w:jc w:val="both"/>
        <w:ind w:firstLine="360"/>
      </w:pPr>
      <w:r>
        <w:rPr>
          <w:rFonts w:ascii="Cambria" w:hAnsi="Cambria"/>
          <w:sz w:val="22"/>
          <w:szCs w:val="22"/>
        </w:rPr>
        <w:t xml:space="preserve">The advent of differentiable simulation deserves to be recognised as a conceptual advance and not merely a technical convenience. When the solver is differentiable, the boundary between the physics engine and the learning system dissolves, and the two can be trained jointly as a single computational graph, with gradients flowing seamlessly from the simulated output back through the solver to the learned components and the design variables alike. A learned closure embedded in such a solver can be trained not to reproduce reference stresses in isolation but to minimise the error of the coupled solution, aligning the training objective with the ultimate purpose of the model; and a design can be optimised by descending the gradient of simulated performance directly, without the intermediary of a surrogate. Differentiable simulation thus represents the tightest and most principled form of integration on the spectrum introduced at the opening of this chapter, and its maturation is among the most consequential developments in the field.</w:t>
      </w:r>
    </w:p>
    <w:p>
      <w:pPr>
        <w:spacing w:after="140" w:line="276" w:lineRule="auto"/>
        <w:jc w:val="both"/>
        <w:ind w:firstLine="360"/>
      </w:pPr>
      <w:r>
        <w:rPr>
          <w:rFonts w:ascii="Cambria" w:hAnsi="Cambria"/>
          <w:sz w:val="22"/>
          <w:szCs w:val="22"/>
        </w:rPr>
        <w:t xml:space="preserve">It bears emphasis that the pursuit of acceleration must never be permitted to compromise the trustworthiness of the results. An accelerated or surrogate-assisted workflow that produces incorrect thermal predictions rapidly is worse than useless, and the validation of hybrid methods against trusted reference solutions and, ultimately, against experimental measurement remains an inviolable requirement [32]. The most responsible practice embeds continuous verification into the workflow, periodically checking surrogate predictions against full simulations and monitoring for the distributional shift that signals a departure from the region in which the surrogate is trustworthy. In this way the speed of the hybrid workflow is harnessed without surrendering the confidence in correctness that is the ultimate purpose of simulation [33].</w:t>
      </w:r>
    </w:p>
    <w:p>
      <w:pPr>
        <w:spacing w:after="140" w:line="276" w:lineRule="auto"/>
        <w:jc w:val="both"/>
        <w:ind w:firstLine="360"/>
      </w:pPr>
      <w:r>
        <w:rPr>
          <w:rFonts w:ascii="Cambria" w:hAnsi="Cambria"/>
          <w:sz w:val="22"/>
          <w:szCs w:val="22"/>
        </w:rPr>
        <w:t xml:space="preserve">The distinction between acceleration that preserves the solution and acceleration that approximates it carries an important corollary for the reporting of results. When a full-fidelity acceleration technique is employed, the analyst may report the converged field with the same confidence as if no acceleration had been applied, for the acceleration altered only the path to the solution and not the solution itself. When a surrogate is employed, by contrast, the analyst reports an approximation, and honesty requires that the approximate character of the result be disclosed together with an estimate of the approximation error. The conflation of these two cases, in which surrogate approximations are presented with the confidence appropriate to full-fidelity solutions, is a failure of scientific communication that undermines the credibility of the hybrid approach, and the scrupulous distinction between the two, in reporting as in practice, is a mark of methodological integrity.</w:t>
      </w:r>
    </w:p>
    <w:p>
      <w:pPr>
        <w:spacing w:after="140" w:line="276" w:lineRule="auto"/>
        <w:jc w:val="both"/>
        <w:ind w:firstLine="360"/>
      </w:pPr>
      <w:r>
        <w:rPr>
          <w:rFonts w:ascii="Cambria" w:hAnsi="Cambria"/>
          <w:sz w:val="22"/>
          <w:szCs w:val="22"/>
        </w:rPr>
        <w:t xml:space="preserve">The parallelisation of hybrid workflows across the machinery of modern high-performance computing introduces both opportunity and complication. The generation of the training data for a surrogate is embarrassingly parallel, the several simulations that populate the training campaign being mutually independent and thus distributable across as many processors as are available, and this parallelism can compress the wall-clock time of the training campaign dramatically even when its total computational cost is large. The training of the learned components and their subsequent evaluation exploit the parallelism of the accelerator hardware on which modern machine learning depends. The orchestration of these heterogeneous parallel workloads, coordinating the physics engine, the learning system, and the active-learning loop that couples them, is a systems-engineering challenge whose solution is as consequential for the practical throughput of a hybrid workflow as the algorithmic choices that the preceding discussion emphasised.</w:t>
      </w:r>
    </w:p>
    <w:p>
      <w:pPr>
        <w:spacing w:after="140" w:line="276" w:lineRule="auto"/>
        <w:jc w:val="both"/>
        <w:ind w:firstLine="360"/>
      </w:pPr>
      <w:r>
        <w:rPr>
          <w:rFonts w:ascii="Cambria" w:hAnsi="Cambria"/>
          <w:sz w:val="22"/>
          <w:szCs w:val="22"/>
        </w:rPr>
        <w:t xml:space="preserve">The reproducibility of hybrid results, finally, demands attention that the stochastic character of machine learning renders more exacting than in conventional simulation. The training of a neural component involves random initialisation, random data shuffling, and, frequently, stochastic optimisation, so that two ostensibly identical training runs may yield different models and hence different predictions. The disciplined recording of random seeds, the archiving of training data and trained models, and the documentation of the full training procedure are necessary to render a hybrid result reproducible, and their observance is a requirement of scientific practice rather than an optional courtesy. Reproducibility so secured permits the independent verification on which the credibility of the hybrid approach ultimately depends, and it guards against the irreproducible and hence unverifiable results that would otherwise erode confidence in the methodology.</w:t>
      </w:r>
    </w:p>
    <w:p>
      <w:pPr>
        <w:spacing w:before="360" w:after="140"/>
        <w:keepNext/>
        <w:outlineLvl w:val="1"/>
      </w:pPr>
      <w:r>
        <w:rPr>
          <w:rFonts w:ascii="Calibri Light" w:hAnsi="Calibri Light"/>
          <w:b/>
          <w:sz w:val="30"/>
          <w:szCs w:val="30"/>
          <w:color w:val="1F3A5F"/>
        </w:rPr>
        <w:t xml:space="preserve">8.3 Surrogate Modelling and Reduced-Order Thermal Models</w:t>
      </w:r>
    </w:p>
    <w:p>
      <w:pPr>
        <w:spacing w:after="140" w:line="276" w:lineRule="auto"/>
        <w:jc w:val="both"/>
        <w:ind w:firstLine="360"/>
      </w:pPr>
      <w:r>
        <w:rPr>
          <w:rFonts w:ascii="Cambria" w:hAnsi="Cambria"/>
          <w:sz w:val="22"/>
          <w:szCs w:val="22"/>
        </w:rPr>
        <w:t xml:space="preserve">Surrogate modelling and reduced-order modelling represent the most mature and widely deployed intersection of artificial intelligence with computational fluid dynamics, and they merit detailed treatment as the culmination of the integration strategies surveyed in this chapter. Both approaches replace the expensive full-order simulation with a cheaper approximation, but they differ in philosophy: reduced-order models derive their approximation from the structure of the governing equations, projecting the high-dimensional dynamics onto a low-dimensional subspace, whereas data-driven surrogates fit a flexible statistical model to input–output data without reference to the underlying equations [34]. The two philosophies are increasingly blended, and the resulting hybrid reduced-order surrogates combine the physical grounding of projection methods with the flexibility of machine learning [35].</w:t>
      </w:r>
    </w:p>
    <w:p>
      <w:pPr>
        <w:spacing w:after="140" w:line="276" w:lineRule="auto"/>
        <w:jc w:val="both"/>
        <w:ind w:firstLine="360"/>
      </w:pPr>
      <w:r>
        <w:rPr>
          <w:rFonts w:ascii="Cambria" w:hAnsi="Cambria"/>
          <w:sz w:val="22"/>
          <w:szCs w:val="22"/>
        </w:rPr>
        <w:t xml:space="preserve">The classical route to reduced-order modelling is proper orthogonal decomposition, which identifies from a collection of simulation snapshots the small set of spatial modes that capture the greatest fraction of the thermal field's variance. The full field is then approximated as a weighted sum of these modes, reducing the problem from the resolution of millions of grid values to the determination of a handful of modal coefficients [36]. When the governing equations are projected onto the modal subspace through the Galerkin procedure, the result is a low-dimensional dynamical system that evolves the modal coefficients in time at negligible cost relative to the full simulation. For nanofluid flows the approach captures the dominant thermal structures efficiently, though its accuracy degrades when the flow contains strong nonlinearities or when the operating conditions stray far from those represented in the snapshot collection [37].</w:t>
      </w:r>
    </w:p>
    <w:p>
      <w:pPr>
        <w:spacing w:after="140" w:line="276" w:lineRule="auto"/>
        <w:jc w:val="both"/>
        <w:ind w:firstLine="360"/>
      </w:pPr>
      <w:r>
        <w:rPr>
          <w:rFonts w:ascii="Cambria" w:hAnsi="Cambria"/>
          <w:sz w:val="22"/>
          <w:szCs w:val="22"/>
        </w:rPr>
        <w:t xml:space="preserve">The interpretability of a reduced-order model, an attribute that the proper orthogonal decomposition possesses to a high degree, is a virtue that distinguishes it from the more opaque data-driven surrogates and that recommends it where physical insight is sought alongside prediction. The modes that the decomposition extracts are themselves objects of physical interest, each a coherent pattern of thermal variation ordered by the energy it carries, and their inspection reveals the dominant structures that govern the thermal behaviour of the system, the recirculation that traps heat, the plume that carries it aloft, the boundary layer that mediates its transfer to the wall. The reduced-order model thus delivers, alongside its economical prediction, a decomposition of the thermal field into interpretable constituents, and this dual yield of prediction and insight is a reason for the enduring appeal of projection-based reduction despite the superior compression that nonlinear methods can achieve. The choice between the interpretable linear modes and the more compact but opaque nonlinear latent variables mirrors the accuracy-interpretability tension that pervades data-driven modelling more broadly.</w:t>
      </w:r>
    </w:p>
    <w:p>
      <w:pPr>
        <w:spacing w:after="140" w:line="276" w:lineRule="auto"/>
        <w:jc w:val="both"/>
        <w:ind w:firstLine="360"/>
      </w:pPr>
      <w:r>
        <w:rPr>
          <w:rFonts w:ascii="Cambria" w:hAnsi="Cambria"/>
          <w:sz w:val="22"/>
          <w:szCs w:val="22"/>
        </w:rPr>
        <w:t xml:space="preserve">The linearity of proper orthogonal decomposition is both its strength and its limitation. The linearity renders the method transparent and computationally tractable, and it endows the modes with a clear interpretation as the principal patterns of variation in the thermal field, ordered by the energy they capture. Yet the same linearity confines the method to a linear subspace of the space of possible fields, and when the true dynamics traverse a curved manifold within that space, as they do whenever the response depends nonlinearly on the parameters, a linear subspace of modest dimension cannot capture the manifold faithfully, and the reduced model incurs an error that no increase in the number of linear modes can fully remedy. This limitation motivates the turn to nonlinear reduction, in which the confining assumption of linearity is relaxed.</w:t>
      </w:r>
    </w:p>
    <w:p>
      <w:pPr>
        <w:spacing w:after="140" w:line="276" w:lineRule="auto"/>
        <w:jc w:val="both"/>
        <w:ind w:firstLine="360"/>
      </w:pPr>
      <w:r>
        <w:rPr>
          <w:rFonts w:ascii="Cambria" w:hAnsi="Cambria"/>
          <w:sz w:val="22"/>
          <w:szCs w:val="22"/>
        </w:rPr>
        <w:t xml:space="preserve">The limitations of linear modal decomposition have motivated the adoption of nonlinear dimensionality reduction through machine learning, most prominently the autoencoder. An autoencoder is a neural network trained to compress a high-dimensional field into a compact latent representation and then to reconstruct the field from that representation, and the nonlinearity of its encoding permits a more efficient compression than the linear modes of proper orthogonal decomposition, capturing the same variance in fewer latent dimensions [38]. When combined with a learned model of the latent dynamics, frequently a recurrent network of the kind described in Chapter 7, the autoencoder yields a nonlinear reduced-order model capable of forecasting the evolution of complex thermal fields with remarkable economy [39]. This synthesis of dimensionality reduction and temporal modelling represents the state of the art in reduced-order thermal modelling and is directly analogous to the convolutional–recurrent architectures introduced in the preceding chapter.</w:t>
      </w:r>
    </w:p>
    <w:p>
      <w:pPr>
        <w:spacing w:after="140" w:line="276" w:lineRule="auto"/>
        <w:jc w:val="both"/>
        <w:ind w:firstLine="360"/>
      </w:pPr>
      <w:r>
        <w:rPr>
          <w:rFonts w:ascii="Cambria" w:hAnsi="Cambria"/>
          <w:sz w:val="22"/>
          <w:szCs w:val="22"/>
        </w:rPr>
        <w:t xml:space="preserve">Data-driven surrogates, by contrast, dispense with any explicit representation of the field and model only the quantities of engineering interest, such as the average Nusselt number, the pressure drop, or the peak wall temperature, as functions of the design and operating parameters. Gaussian process regression is a favoured surrogate in this setting because it furnishes not only a prediction but a principled estimate of predictive uncertainty, which is invaluable for guiding the active-learning loops described earlier and for informing risk-aware design decisions [40]. For higher-dimensional parameter spaces and larger datasets, neural network surrogates of the kind developed in Chapter 7 supplant the Gaussian process, trading its native uncertainty quantification for superior scalability, though ensemble and Bayesian techniques can restore calibrated uncertainty to the neural surrogate [41].</w:t>
      </w:r>
    </w:p>
    <w:p>
      <w:pPr>
        <w:spacing w:after="140" w:line="276" w:lineRule="auto"/>
        <w:jc w:val="both"/>
        <w:ind w:firstLine="360"/>
      </w:pPr>
      <w:r>
        <w:rPr>
          <w:rFonts w:ascii="Cambria" w:hAnsi="Cambria"/>
          <w:sz w:val="22"/>
          <w:szCs w:val="22"/>
        </w:rPr>
        <w:t xml:space="preserve">The uncertainty estimate that the Gaussian process provides is not a mere statistical adornment but a functional component of the workflow, for it is precisely this estimate that enables the active-learning loops and risk-aware decisions that distinguish a sophisticated hybrid workflow from a naive one. A surrogate that reports only a point prediction leaves the analyst blind to the reliability of that prediction, unable to distinguish an input that lies within the well-sampled interior of the training domain from one that lies in an extrapolative wilderness, whereas a surrogate that reports a calibrated uncertainty flags the latter automatically and guides the acquisition of the data that would reduce it. The choice between the natively probabilistic Gaussian process and the more scalable but point-valued neural network is therefore not merely a matter of accuracy and cost but of whether the workflow requires the uncertainty information that only the former provides natively, and much research is directed at endowing neural surrogates with equally trustworthy uncertainty estimates.</w:t>
      </w:r>
    </w:p>
    <w:p>
      <w:pPr>
        <w:spacing w:after="140" w:line="276" w:lineRule="auto"/>
        <w:jc w:val="both"/>
        <w:ind w:firstLine="360"/>
      </w:pPr>
      <w:r>
        <w:rPr>
          <w:rFonts w:ascii="Cambria" w:hAnsi="Cambria"/>
          <w:sz w:val="22"/>
          <w:szCs w:val="22"/>
        </w:rPr>
        <w:t xml:space="preserve">The construction of an accurate surrogate depends critically on the design of the experiment that generates its training data. Space-filling designs such as Latin hypercube sampling distribute simulation effort evenly across the parameter space and provide a sound default, but adaptive sampling strategies that concentrate effort where the response is most complex or where the surrogate is most uncertain achieve superior accuracy for a given simulation budget, since the surrogate's predictive error decays with the size of the training set most rapidly when the samples are placed where they are most informative [42]. The interplay between experimental design, surrogate accuracy, and simulation cost is a central concern of surrogate modelling practice, and its skilful management distinguishes an efficient hybrid workflow from a wasteful one [43].</w:t>
      </w:r>
    </w:p>
    <w:p>
      <w:pPr>
        <w:spacing w:after="140" w:line="276" w:lineRule="auto"/>
        <w:jc w:val="both"/>
        <w:ind w:firstLine="360"/>
      </w:pPr>
      <w:r>
        <w:rPr>
          <w:rFonts w:ascii="Cambria" w:hAnsi="Cambria"/>
          <w:sz w:val="22"/>
          <w:szCs w:val="22"/>
        </w:rPr>
        <w:t xml:space="preserve">The validation of surrogate and reduced-order models demands particular rigour because their errors are not always apparent from aggregate accuracy metrics. A surrogate may achieve an excellent coefficient of determination on a randomly held-out test set while failing badly in a localised but engineering-critical region of the parameter space, such as the vicinity of a performance optimum where the response is flat and the surrogate's gradients, upon which optimisation relies, may be inaccurate even where its values are not [44]. Comprehensive validation therefore examines not only the aggregate error but its spatial distribution across the parameter space, the accuracy of predicted gradients where these are used for optimisation, and the behaviour of the surrogate near the boundaries of its training domain [45].</w:t>
      </w:r>
    </w:p>
    <w:p>
      <w:pPr>
        <w:spacing w:after="140" w:line="276" w:lineRule="auto"/>
        <w:jc w:val="both"/>
        <w:ind w:firstLine="360"/>
      </w:pPr>
      <w:r>
        <w:rPr>
          <w:rFonts w:ascii="Cambria" w:hAnsi="Cambria"/>
          <w:sz w:val="22"/>
          <w:szCs w:val="22"/>
        </w:rPr>
        <w:t xml:space="preserve">The insidious nature of gradient error in an otherwise accurate surrogate warrants a dedicated warning, for it is a trap into which the unwary optimiser readily falls. An optimisation algorithm that ascends the surrogate's gradient toward a purported optimum relies on the fidelity of that gradient, and a surrogate whose values are accurate but whose gradients are corrupted by the wiggles of an overfitted response will lead the optimiser astray, toward spurious optima that are artefacts of the surrogate rather than features of the true response. The detection of this failure requires the explicit validation of gradients, not merely values, against the true response, and its prevention favours surrogate model classes and training regularisations that produce smooth responses whose gradients are as trustworthy as their values. This concern is a recurring theme in the coupling of surrogates with the gradient-free metaheuristics of the following chapter, which sidestep the gradient issue but confront the analogous difficulty of spurious optima in the surrogate's values.</w:t>
      </w:r>
    </w:p>
    <w:p>
      <w:pPr>
        <w:spacing w:after="140" w:line="276" w:lineRule="auto"/>
        <w:jc w:val="both"/>
        <w:ind w:firstLine="360"/>
      </w:pPr>
      <w:r>
        <w:rPr>
          <w:rFonts w:ascii="Cambria" w:hAnsi="Cambria"/>
          <w:sz w:val="22"/>
          <w:szCs w:val="22"/>
        </w:rPr>
        <w:t xml:space="preserve">The ultimate purpose of surrogate and reduced-order modelling is to enable analyses that full-order simulation cannot support within realistic computational budgets, and foremost among these is optimisation. The optimisation of a nanofluid thermal system may require the evaluation of thousands or tens of thousands of candidate designs, each of which would demand a full simulation if evaluated directly; the substitution of a fast surrogate renders such campaigns tractable and is the enabling technology for the metaheuristic optimisation frameworks developed in Chapter 9 [46]. The surrogate thus serves as the bridge between the physics-based simulation that establishes ground truth and the optimisation algorithm that searches the design space, and the quality of this bridge determines the quality of the designs that emerge from the search [47].</w:t>
      </w:r>
    </w:p>
    <w:p>
      <w:pPr>
        <w:spacing w:after="140" w:line="276" w:lineRule="auto"/>
        <w:jc w:val="both"/>
        <w:ind w:firstLine="360"/>
      </w:pPr>
      <w:r>
        <w:rPr>
          <w:rFonts w:ascii="Cambria" w:hAnsi="Cambria"/>
          <w:sz w:val="22"/>
          <w:szCs w:val="22"/>
        </w:rPr>
        <w:t xml:space="preserve">In closing, the hybrid artificial intelligence and computational fluid dynamics methodologies surveyed in this chapter collectively transform simulation from a tool for the analysis of individual designs into an engine for the exploration and optimisation of entire design spaces. By accelerating convergence, by constructing faithful surrogates, and by embedding learned components within the solver itself, these methods extend the reach of physics-based simulation by orders of magnitude while preserving, through careful validation, its fidelity to the governing transport equations. The result is a computational paradigm in which the complementary strengths of physical modelling and data-driven learning are combined rather than opposed, and it is upon this foundation that the optimisation frameworks of the following chapter are built. The analyst who has assimilated the taxonomy of integration strategies, the mechanisms of convergence acceleration, and the principles of surrogate and reduced-order modelling possesses a repertoire adequate to the computational demands of modern nanofluid thermal design, and is prepared to wield that repertoire in service of the optimisation objectives to which the discussion now turns.</w:t>
      </w:r>
    </w:p>
    <w:p>
      <w:pPr>
        <w:spacing w:after="140" w:line="276" w:lineRule="auto"/>
        <w:jc w:val="both"/>
        <w:ind w:firstLine="360"/>
      </w:pPr>
      <w:r>
        <w:rPr>
          <w:rFonts w:ascii="Cambria" w:hAnsi="Cambria"/>
          <w:sz w:val="22"/>
          <w:szCs w:val="22"/>
        </w:rPr>
        <w:t xml:space="preserve">The economic dimension of the hybrid approach deserves a concluding reflection, for the ultimate justification of the considerable methodological investment that hybridisation demands is economic as much as scientific. The full-fidelity simulation of a nanofluid thermal system consumes computational resources whose cost, whether reckoned in the capital of the computing hardware, the energy of its operation, or the time of the analysts who wield it, is substantial and rising. The surrogate and acceleration techniques surveyed in this chapter reduce this cost by orders of magnitude for the routine predictions that dominate a design campaign, and this reduction translates directly into the capacity to explore more designs, to consider more objectives, and to reach better decisions within a fixed budget. The hybrid approach is, in this light, not a mere technical refinement but an economic enabler, extending the reach of computational thermal engineering to problems that its cost would otherwise place beyond consideration, and the value it creates is measured in the superior designs that its economy makes affordable.</w:t>
      </w:r>
    </w:p>
    <w:p>
      <w:pPr>
        <w:spacing w:after="140" w:line="276" w:lineRule="auto"/>
        <w:jc w:val="both"/>
        <w:ind w:firstLine="360"/>
      </w:pPr>
      <w:r>
        <w:rPr>
          <w:rFonts w:ascii="Cambria" w:hAnsi="Cambria"/>
          <w:sz w:val="22"/>
          <w:szCs w:val="22"/>
        </w:rPr>
        <w:t xml:space="preserve">A forward-looking assessment must acknowledge that the hybrid methodologies surveyed here remain in active development, and that the balance among their constituent techniques continues to shift as the underlying algorithms mature. The physics-informed paradigm, once confined to academic demonstrations on canonical problems, is advancing toward engineering applicability as its training difficulties yield to methodological refinement; the learned closure, long hampered by concerns of stability, is gaining the physical constraints that render it dependable; the differentiable solver, recently exotic, is entering the mainstream as the frameworks that support it mature. The practitioner who would remain at the frontier must therefore treat the present survey not as a settled body of doctrine but as a snapshot of a moving field, and must cultivate the judgement to distinguish the techniques whose promise is being realised from those whose promise remains prospective. It is with this awareness of a field in motion that the discussion proceeds to the optimisation frameworks that consume the surrogates the present chapter has taught us to build.</w:t>
      </w:r>
    </w:p>
    <w:p>
      <w:r>
        <w:br w:type="page"/>
      </w:r>
    </w:p>
    <w:p>
      <w:pPr>
        <w:spacing w:before="360" w:after="140"/>
        <w:keepNext/>
        <w:outlineLvl w:val="0"/>
      </w:pPr>
      <w:r>
        <w:rPr>
          <w:rFonts w:ascii="Calibri Light" w:hAnsi="Calibri Light"/>
          <w:b/>
          <w:sz w:val="40"/>
          <w:szCs w:val="40"/>
          <w:color w:val="1F3A5F"/>
        </w:rPr>
        <w:t xml:space="preserve">Chapter 9. Hybrid AI, ML, and Metaheuristic Optimization</w:t>
      </w:r>
    </w:p>
    <w:p>
      <w:pPr>
        <w:spacing w:before="260" w:after="140"/>
        <w:keepNext/>
        <w:outlineLvl w:val="2"/>
      </w:pPr>
      <w:r>
        <w:rPr>
          <w:rFonts w:ascii="Calibri Light" w:hAnsi="Calibri Light"/>
          <w:b/>
          <w:sz w:val="26"/>
          <w:szCs w:val="26"/>
          <w:color w:val="2E69AD"/>
        </w:rPr>
        <w:t xml:space="preserve">Abstract</w:t>
      </w:r>
    </w:p>
    <w:p>
      <w:pPr>
        <w:spacing w:after="140" w:line="276" w:lineRule="auto"/>
        <w:jc w:val="both"/>
        <w:ind w:firstLine="360"/>
      </w:pPr>
      <w:r>
        <w:rPr>
          <w:rFonts w:ascii="Cambria" w:hAnsi="Cambria"/>
          <w:sz w:val="22"/>
          <w:szCs w:val="22"/>
        </w:rPr>
        <w:t xml:space="preserve">The design of high-performance nanofluid thermal systems is ultimately an optimisation problem: engineers seek the combination of particle chemistry, concentration, flow rate, and geometry that maximises heat transfer while respecting constraints on pumping power, cost, and stability. This chapter examines the metaheuristic optimisation algorithms that navigate this challenging design landscape and their fruitful union with the machine learning models developed in the preceding chapters. It begins with the two most influential metaheuristics, the genetic algorithm and particle swarm optimisation, tracing their biological and social inspirations, their mathematical mechanics, and their characteristic strengths on the rugged, multimodal objective surfaces that thermal design problems present. The discussion then develops hybrid frameworks in which artificial neural networks and adaptive neuro-fuzzy inference systems serve as fast surrogates that the optimiser interrogates in place of expensive experiments or simulations, dramatically compressing the time required to locate high-performing designs. The chapter culminates in the treatment of multi-objective optimisation, the realistic setting in which competing goals such as maximal heat transfer and minimal pumping penalty must be balanced, and in which the outcome is not a single optimum but a Pareto front of non-dominated compromises among which the designer must choose. Throughout, the emphasis falls on the synergy between the search power of metaheuristics and the predictive speed of machine learning, a synergy that has become the dominant paradigm for the computational design of nanofluid thermal systems.</w:t>
      </w:r>
    </w:p>
    <w:p>
      <w:pPr>
        <w:spacing w:before="360" w:after="140"/>
        <w:keepNext/>
        <w:outlineLvl w:val="1"/>
      </w:pPr>
      <w:r>
        <w:rPr>
          <w:rFonts w:ascii="Calibri Light" w:hAnsi="Calibri Light"/>
          <w:b/>
          <w:sz w:val="30"/>
          <w:szCs w:val="30"/>
          <w:color w:val="1F3A5F"/>
        </w:rPr>
        <w:t xml:space="preserve">9.1 Genetic Algorithms and Particle Swarm Optimization</w:t>
      </w:r>
    </w:p>
    <w:p>
      <w:pPr>
        <w:spacing w:after="140" w:line="276" w:lineRule="auto"/>
        <w:jc w:val="both"/>
        <w:ind w:firstLine="360"/>
      </w:pPr>
      <w:r>
        <w:rPr>
          <w:rFonts w:ascii="Cambria" w:hAnsi="Cambria"/>
          <w:sz w:val="22"/>
          <w:szCs w:val="22"/>
        </w:rPr>
        <w:t xml:space="preserve">The optimisation of nanofluid thermal performance presents a landscape that defeats classical gradient-based methods. The objective surface, relating design variables such as particle volume fraction, Reynolds number, and channel aspect ratio to a performance measure such as the Nusselt number or a thermal-hydraulic efficiency index, is typically nonlinear, multimodal, and frequently non-differentiable where it is defined only through experiment or simulation. Gradient methods, which follow the local slope toward the nearest optimum, become trapped in local optima and cannot escape to explore the global structure of such surfaces [1]. Metaheuristic algorithms, which maintain a population of candidate solutions and combine exploratory and exploitative search operators, are far better suited to these landscapes, and among them the genetic algorithm and particle swarm optimisation have achieved the widest adoption in thermal engineering [2].</w:t>
      </w:r>
    </w:p>
    <w:p>
      <w:pPr>
        <w:spacing w:after="140" w:line="276" w:lineRule="auto"/>
        <w:jc w:val="both"/>
        <w:ind w:firstLine="360"/>
      </w:pPr>
      <w:r>
        <w:rPr>
          <w:rFonts w:ascii="Cambria" w:hAnsi="Cambria"/>
          <w:sz w:val="22"/>
          <w:szCs w:val="22"/>
        </w:rPr>
        <w:t xml:space="preserve">The place of optimisation within the broader enterprise of thermal engineering deserves emphasis at the outset, for it is optimisation that converts the predictive capability developed in the preceding chapters into the design improvement that is the ultimate purpose of the entire undertaking. A model that predicts the thermal performance of a given design, however accurate, does not by itself yield a better design; it yields only an assessment of the design presented to it. The transformation of prediction into design requires a search over the space of possible designs for the one that performs best, and it is this search that optimisation conducts. The predictive models of the seventh chapter and the surrogate and acceleration techniques of the eighth are, in this light, the enablers of the optimisation that the present chapter addresses, and the optimisation is the consummation toward which they were directed. The engineer who has mastered prediction but not optimisation possesses the means of assessment but not of improvement, and it is only with the addition of the optimisation methods surveyed here that the data-driven paradigm attains its full power to advance the design of thermal systems.</w:t>
      </w:r>
    </w:p>
    <w:p>
      <w:pPr>
        <w:spacing w:after="140" w:line="276" w:lineRule="auto"/>
        <w:jc w:val="both"/>
        <w:ind w:firstLine="360"/>
      </w:pPr>
      <w:r>
        <w:rPr>
          <w:rFonts w:ascii="Cambria" w:hAnsi="Cambria"/>
          <w:sz w:val="22"/>
          <w:szCs w:val="22"/>
        </w:rPr>
        <w:t xml:space="preserve">The distinction between local and global optimisation is fundamental to appreciating why metaheuristics have supplanted classical methods in this domain. A local optimiser, furnished with a starting point and a means of computing gradients, descends reliably to the nearest optimum, but it possesses no mechanism for discovering that a superior optimum lies elsewhere in the design space, beyond an intervening ridge of poor performance. On the rugged, multimodal surfaces that nanofluid thermal design presents, where numerous local optima of varying quality are separated by such ridges, the local optimiser's answer depends entirely on the accident of its starting point, and the designer who relies upon it may unknowingly settle for a mediocre design while a far better one remains undiscovered. The metaheuristic, by maintaining a diverse population that samples the design space broadly and by incorporating stochastic operators that permit escape from local optima, addresses precisely this deficiency, trading the guaranteed local convergence of the gradient method for a probabilistic but far more thorough exploration of the global structure.</w:t>
      </w:r>
    </w:p>
    <w:p>
      <w:pPr>
        <w:spacing w:after="140" w:line="276" w:lineRule="auto"/>
        <w:jc w:val="both"/>
        <w:ind w:firstLine="360"/>
      </w:pPr>
      <w:r>
        <w:rPr>
          <w:rFonts w:ascii="Cambria" w:hAnsi="Cambria"/>
          <w:sz w:val="22"/>
          <w:szCs w:val="22"/>
        </w:rPr>
        <w:t xml:space="preserve">The genetic algorithm draws its inspiration from the mechanics of biological evolution. It maintains a population of candidate designs, each encoded as a string of parameters analogous to a chromosome, and it improves the population across successive generations through the application of selection, crossover, and mutation operators. Selection preferentially retains the fitter designs, those achieving superior thermal performance, as parents for the next generation; crossover recombines the parameters of two parents to produce offspring that inherit characteristics of both; and mutation introduces random perturbations that maintain diversity and enable the exploration of regions the population has not yet visited [3]. The balance between the exploitative pressure of selection and the exploratory pressure of mutation governs the algorithm's behaviour, and its skilful tuning is essential to avoid both premature convergence to a suboptimal design and aimless wandering that never converges [4].</w:t>
      </w:r>
    </w:p>
    <w:p>
      <w:pPr>
        <w:spacing w:after="140" w:line="276" w:lineRule="auto"/>
        <w:jc w:val="both"/>
        <w:ind w:firstLine="360"/>
      </w:pPr>
      <w:r>
        <w:rPr>
          <w:rFonts w:ascii="Cambria" w:hAnsi="Cambria"/>
          <w:sz w:val="22"/>
          <w:szCs w:val="22"/>
        </w:rPr>
        <w:t xml:space="preserve">The encoding of the design variables into a form on which the genetic operators can act is a decision of greater consequence than its technical appearance suggests, for the encoding determines the geometry of the search space as the algorithm perceives it. A binary encoding, in which each parameter is represented as a string of bits, admits the classical crossover and mutation operators in their original form but introduces artefacts at the boundaries between the bit representations of adjacent values, where a small change in the encoded value may require a large change in the bit string. A real-valued encoding, in which each parameter is represented directly as a number, avoids these artefacts and admits operators tailored to continuous variables, and it has become the preferred representation for the continuous design variables that dominate thermal problems. The matching of the encoding to the nature of the variables, respecting the continuity of a flow rate and the discreteness of a choice among particle chemistries, is a foundational decision whose careful attention repays itself in the efficiency and reliability of the search.</w:t>
      </w:r>
    </w:p>
    <w:p>
      <w:pPr>
        <w:spacing w:after="140" w:line="276" w:lineRule="auto"/>
        <w:jc w:val="both"/>
        <w:ind w:firstLine="360"/>
      </w:pPr>
      <w:r>
        <w:rPr>
          <w:rFonts w:ascii="Cambria" w:hAnsi="Cambria"/>
          <w:sz w:val="22"/>
          <w:szCs w:val="22"/>
        </w:rPr>
        <w:t xml:space="preserve">The genius of the crossover operator lies in its implicit exploitation of the modular structure that many design problems possess. If a favourable value of the particle volume fraction and a favourable value of the channel aspect ratio each contribute independently to thermal performance, then a design that combines both will tend to outperform either parent, and crossover, by recombining the parameters of high-performing parents, assembles such advantageous combinations with a facility that random search cannot match. This building-block behaviour, in which the algorithm discovers and recombines partial solutions of high value, accounts for the genetic algorithm's effectiveness on problems whose design variables interact in a decomposable manner, and it explains why the encoding of the design, the manner in which the parameters are arranged into the chromosome, can materially affect the algorithm's performance by determining which combinations crossover can readily assemble.</w:t>
      </w:r>
    </w:p>
    <w:p>
      <w:pPr>
        <w:spacing w:after="140" w:line="276" w:lineRule="auto"/>
        <w:jc w:val="both"/>
        <w:ind w:firstLine="360"/>
      </w:pPr>
      <w:r>
        <w:rPr>
          <w:rFonts w:ascii="Cambria" w:hAnsi="Cambria"/>
          <w:sz w:val="22"/>
          <w:szCs w:val="22"/>
        </w:rPr>
        <w:t xml:space="preserve">Particle swarm optimisation, by contrast, draws its inspiration from the collective behaviour of flocking birds and schooling fish. It maintains a swarm of particles, each representing a candidate design and moving through the parameter space under the influence of two attractions: toward the best position the particle itself has encountered, and toward the best position discovered by the swarm as a whole [5]. The velocity of each particle is updated at every iteration as a weighted combination of its current velocity, its personal-best attraction, and its global-best attraction, and the resulting trajectories cause the swarm to converge collectively toward promising regions while retaining the momentum to explore. The algorithm is prized for its conceptual simplicity, its small number of tuning parameters, and its rapid convergence on many thermal design problems, though it can converge prematurely on multimodal surfaces if its exploratory momentum is not carefully maintained [6].</w:t>
      </w:r>
    </w:p>
    <w:p>
      <w:pPr>
        <w:spacing w:after="140" w:line="276" w:lineRule="auto"/>
        <w:jc w:val="both"/>
        <w:ind w:firstLine="360"/>
      </w:pPr>
      <w:r>
        <w:rPr>
          <w:rFonts w:ascii="Cambria" w:hAnsi="Cambria"/>
          <w:sz w:val="22"/>
          <w:szCs w:val="22"/>
        </w:rPr>
        <w:t xml:space="preserve">The inertia weight that governs the persistence of a particle's velocity is the principal lever by which the balance of exploration and exploitation in particle swarm optimisation is controlled. A large inertia weight preserves the particles' momentum, propelling them across the design space in broad exploratory sweeps that resist the pull toward the current best positions, while a small inertia weight damps the momentum and allows the attractions to draw the swarm rapidly toward the discovered optima. A widely adopted and effective strategy schedules the inertia weight to decrease over the course of the optimisation, favouring exploration in the early iterations when the global structure of the surface is still being mapped and favouring exploitation in the later iterations when the swarm should converge upon the best region it has found. This scheduling embodies in a single adaptive parameter the shift from exploration to exploitation that every successful optimisation must accomplish, and its careful design is central to the algorithm's performance.</w:t>
      </w:r>
    </w:p>
    <w:p>
      <w:pPr>
        <w:spacing w:after="140" w:line="276" w:lineRule="auto"/>
        <w:jc w:val="both"/>
        <w:ind w:firstLine="360"/>
      </w:pPr>
      <w:r>
        <w:rPr>
          <w:rFonts w:ascii="Cambria" w:hAnsi="Cambria"/>
          <w:sz w:val="22"/>
          <w:szCs w:val="22"/>
        </w:rPr>
        <w:t xml:space="preserve">The comparative behaviour of these algorithms on thermal optimisation problems is instructive. The genetic algorithm, with its population-based recombination, tends to maintain diversity and to explore the global structure of the design space thoroughly, at the cost of relatively slow convergence. Particle swarm optimisation typically converges more rapidly, exploiting promising regions aggressively, but is correspondingly more susceptible to entrapment in local optima when the surface is rugged [7]. Figure 4 illustrates this contrast through the convergence histories of the two algorithms on a representative nanofluid optimisation problem, alongside the accelerated convergence achieved by a hybrid scheme that combines them with a neural surrogate, a combination developed in the following section [8]. The convergence curves make plain that no single algorithm dominates across all problems, and the selection of an optimiser must account for the character of the specific design landscape.</w:t>
      </w:r>
    </w:p>
    <w:p>
      <w:pPr>
        <w:jc w:val="center"/>
        <w:spacing w:before="120" w:after="40"/>
      </w:pPr>
      <w:r>
        <w:drawing>
          <wp:inline distT="0" distB="0" distL="0" distR="0">
            <wp:extent cx="590550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4"/>
                    <a:stretch>
                      <a:fillRect/>
                    </a:stretch>
                  </pic:blipFill>
                  <pic:spPr>
                    <a:xfrm>
                      <a:off x="0" y="0"/>
                      <a:ext cx="5905500" cy="3371850"/>
                    </a:xfrm>
                    <a:prstGeom prst="rect">
                      <a:avLst/>
                    </a:prstGeom>
                  </pic:spPr>
                </pic:pic>
              </a:graphicData>
            </a:graphic>
          </wp:inline>
        </w:drawing>
      </w:r>
    </w:p>
    <w:p>
      <w:pPr>
        <w:spacing w:before="60" w:after="220"/>
        <w:jc w:val="center"/>
      </w:pPr>
      <w:r>
        <w:rPr>
          <w:rFonts w:ascii="Cambria" w:hAnsi="Cambria"/>
          <w:b/>
          <w:sz w:val="18"/>
          <w:szCs w:val="18"/>
          <w:color w:val="595959"/>
        </w:rPr>
        <w:t xml:space="preserve">Figure 4. Convergence histories of genetic algorithm, particle swarm optimisation, and a hybrid ANN–PSO–GA scheme (left), and the Pareto front of Nusselt number against pumping penalty for multi-objective optimisation (right).</w:t>
      </w:r>
    </w:p>
    <w:p>
      <w:pPr>
        <w:spacing w:after="140" w:line="276" w:lineRule="auto"/>
        <w:jc w:val="both"/>
        <w:ind w:firstLine="360"/>
      </w:pPr>
      <w:r>
        <w:rPr>
          <w:rFonts w:ascii="Cambria" w:hAnsi="Cambria"/>
          <w:sz w:val="22"/>
          <w:szCs w:val="22"/>
        </w:rPr>
        <w:t xml:space="preserve">The contrast between the two algorithms has a practical corollary in the strategy of combining them to secure the strengths of each. A workflow that begins with the broad exploration of a genetic algorithm and hands its best discovered region to a particle swarm for rapid local refinement, or that runs both concurrently and shares information between them, can converge faster than the genetic algorithm alone while reaching a better optimum than the particle swarm alone, escaping the local optima that would trap the swarm while avoiding the slow convergence that afflicts the genetic algorithm in its later stages. The hybrid trajectory in the figure exemplifies the reward of such a combination, and it foreshadows the layered hybridisation with machine learning surrogates that the next section develops into the dominant paradigm of contemporary thermal optimisation.</w:t>
      </w:r>
    </w:p>
    <w:p>
      <w:pPr>
        <w:spacing w:after="140" w:line="276" w:lineRule="auto"/>
        <w:jc w:val="both"/>
        <w:ind w:firstLine="360"/>
      </w:pPr>
      <w:r>
        <w:rPr>
          <w:rFonts w:ascii="Cambria" w:hAnsi="Cambria"/>
          <w:sz w:val="22"/>
          <w:szCs w:val="22"/>
        </w:rPr>
        <w:t xml:space="preserve">A rich ecosystem of alternative and derivative metaheuristics has emerged alongside these two foundational algorithms, each inspired by a different natural or physical phenomenon. Differential evolution, ant colony optimisation, simulated annealing, the firefly algorithm, and grey wolf optimisation, among many others, have all been applied to nanofluid thermal problems with varying degrees of success [9]. While the proliferation of nature-inspired metaheuristics has attracted criticism for the sometimes superficial novelty of algorithms that are mathematically equivalent to established methods, the diversity of search behaviours available does provide practitioners with a valuable toolkit from which to select an algorithm suited to the structure of a particular problem [10]. The prudent practitioner focuses on the underlying search mechanics, the balance of exploration and exploitation and the manner in which the population shares information, rather than on the vividness of the biological metaphor [11].</w:t>
      </w:r>
    </w:p>
    <w:p>
      <w:pPr>
        <w:spacing w:after="140" w:line="276" w:lineRule="auto"/>
        <w:jc w:val="both"/>
        <w:ind w:firstLine="360"/>
      </w:pPr>
      <w:r>
        <w:rPr>
          <w:rFonts w:ascii="Cambria" w:hAnsi="Cambria"/>
          <w:sz w:val="22"/>
          <w:szCs w:val="22"/>
        </w:rPr>
        <w:t xml:space="preserve">The no-free-lunch theorems of optimisation furnish a rigorous foundation for this pragmatic scepticism toward claims of universal superiority. These theorems establish that, averaged over all possible objective functions, no optimisation algorithm outperforms any other, from which it follows that the superior performance an algorithm exhibits on one class of problems must be paid for by inferior performance on another. There is, in consequence, no universally best metaheuristic, and the search for one is misguided; what exists instead is a matching of algorithms to problem structures, in which an algorithm whose search behaviour aligns with the structure of a given class of thermal problems outperforms its rivals on that class while yielding to them elsewhere. The practical implication is that the selection of a metaheuristic should be informed by the character of the specific design landscape, and that the empirical comparison of candidate algorithms on representative instances of the problem at hand is a more reliable guide than any general claim of algorithmic supremacy.</w:t>
      </w:r>
    </w:p>
    <w:p>
      <w:pPr>
        <w:spacing w:after="140" w:line="276" w:lineRule="auto"/>
        <w:jc w:val="both"/>
        <w:ind w:firstLine="360"/>
      </w:pPr>
      <w:r>
        <w:rPr>
          <w:rFonts w:ascii="Cambria" w:hAnsi="Cambria"/>
          <w:sz w:val="22"/>
          <w:szCs w:val="22"/>
        </w:rPr>
        <w:t xml:space="preserve">The performance of any metaheuristic on a thermal optimisation problem is governed by its own hyperparameters, such as the population size, the mutation rate, and the inertia weight, and the tuning of these hyperparameters is itself a meta-optimisation problem. Adaptive schemes that adjust the hyperparameters during the search, increasing exploration when the population stagnates and increasing exploitation as convergence approaches, have proved more robust than fixed configurations across the diversity of thermal problems encountered in practice [12]. The interaction between the metaheuristic's hyperparameters and the character of the objective surface is complex, and the empirical tuning of these parameters on representative problems remains an essential, if unglamorous, component of successful optimisation practice [13].</w:t>
      </w:r>
    </w:p>
    <w:p>
      <w:pPr>
        <w:spacing w:after="140" w:line="276" w:lineRule="auto"/>
        <w:jc w:val="both"/>
        <w:ind w:firstLine="360"/>
      </w:pPr>
      <w:r>
        <w:rPr>
          <w:rFonts w:ascii="Cambria" w:hAnsi="Cambria"/>
          <w:sz w:val="22"/>
          <w:szCs w:val="22"/>
        </w:rPr>
        <w:t xml:space="preserve">A crucial practical consideration is the cost of evaluating the objective function. When each evaluation requires a physical experiment or a high-fidelity simulation, the thousands of evaluations that a metaheuristic demands become prohibitive, and this cost has historically limited the application of these powerful algorithms to thermal design. It is precisely this limitation that the integration of machine learning surrogates overcomes, and the hybrid frameworks developed in the next section transform the metaheuristic from an impractical ideal into a routine engineering tool by supplying it with an objective function that can be evaluated in milliseconds [14]. The convergence histories that a metaheuristic traces are measured in iterations, but the wall-clock cost of those iterations is set by the cost of the objective evaluations that populate them, and it is the compression of that cost by the surrogate that renders the many iterations affordable.</w:t>
      </w:r>
    </w:p>
    <w:p>
      <w:pPr>
        <w:spacing w:after="140" w:line="276" w:lineRule="auto"/>
        <w:jc w:val="both"/>
        <w:ind w:firstLine="360"/>
      </w:pPr>
      <w:r>
        <w:rPr>
          <w:rFonts w:ascii="Cambria" w:hAnsi="Cambria"/>
          <w:sz w:val="22"/>
          <w:szCs w:val="22"/>
        </w:rPr>
        <w:t xml:space="preserve">The parallelisability of population-based metaheuristics is a further advantage that recommends them for the computationally intensive setting of thermal design. Because the fitness of each member of a population may be evaluated independently of the others, the evaluations within a generation can be distributed across as many processors as are available, so that the wall-clock time of a generation is set by the cost of a single evaluation rather than by their sum. When the objective is an expensive simulation, this parallelism directly compresses the time to solution; when the objective is a fast surrogate, the parallelism permits enormous populations that sample the design space densely. This natural parallelism, absent from the inherently sequential trajectory of a classical gradient method, aligns the metaheuristic with the parallel architecture of modern computing hardware and amplifies the practical advantage that its global search behaviour already confers.</w:t>
      </w:r>
    </w:p>
    <w:p>
      <w:pPr>
        <w:spacing w:after="140" w:line="276" w:lineRule="auto"/>
        <w:jc w:val="both"/>
        <w:ind w:firstLine="360"/>
      </w:pPr>
      <w:r>
        <w:rPr>
          <w:rFonts w:ascii="Cambria" w:hAnsi="Cambria"/>
          <w:sz w:val="22"/>
          <w:szCs w:val="22"/>
        </w:rPr>
        <w:t xml:space="preserve">Constraint handling is a practical concern that every application of metaheuristics to thermal design must confront, for the design space is rarely an unbounded expanse but is hemmed in by constraints on pumping power, on the stability of the suspension, on manufacturability, and on cost. The metaheuristic, which in its basic form searches an unconstrained space, must be adapted to respect these constraints, whether by penalising infeasible designs in the objective, by repairing them into feasibility, or by restricting the search operators to generate only feasible candidates. The choice among these strategies materially affects the algorithm's behaviour, for a penalty too gentle admits infeasible optima while a penalty too harsh distorts the search near the feasible boundary where the optimum frequently lies. The skilful handling of constraints, matching the strategy to the geometry of the feasible region, is among the arts that distinguish an effective application of metaheuristics from an ineffective one.</w:t>
      </w:r>
    </w:p>
    <w:p>
      <w:pPr>
        <w:spacing w:after="140" w:line="276" w:lineRule="auto"/>
        <w:jc w:val="both"/>
        <w:ind w:firstLine="360"/>
      </w:pPr>
      <w:r>
        <w:rPr>
          <w:rFonts w:ascii="Cambria" w:hAnsi="Cambria"/>
          <w:sz w:val="22"/>
          <w:szCs w:val="22"/>
        </w:rPr>
        <w:t xml:space="preserve">The stochastic character of metaheuristic search has an important consequence for the interpretation and reporting of optimisation results that the deterministic habits of classical engineering can obscure. Because the algorithm incorporates randomness, in its initial population, its selection, and its mutation, two runs of the same algorithm on the same problem may reach different final designs, and the outcome of a single run is a sample from a distribution of outcomes rather than a definitive answer. Rigorous practice therefore reports the results of multiple independent runs, characterising the distribution of the outcomes rather than a single run that may be atypically fortunate or unfortunate, and it compares algorithms on the basis of this distribution rather than on the basis of a single comparison that chance might have decided. The neglect of this statistical dimension, in which a single lucky run is presented as a definitive result, is a common failing that undermines the credibility of many reported optimisation studies.</w:t>
      </w:r>
    </w:p>
    <w:p>
      <w:pPr>
        <w:spacing w:before="360" w:after="140"/>
        <w:keepNext/>
        <w:outlineLvl w:val="1"/>
      </w:pPr>
      <w:r>
        <w:rPr>
          <w:rFonts w:ascii="Calibri Light" w:hAnsi="Calibri Light"/>
          <w:b/>
          <w:sz w:val="30"/>
          <w:szCs w:val="30"/>
          <w:color w:val="1F3A5F"/>
        </w:rPr>
        <w:t xml:space="preserve">9.2 Hybrid ANN–ANFIS–Optimization Frameworks</w:t>
      </w:r>
    </w:p>
    <w:p>
      <w:pPr>
        <w:spacing w:after="140" w:line="276" w:lineRule="auto"/>
        <w:jc w:val="both"/>
        <w:ind w:firstLine="360"/>
      </w:pPr>
      <w:r>
        <w:rPr>
          <w:rFonts w:ascii="Cambria" w:hAnsi="Cambria"/>
          <w:sz w:val="22"/>
          <w:szCs w:val="22"/>
        </w:rPr>
        <w:t xml:space="preserve">The union of metaheuristic optimisation with machine learning surrogates constitutes the central methodological innovation of contemporary nanofluid thermal design. In a hybrid framework the expensive objective function, whether an experiment or a simulation, is replaced by a fast surrogate model that the optimiser interrogates freely, and the surrogate is trained on a modest but carefully chosen set of true evaluations. This arrangement decouples the number of optimiser evaluations, which may run into the tens of thousands, from the number of expensive true evaluations, which may number only in the dozens, and it thereby renders metaheuristic optimisation tractable for problems that would otherwise be far beyond reach [15].</w:t>
      </w:r>
    </w:p>
    <w:p>
      <w:pPr>
        <w:spacing w:after="140" w:line="276" w:lineRule="auto"/>
        <w:jc w:val="both"/>
        <w:ind w:firstLine="360"/>
      </w:pPr>
      <w:r>
        <w:rPr>
          <w:rFonts w:ascii="Cambria" w:hAnsi="Cambria"/>
          <w:sz w:val="22"/>
          <w:szCs w:val="22"/>
        </w:rPr>
        <w:t xml:space="preserve">The logic of this decoupling repays careful statement because it is the conceptual pivot on which the entire hybrid enterprise turns. The metaheuristic requires many evaluations because its stochastic, population-based search is profligate with function calls, sampling the design space broadly and repeatedly in the course of its exploration; the physical or high-fidelity evaluation is expensive because it engages the full apparatus of experiment or simulation. Coupling the two directly would multiply the many evaluations by the high cost of each, yielding a total cost that is prohibitive. The surrogate breaks this multiplication by interposing a cheap approximation between the optimiser and the expensive truth, so that the optimiser's many evaluations invoke only the cheap surrogate while the expensive truth is consulted only the modest number of times required to train and periodically confirm that surrogate. The total cost thus becomes the sum of a small number of expensive evaluations and a large number of cheap ones, rather than their product, and it is this transformation from a product to a sum that renders the intractable tractable.</w:t>
      </w:r>
    </w:p>
    <w:p>
      <w:pPr>
        <w:spacing w:after="140" w:line="276" w:lineRule="auto"/>
        <w:jc w:val="both"/>
        <w:ind w:firstLine="360"/>
      </w:pPr>
      <w:r>
        <w:rPr>
          <w:rFonts w:ascii="Cambria" w:hAnsi="Cambria"/>
          <w:sz w:val="22"/>
          <w:szCs w:val="22"/>
        </w:rPr>
        <w:t xml:space="preserve">The artificial neural network, developed at length in Chapter 7, is the most versatile surrogate for this purpose. Trained on a dataset of design parameters and corresponding thermal performance, a network learns the mapping from design to performance and thereafter predicts the performance of any candidate design instantly. When embedded within a genetic algorithm or a particle swarm optimiser, the network supplies the fitness evaluation that drives the search, and the optimiser explores the design space at a speed limited only by the network's inference time [16]. The accuracy of the resulting optimum depends on the fidelity of the surrogate, and the most reliable frameworks interleave optimisation with the periodic acquisition of new true evaluations in the promising regions the optimiser identifies, refining the surrogate where its accuracy matters most, in a manner directly analogous to the active-learning loop of Chapter 8 [17].</w:t>
      </w:r>
    </w:p>
    <w:p>
      <w:pPr>
        <w:spacing w:after="140" w:line="276" w:lineRule="auto"/>
        <w:jc w:val="both"/>
        <w:ind w:firstLine="360"/>
      </w:pPr>
      <w:r>
        <w:rPr>
          <w:rFonts w:ascii="Cambria" w:hAnsi="Cambria"/>
          <w:sz w:val="22"/>
          <w:szCs w:val="22"/>
        </w:rPr>
        <w:t xml:space="preserve">The adaptive neuro-fuzzy inference system offers an alternative surrogate that marries the learning capacity of neural networks with the interpretability of fuzzy logic. It expresses the input–output relationship through a set of fuzzy if–then rules whose parameters are tuned by a neural learning procedure, so that the resulting model both fits the data accurately and admits interpretation in terms of linguistic rules relating design variables to performance [18]. In nanofluid thermal modelling the adaptive neuro-fuzzy inference system has proved competitive with neural networks in predictive accuracy while offering superior transparency, a combination that is attractive when the optimisation must be justified to stakeholders who require insight into the relationships driving the design [19]. Its principal limitation is a curse of dimensionality that restricts the number of input variables it can accommodate gracefully, which has motivated hybrid schemes that pair it with feature selection or dimensionality reduction [20].</w:t>
      </w:r>
    </w:p>
    <w:p>
      <w:pPr>
        <w:spacing w:after="140" w:line="276" w:lineRule="auto"/>
        <w:jc w:val="both"/>
        <w:ind w:firstLine="360"/>
      </w:pPr>
      <w:r>
        <w:rPr>
          <w:rFonts w:ascii="Cambria" w:hAnsi="Cambria"/>
          <w:sz w:val="22"/>
          <w:szCs w:val="22"/>
        </w:rPr>
        <w:t xml:space="preserve">The support vector machine and its regression counterpart, the tree-based ensembles such as random forests and gradient-boosted trees, and the Gaussian process each offer alternative surrogate model classes whose distinctive properties suit them to particular circumstances within the hybrid framework. The support vector regression, with its foundation in structural risk minimisation, generalises well from modest datasets and resists overfitting, recommending it where data are scarce. The tree-based ensembles handle heterogeneous and discontinuous responses gracefully and require little preprocessing, recommending them where the response contains abrupt transitions or where the parameters mingle continuous and categorical types. The Gaussian process, already noted for its native uncertainty quantification, excels on smooth low-dimensional responses where its principled probabilistic treatment yields both accurate predictions and trustworthy uncertainties. The neural network and the fuzzy-inference system take their places within this ecosystem of surrogate classes rather than standing apart from it, and the selection among them, guided by the size and character of the data and by the properties of the response, is a further exercise of the judgement that effective hybrid modelling demands.</w:t>
      </w:r>
    </w:p>
    <w:p>
      <w:pPr>
        <w:spacing w:after="140" w:line="276" w:lineRule="auto"/>
        <w:jc w:val="both"/>
        <w:ind w:firstLine="360"/>
      </w:pPr>
      <w:r>
        <w:rPr>
          <w:rFonts w:ascii="Cambria" w:hAnsi="Cambria"/>
          <w:sz w:val="22"/>
          <w:szCs w:val="22"/>
        </w:rPr>
        <w:t xml:space="preserve">The interpretability of the adaptive neuro-fuzzy inference system connects the optimisation of this chapter to the explainability concerns that closed the seventh. Because the model expresses its knowledge as a set of linguistic rules, of the form that a high Reynolds number and a moderate particle concentration together yield a high Nusselt number, its recommendations can be explained to a designer in terms that align with engineering intuition, and the optimisation that the model drives inherits a measure of this transparency. The designer who accepts an optimised design produced by a fuzzy-inference surrogate can inspect the rules that the surrogate learned and confirm that they accord with physical understanding, gaining a confidence in the recommendation that a more opaque surrogate would not afford. This marriage of optimisation power with interpretive transparency is a distinctive attraction of the fuzzy-inference approach and a reason for its enduring popularity in thermal engineering despite the dimensional limitations that constrain its application.</w:t>
      </w:r>
    </w:p>
    <w:p>
      <w:pPr>
        <w:spacing w:after="140" w:line="276" w:lineRule="auto"/>
        <w:jc w:val="both"/>
        <w:ind w:firstLine="360"/>
      </w:pPr>
      <w:r>
        <w:rPr>
          <w:rFonts w:ascii="Cambria" w:hAnsi="Cambria"/>
          <w:sz w:val="22"/>
          <w:szCs w:val="22"/>
        </w:rPr>
        <w:t xml:space="preserve">The most powerful frameworks combine multiple machine learning and optimisation components into an integrated pipeline. A representative arrangement uses a neural network or adaptive neuro-fuzzy system as the surrogate, a genetic algorithm to explore the global structure of the design space, and particle swarm optimisation to refine the most promising regions, with the strengths of each component compensating for the weaknesses of the others [21]. The neural surrogate supplies speed, the genetic algorithm supplies global exploration, and the particle swarm supplies rapid local refinement, and the accelerated convergence of such a combined scheme reaches a superior optimum in fewer iterations than either metaheuristic operating alone [22]. This layered hybridisation has become the template for state-of-the-art nanofluid optimisation studies.</w:t>
      </w:r>
    </w:p>
    <w:p>
      <w:pPr>
        <w:spacing w:after="140" w:line="276" w:lineRule="auto"/>
        <w:jc w:val="both"/>
        <w:ind w:firstLine="360"/>
      </w:pPr>
      <w:r>
        <w:rPr>
          <w:rFonts w:ascii="Cambria" w:hAnsi="Cambria"/>
          <w:sz w:val="22"/>
          <w:szCs w:val="22"/>
        </w:rPr>
        <w:t xml:space="preserve">The training of the surrogate within a hybrid framework raises the question of how to allocate the limited budget of expensive true evaluations between the initial construction of the surrogate and its subsequent refinement during optimisation. Devoting the entire budget to initial training produces a surrogate that is uniformly accurate but that may lack fidelity precisely where the optimum lies; reserving a portion for adaptive refinement allows the framework to sharpen the surrogate around the emerging optimum, typically yielding a better final design for the same total cost [23]. The optimal allocation depends on the smoothness of the objective and the dimensionality of the design space, and adaptive strategies that adjust the allocation in response to the observed progress of the optimisation have proved most effective across the range of thermal problems encountered in practice [24].</w:t>
      </w:r>
    </w:p>
    <w:p>
      <w:pPr>
        <w:spacing w:after="140" w:line="276" w:lineRule="auto"/>
        <w:jc w:val="both"/>
        <w:ind w:firstLine="360"/>
      </w:pPr>
      <w:r>
        <w:rPr>
          <w:rFonts w:ascii="Cambria" w:hAnsi="Cambria"/>
          <w:sz w:val="22"/>
          <w:szCs w:val="22"/>
        </w:rPr>
        <w:t xml:space="preserve">The metaheuristics of the preceding section are themselves employed within these frameworks not only to optimise the thermal design but to optimise the surrogate. The hyperparameters and even the architecture of a neural network, the number and width of its layers, its learning rate, and its regularisation strength, constitute an optimisation problem in their own right, and genetic algorithms and particle swarm optimisation are widely used to solve it, automating the design of the surrogate that will in turn drive the design of the thermal system [25]. This recursive application of optimisation, in which a metaheuristic optimises the machine learning model that a metaheuristic will use to optimise the thermal system, exemplifies the deep entanglement of the two disciplines in modern thermal design and the compounding leverage that their combination provides [26].</w:t>
      </w:r>
    </w:p>
    <w:p>
      <w:pPr>
        <w:spacing w:after="140" w:line="276" w:lineRule="auto"/>
        <w:jc w:val="both"/>
        <w:ind w:firstLine="360"/>
      </w:pPr>
      <w:r>
        <w:rPr>
          <w:rFonts w:ascii="Cambria" w:hAnsi="Cambria"/>
          <w:sz w:val="22"/>
          <w:szCs w:val="22"/>
        </w:rPr>
        <w:t xml:space="preserve">The recursive structure of surrogate-assisted optimisation, in which optimisation is applied to the surrogate that assists optimisation, invites a note of caution regarding the accumulation of computational cost. Each level of the recursion multiplies the number of evaluations, and an incautious nesting of optimisation within optimisation can inflate the total cost to the point where the surrogate's economy is squandered. The disciplined practice reserves the expensive true evaluations strictly for the training and confirmation of the surrogate, conducts all of the surrogate-hyperparameter optimisation and the design optimisation on the cheap surrogate, and monitors the total budget of true evaluations with care. Managed thus, the recursion compounds the leverage of the surrogate rather than dissipating it, and the framework delivers optimised designs at a fraction of the cost that direct optimisation would demand.</w:t>
      </w:r>
    </w:p>
    <w:p>
      <w:pPr>
        <w:spacing w:after="140" w:line="276" w:lineRule="auto"/>
        <w:jc w:val="both"/>
        <w:ind w:firstLine="360"/>
      </w:pPr>
      <w:r>
        <w:rPr>
          <w:rFonts w:ascii="Cambria" w:hAnsi="Cambria"/>
          <w:sz w:val="22"/>
          <w:szCs w:val="22"/>
        </w:rPr>
        <w:t xml:space="preserve">The validation of a hybrid framework must confront the compounding of errors that its layered structure permits. The surrogate introduces an approximation error relative to the true objective, and the optimiser may exploit inaccuracies in the surrogate to identify apparent optima that are artefacts of surrogate error rather than genuine features of the true objective [27]. The indispensable safeguard is the confirmation of the optimiser's recommended design by a true evaluation, an experiment or a high-fidelity simulation, before the design is accepted; a substantial discrepancy between the surrogate's prediction and the confirmed performance signals that the surrogate requires refinement in the region of the purported optimum [28]. This confirmation step closes the loop between the fast, approximate world of the surrogate and the slow, accurate world of physical truth, and it is the ultimate guarantor of the trustworthiness of a hybrid optimisation result [29].</w:t>
      </w:r>
    </w:p>
    <w:p>
      <w:pPr>
        <w:spacing w:after="140" w:line="276" w:lineRule="auto"/>
        <w:jc w:val="both"/>
        <w:ind w:firstLine="360"/>
      </w:pPr>
      <w:r>
        <w:rPr>
          <w:rFonts w:ascii="Cambria" w:hAnsi="Cambria"/>
          <w:sz w:val="22"/>
          <w:szCs w:val="22"/>
        </w:rPr>
        <w:t xml:space="preserve">The efficient global optimisation framework, which couples a Gaussian-process surrogate with an acquisition criterion that balances the exploitation of promising regions against the exploration of uncertain ones, deserves particular mention as a principled realisation of the surrogate-assisted paradigm. Rather than optimising the surrogate's prediction directly, which would concentrate all effort on the region the surrogate currently favours and neglect the possibility of superior designs in unexplored regions, the framework optimises an acquisition function that rewards both high predicted performance and high predictive uncertainty, thereby directing each expensive evaluation to the design that most advances the search, whether by confirming a promising candidate or by resolving an uncertain region. This Bayesian approach to surrogate-assisted optimisation, with its principled treatment of the exploration-exploitation trade-off, has proved especially effective when the budget of expensive evaluations is severely limited, as it frequently is in experimental nanofluid optimisation where each evaluation is a laboratory measurement.</w:t>
      </w:r>
    </w:p>
    <w:p>
      <w:pPr>
        <w:spacing w:after="140" w:line="276" w:lineRule="auto"/>
        <w:jc w:val="both"/>
        <w:ind w:firstLine="360"/>
      </w:pPr>
      <w:r>
        <w:rPr>
          <w:rFonts w:ascii="Cambria" w:hAnsi="Cambria"/>
          <w:sz w:val="22"/>
          <w:szCs w:val="22"/>
        </w:rPr>
        <w:t xml:space="preserve">The comparison of a surrogate-assisted optimisation against the direct optimisation it replaces raises a subtle question of fairness that the enthusiast of the hybrid approach must confront honestly. The hybrid approach is faster, but is it as good? The answer depends on the fidelity of the surrogate and on the diligence of the confirmation step, and it cannot be assumed. A hybrid optimisation whose surrogate is inaccurate near the optimum, and whose confirmation step is perfunctory, may return a design inferior to that which a smaller but direct optimisation would have found, trading quality for speed in a bargain that the designer did not intend. The honest assessment of a hybrid framework therefore compares its results not merely against the cost of direct optimisation but against its quality, and it reserves the claim of superiority for frameworks that match the quality of direct optimisation while improving upon its cost, a standard that the best frameworks meet but that careless ones do not.</w:t>
      </w:r>
    </w:p>
    <w:p>
      <w:pPr>
        <w:spacing w:after="140" w:line="276" w:lineRule="auto"/>
        <w:jc w:val="both"/>
        <w:ind w:firstLine="360"/>
      </w:pPr>
      <w:r>
        <w:rPr>
          <w:rFonts w:ascii="Cambria" w:hAnsi="Cambria"/>
          <w:sz w:val="22"/>
          <w:szCs w:val="22"/>
        </w:rPr>
        <w:t xml:space="preserve">The generalisation of a surrogate trained for one optimisation to related optimisations is an efficiency that mature practice increasingly exploits. A surrogate constructed to optimise a heat exchanger for one operating condition encodes knowledge of the thermal response that remains largely valid for nearby operating conditions, and its reuse, whether directly or after a modest refinement, amortises the cost of its construction across a family of related optimisations. This reuse aligns with the transfer-learning principles introduced in the seventh chapter, and it transforms the surrogate from a single-use artefact, discarded when its optimisation concludes, into a durable asset that accumulates value across the many related optimisations that a design programme entails. The management of such reusable surrogates, tracking their regions of validity and refreshing them as the design space evolves, is an emerging discipline that promises further gains in the efficiency of surrogate-assisted thermal design.</w:t>
      </w:r>
    </w:p>
    <w:p>
      <w:pPr>
        <w:spacing w:before="360" w:after="140"/>
        <w:keepNext/>
        <w:outlineLvl w:val="1"/>
      </w:pPr>
      <w:r>
        <w:rPr>
          <w:rFonts w:ascii="Calibri Light" w:hAnsi="Calibri Light"/>
          <w:b/>
          <w:sz w:val="30"/>
          <w:szCs w:val="30"/>
          <w:color w:val="1F3A5F"/>
        </w:rPr>
        <w:t xml:space="preserve">9.3 Multi-Objective Optimization of Thermal Performance</w:t>
      </w:r>
    </w:p>
    <w:p>
      <w:pPr>
        <w:spacing w:after="140" w:line="276" w:lineRule="auto"/>
        <w:jc w:val="both"/>
        <w:ind w:firstLine="360"/>
      </w:pPr>
      <w:r>
        <w:rPr>
          <w:rFonts w:ascii="Cambria" w:hAnsi="Cambria"/>
          <w:sz w:val="22"/>
          <w:szCs w:val="22"/>
        </w:rPr>
        <w:t xml:space="preserve">The optimisation of nanofluid thermal systems is rarely a matter of maximising a single quantity. The enhancement of heat transfer through increased particle loading or elevated flow rate almost invariably exacts a penalty in the form of increased pumping power, and further considerations of cost, long-term stability, erosion, and environmental impact impose additional competing objectives. A design that maximises the Nusselt number without regard to pumping power is of little practical value, and the realistic formulation of the design problem must therefore accommodate multiple objectives simultaneously [30]. Multi-objective optimisation provides the mathematical framework for this reconciliation, and its integration with metaheuristic search and machine learning surrogates completes the methodological arc of this chapter [31].</w:t>
      </w:r>
    </w:p>
    <w:p>
      <w:pPr>
        <w:spacing w:after="140" w:line="276" w:lineRule="auto"/>
        <w:jc w:val="both"/>
        <w:ind w:firstLine="360"/>
      </w:pPr>
      <w:r>
        <w:rPr>
          <w:rFonts w:ascii="Cambria" w:hAnsi="Cambria"/>
          <w:sz w:val="22"/>
          <w:szCs w:val="22"/>
        </w:rPr>
        <w:t xml:space="preserve">The tension between heat transfer enhancement and pumping penalty that lies at the heart of nanofluid design is worth elaborating, for it is the archetype of the trade-offs that multi-objective optimisation is designed to resolve. The addition of nanoparticles raises the effective thermal conductivity and thereby enhances heat transfer, which is the very purpose of the nanofluid; but it also raises the effective viscosity, which increases the pressure drop and hence the pumping power required to drive the flow. Higher flow rates likewise enhance convective heat transfer while exacting a pumping penalty that grows more steeply still. The designer thus cannot maximise heat transfer and minimise pumping power at once, for the same choices that advance the one retard the other, and the problem admits no single best design but only a spectrum of compromises, each optimal for a particular relative valuation of the two competing goals. It is precisely this structure that renders the single-objective formulation inadequate and the multi-objective formulation indispensable.</w:t>
      </w:r>
    </w:p>
    <w:p>
      <w:pPr>
        <w:spacing w:after="140" w:line="276" w:lineRule="auto"/>
        <w:jc w:val="both"/>
        <w:ind w:firstLine="360"/>
      </w:pPr>
      <w:r>
        <w:rPr>
          <w:rFonts w:ascii="Cambria" w:hAnsi="Cambria"/>
          <w:sz w:val="22"/>
          <w:szCs w:val="22"/>
        </w:rPr>
        <w:t xml:space="preserve">The central concept of multi-objective optimisation is Pareto dominance. A design is said to dominate another if it is at least as good in every objective and strictly better in at least one; a design that is dominated by no other is termed Pareto-optimal, and the collection of all such designs constitutes the Pareto front [32]. The Pareto front represents the set of optimal compromises among the competing objectives: along it, an improvement in one objective can be purchased only at the expense of another, and the designer's task shifts from finding a single optimum to selecting a preferred point on the front according to priorities that may lie outside the formal optimisation, such as budgetary constraints or operational requirements [33]. The right-hand panel of Figure 4 depicts such a Pareto front for the canonical nanofluid trade-off between the Nusselt number and the pumping penalty, with the front separating the achievable non-dominated designs from the dominated interior [34].</w:t>
      </w:r>
    </w:p>
    <w:p>
      <w:pPr>
        <w:spacing w:after="140" w:line="276" w:lineRule="auto"/>
        <w:jc w:val="both"/>
        <w:ind w:firstLine="360"/>
      </w:pPr>
      <w:r>
        <w:rPr>
          <w:rFonts w:ascii="Cambria" w:hAnsi="Cambria"/>
          <w:sz w:val="22"/>
          <w:szCs w:val="22"/>
        </w:rPr>
        <w:t xml:space="preserve">The metaheuristics introduced earlier extend naturally to the multi-objective setting, and population-based algorithms are particularly well suited to it because their populations can approximate the entire Pareto front in a single run rather than requiring a separate optimisation for each compromise. The non-dominated sorting genetic algorithm, which ranks the population by Pareto dominance and maintains diversity along the front through a crowding measure, has become the de facto standard for multi-objective thermal optimisation, and multi-objective variants of particle swarm optimisation provide a widely used alternative [35]. These algorithms return not a single design but an approximation to the entire Pareto front, presenting the designer with the full spectrum of optimal trade-offs from which to choose [36].</w:t>
      </w:r>
    </w:p>
    <w:p>
      <w:pPr>
        <w:spacing w:after="140" w:line="276" w:lineRule="auto"/>
        <w:jc w:val="both"/>
        <w:ind w:firstLine="360"/>
      </w:pPr>
      <w:r>
        <w:rPr>
          <w:rFonts w:ascii="Cambria" w:hAnsi="Cambria"/>
          <w:sz w:val="22"/>
          <w:szCs w:val="22"/>
        </w:rPr>
        <w:t xml:space="preserve">The quantitative assessment of a computed Pareto front, necessary for the comparison of algorithms and for the tracking of convergence, requires metrics that condense the front into figures of merit, and the design of such metrics is subtler than the single-objective case where the best objective value suffices. The hypervolume, which measures the volume of the objective space dominated by the front relative to a reference point, rewards both the convergence of the front toward the true optimum and its spread across the range of trade-offs, capturing in a single number the two goals that a multi-objective algorithm must balance. Other metrics assess the proximity of the computed front to a known true front, or the uniformity of the distribution of solutions along it, each illuminating a different aspect of quality. The reliance on such metrics permits the rigorous comparison of multi-objective algorithms and the principled monitoring of their convergence, and their thoughtful selection ensures that the comparison rewards the qualities, of convergence and diversity together, that a useful Pareto front approximation must possess.</w:t>
      </w:r>
    </w:p>
    <w:p>
      <w:pPr>
        <w:spacing w:after="140" w:line="276" w:lineRule="auto"/>
        <w:jc w:val="both"/>
        <w:ind w:firstLine="360"/>
      </w:pPr>
      <w:r>
        <w:rPr>
          <w:rFonts w:ascii="Cambria" w:hAnsi="Cambria"/>
          <w:sz w:val="22"/>
          <w:szCs w:val="22"/>
        </w:rPr>
        <w:t xml:space="preserve">The two goals that a multi-objective algorithm must simultaneously pursue, convergence to the true Pareto front and diversity along it, are worth distinguishing because their tension shapes the design of every such algorithm. Convergence demands that the algorithm drive its population toward the true front, discarding dominated designs in favour of non-dominated ones; diversity demands that the surviving population spread evenly along the front rather than clustering in one region, so that the designer is presented with the full range of compromises rather than a narrow segment of it. An algorithm that pursues convergence to the neglect of diversity may return a tight cluster of excellent designs that all embody the same compromise, leaving the designer no genuine choice; an algorithm that pursues diversity to the neglect of convergence may return a well-spread population that does not reach the true front. The crowding measure of the non-dominated sorting genetic algorithm and the analogous mechanisms of its competitors exist precisely to hold these two goals in balance, and their effectiveness at doing so is the principal determinant of a multi-objective algorithm's quality.</w:t>
      </w:r>
    </w:p>
    <w:p>
      <w:pPr>
        <w:spacing w:after="140" w:line="276" w:lineRule="auto"/>
        <w:jc w:val="both"/>
        <w:ind w:firstLine="360"/>
      </w:pPr>
      <w:r>
        <w:rPr>
          <w:rFonts w:ascii="Cambria" w:hAnsi="Cambria"/>
          <w:sz w:val="22"/>
          <w:szCs w:val="22"/>
        </w:rPr>
        <w:t xml:space="preserve">The evaluation of the many designs that multi-objective optimisation requires magnifies the computational burden already noted for single-objective search, and the machine learning surrogates of the preceding section are correspondingly more valuable in this setting. A surrogate that predicts all of the competing objectives from the design variables enables the metaheuristic to approximate the Pareto front at negligible cost, and the accuracy of the resulting front depends on the fidelity of the surrogate across the region the front occupies [37]. Because the Pareto front is by definition a lower-dimensional structure within the design space, adaptive sampling strategies that concentrate true evaluations along the emerging front achieve superior accuracy for a given budget, refining the surrogate precisely where the multi-objective optimum lies [38].</w:t>
      </w:r>
    </w:p>
    <w:p>
      <w:pPr>
        <w:spacing w:after="140" w:line="276" w:lineRule="auto"/>
        <w:jc w:val="both"/>
        <w:ind w:firstLine="360"/>
      </w:pPr>
      <w:r>
        <w:rPr>
          <w:rFonts w:ascii="Cambria" w:hAnsi="Cambria"/>
          <w:sz w:val="22"/>
          <w:szCs w:val="22"/>
        </w:rPr>
        <w:t xml:space="preserve">The selection of a single design from the Pareto front, the step that ultimately delivers an actionable recommendation, invokes considerations beyond the formal optimisation. Decision-making methods ranging from simple weighting of the objectives to more sophisticated techniques that identify the point of greatest curvature on the front, the so-called knee, provide systematic support for this choice, though the final decision properly rests with the engineer who must weigh the quantified objectives against the unquantified context of the application [39]. The value of the Pareto front lies precisely in its refusal to prejudge this trade-off: by presenting the full range of optimal compromises, it empowers an informed choice rather than imposing a predetermined one [40].</w:t>
      </w:r>
    </w:p>
    <w:p>
      <w:pPr>
        <w:spacing w:after="140" w:line="276" w:lineRule="auto"/>
        <w:jc w:val="both"/>
        <w:ind w:firstLine="360"/>
      </w:pPr>
      <w:r>
        <w:rPr>
          <w:rFonts w:ascii="Cambria" w:hAnsi="Cambria"/>
          <w:sz w:val="22"/>
          <w:szCs w:val="22"/>
        </w:rPr>
        <w:t xml:space="preserve">The knee of the Pareto front merits particular attention as a principled default for the selection decision. At the knee, the front exhibits its greatest curvature, which is to say that a small movement along the front in either direction yields a disproportionately small improvement in one objective for a disproportionately large sacrifice in the other; the knee is thus the point of most balanced return, beyond which further gains in either objective come at an accelerating cost in the other. For the nanofluid trade-off between heat transfer and pumping penalty, the knee identifies the design at which the marginal enhancement of heat transfer no longer justifies its marginal pumping cost, and it commends itself as a rational choice in the absence of a specific external valuation of the objectives. The designer who lacks a compelling reason to favour one objective over the other can adopt the knee design with confidence that it represents the most balanced of the available compromises, while retaining the freedom to depart from it when the context of the application dictates a particular emphasis.</w:t>
      </w:r>
    </w:p>
    <w:p>
      <w:pPr>
        <w:spacing w:after="140" w:line="276" w:lineRule="auto"/>
        <w:jc w:val="both"/>
        <w:ind w:firstLine="360"/>
      </w:pPr>
      <w:r>
        <w:rPr>
          <w:rFonts w:ascii="Cambria" w:hAnsi="Cambria"/>
          <w:sz w:val="22"/>
          <w:szCs w:val="22"/>
        </w:rPr>
        <w:t xml:space="preserve">The formulation of the objectives and constraints themselves is a matter of considerable subtlety that precedes and conditions the entire optimisation. The choice of a thermal-hydraulic performance criterion that combines heat transfer and pumping power into a single figure of merit, the imposition of constraints reflecting the stability limits of the nanofluid suspension, and the incorporation of cost and manufacturability considerations all shape the optimisation problem decisively, and a poorly formulated problem will yield an optimal solution to the wrong question [41]. The most valuable optimisation studies devote careful attention to this formulation, ensuring that the objectives and constraints faithfully represent the real engineering priorities before the machinery of metaheuristic search and machine learning surrogacy is brought to bear [42].</w:t>
      </w:r>
    </w:p>
    <w:p>
      <w:pPr>
        <w:spacing w:after="140" w:line="276" w:lineRule="auto"/>
        <w:jc w:val="both"/>
        <w:ind w:firstLine="360"/>
      </w:pPr>
      <w:r>
        <w:rPr>
          <w:rFonts w:ascii="Cambria" w:hAnsi="Cambria"/>
          <w:sz w:val="22"/>
          <w:szCs w:val="22"/>
        </w:rPr>
        <w:t xml:space="preserve">The robustness of an optimal design to uncertainty is a further consideration that elevates multi-objective optimisation from a deterministic to a stochastic undertaking. The thermophysical properties of nanofluids are subject to measurement uncertainty and to variability arising from particle agglomeration and settling over time, and a design that is optimal for nominal properties may perform poorly if those properties deviate from their assumed values [43]. Robust optimisation formulations that seek designs insensitive to such variation, and reliability-based formulations that constrain the probability of constraint violation, extend the multi-objective framework to account for uncertainty, and their integration with machine learning surrogates that quantify their own predictive uncertainty represents a frontier of current research [44].</w:t>
      </w:r>
    </w:p>
    <w:p>
      <w:pPr>
        <w:spacing w:after="140" w:line="276" w:lineRule="auto"/>
        <w:jc w:val="both"/>
        <w:ind w:firstLine="360"/>
      </w:pPr>
      <w:r>
        <w:rPr>
          <w:rFonts w:ascii="Cambria" w:hAnsi="Cambria"/>
          <w:sz w:val="22"/>
          <w:szCs w:val="22"/>
        </w:rPr>
        <w:t xml:space="preserve">The distinction between a nominally optimal design and a robustly optimal one is of great practical consequence in nanofluid engineering, where the working fluid is not a stable, well-characterised substance but a suspension prone to change over its service life. A design perched on a sharp peak of the nominal performance surface may deliver excellent performance under ideal conditions yet degrade catastrophically as the nanoparticles agglomerate and settle, shifting the effective properties away from the nominal values for which it was optimised; a design situated on a broader, gentler rise may deliver slightly lower nominal performance yet maintain that performance robustly as the properties drift. The robust formulation, by explicitly rewarding insensitivity to property variation, steers the optimisation toward the latter kind of design, purchasing durability of performance at a modest cost in peak performance, and it is frequently the robust design rather than the nominal optimum that best serves the real engineering objective of reliable operation over a service life.</w:t>
      </w:r>
    </w:p>
    <w:p>
      <w:pPr>
        <w:spacing w:after="140" w:line="276" w:lineRule="auto"/>
        <w:jc w:val="both"/>
        <w:ind w:firstLine="360"/>
      </w:pPr>
      <w:r>
        <w:rPr>
          <w:rFonts w:ascii="Cambria" w:hAnsi="Cambria"/>
          <w:sz w:val="22"/>
          <w:szCs w:val="22"/>
        </w:rPr>
        <w:t xml:space="preserve">The scalability of multi-objective methods to many objectives, beyond the two or three that classical algorithms handle gracefully, poses ongoing challenges. As the number of objectives grows, the fraction of the population that is non-dominated approaches unity, the notion of dominance loses its discriminating power, and the visualisation of the Pareto front becomes difficult [45]. Many-objective optimisation algorithms that supplement dominance with reference directions or decomposition-based scalarisation address these difficulties, and their application to comprehensive nanofluid design problems that simultaneously weigh thermal, hydraulic, economic, and environmental objectives is expanding the reach of optimisation to ever more realistic formulations [46].</w:t>
      </w:r>
    </w:p>
    <w:p>
      <w:pPr>
        <w:spacing w:after="140" w:line="276" w:lineRule="auto"/>
        <w:jc w:val="both"/>
        <w:ind w:firstLine="360"/>
      </w:pPr>
      <w:r>
        <w:rPr>
          <w:rFonts w:ascii="Cambria" w:hAnsi="Cambria"/>
          <w:sz w:val="22"/>
          <w:szCs w:val="22"/>
        </w:rPr>
        <w:t xml:space="preserve">In conclusion, the hybrid frameworks that unite metaheuristic optimisation with machine learning surrogates and extend to the multi-objective setting represent the culmination of the data-driven methodologies developed throughout this volume. They harness the predictive models of Chapter 7, the surrogate and acceleration techniques of Chapter 8, and the search algorithms of the present chapter into an integrated computational paradigm capable of designing nanofluid thermal systems of superior and balanced performance. The Pareto fronts these frameworks produce do not merely identify optimal designs but illuminate the fundamental trade-offs that govern nanofluid thermal performance, and in so doing they advance both the practice of thermal engineering and the scientific understanding of the systems it seeks to improve. The synthesis of physical modelling, data-driven prediction, and intelligent optimisation charted across these chapters thus points toward a future in which the design of thermal systems is at once faster, more thorough, and more deeply informed than the empirical traditions from which it grew [47].</w:t>
      </w:r>
    </w:p>
    <w:p>
      <w:pPr>
        <w:spacing w:after="140" w:line="276" w:lineRule="auto"/>
        <w:jc w:val="both"/>
        <w:ind w:firstLine="360"/>
      </w:pPr>
      <w:r>
        <w:rPr>
          <w:rFonts w:ascii="Cambria" w:hAnsi="Cambria"/>
          <w:sz w:val="22"/>
          <w:szCs w:val="22"/>
        </w:rPr>
        <w:t xml:space="preserve">The interpretation of a computed Pareto front demands a discernment that its clean geometry can belie, for the front is a product of the model and the formulation as much as of the physics, and its features must be read with an awareness of their provenance. A sharp corner in the front may reflect a genuine physical transition, a regime change in the enhancement mechanism, or it may be an artefact of a surrogate that resolves one region more finely than another; a gap in the front may indicate an infeasible region of the objective space, a genuine discontinuity in the achievable trade-offs, or it may reflect a failure of the algorithm to populate that region. The engineer who would draw physical conclusions from the shape of a Pareto front must therefore subject that shape to the same scrutiny that any model output demands, distinguishing the features that reflect the physics from those that reflect the apparatus, and confirming the physically consequential features against the underlying truth before building upon them.</w:t>
      </w:r>
    </w:p>
    <w:p>
      <w:pPr>
        <w:spacing w:after="140" w:line="276" w:lineRule="auto"/>
        <w:jc w:val="both"/>
        <w:ind w:firstLine="360"/>
      </w:pPr>
      <w:r>
        <w:rPr>
          <w:rFonts w:ascii="Cambria" w:hAnsi="Cambria"/>
          <w:sz w:val="22"/>
          <w:szCs w:val="22"/>
        </w:rPr>
        <w:t xml:space="preserve">The integration of the optimisation frameworks of this chapter into the broader engineering design process, finally, requires that their outputs be communicated in terms that the wider design team can act upon. An optimisation that produces a Pareto front and a recommended design contributes to the design process only insofar as its results are understood, trusted, and adopted by the engineers who must translate them into hardware, and this adoption depends on communication that renders the optimisation intelligible to those who did not perform it. The visualisation of the trade-offs, the explanation of the recommended design in terms of the physical relationships that favour it, and the honest disclosure of the assumptions and uncertainties that condition the result are as essential to the impact of an optimisation study as the algorithms that produced it. The most sophisticated optimisation, uncommunicated, changes nothing; the well-communicated optimisation changes the design, and through it the performance of the thermal system that is the ultimate object of the entire enterprise.</w:t>
      </w:r>
    </w:p>
    <w:p>
      <w:pPr>
        <w:spacing w:after="140" w:line="276" w:lineRule="auto"/>
        <w:jc w:val="both"/>
        <w:ind w:firstLine="360"/>
      </w:pPr>
      <w:r>
        <w:rPr>
          <w:rFonts w:ascii="Cambria" w:hAnsi="Cambria"/>
          <w:sz w:val="22"/>
          <w:szCs w:val="22"/>
        </w:rPr>
        <w:t xml:space="preserve">The transferability of the methodologies charted in this volume beyond the nanofluid systems that have furnished its examples is a prospect of considerable significance, for the techniques of deep prediction, hybrid simulation, and intelligent optimisation are not peculiar to nanofluids but apply wherever thermal transport must be modelled and thermal systems designed. The heat exchangers of the process industries, the cooling systems of electronic devices, the thermal management of energy storage, and the many other domains in which heat transfer governs performance stand to benefit from the same synthesis of physics and data that nanofluid thermal science has here exemplified. The nanofluid, with its rich and challenging physics, has served as a demanding proving ground for these methods, and their success upon it augurs well for their broader application. The thermal engineer who has assimilated the principles developed here possesses, in consequence, not merely a set of techniques for nanofluid design but a general methodology for the data-driven engineering of thermal systems, and it is as a contribution to that general methodology, as much as to the specific science of nanofluids, that the present treatment is offered.</w:t>
      </w:r>
    </w:p>
    <w:p>
      <w:pPr>
        <w:spacing w:after="140" w:line="276" w:lineRule="auto"/>
        <w:jc w:val="both"/>
        <w:ind w:firstLine="360"/>
      </w:pPr>
      <w:r>
        <w:rPr>
          <w:rFonts w:ascii="Cambria" w:hAnsi="Cambria"/>
          <w:sz w:val="22"/>
          <w:szCs w:val="22"/>
        </w:rPr>
        <w:t xml:space="preserve">Looking beyond the methods established here, the convergence of data-driven prediction, physics-based simulation, and intelligent optimisation is giving rise to autonomous design frameworks in which the several components operate in a closed loop with minimal human intervention, proposing designs, evaluating them, and refining the search without pause. Such frameworks, still nascent, promise to compress the design cycle from months to days and to explore design spaces of a breadth and subtlety that manual methods could never traverse; yet they also concentrate responsibility in the automated system to a degree that magnifies the importance of the validation, interpretability, and governance disciplines emphasised throughout these chapters. The future of nanofluid thermal design, on the evidence assembled here, belongs to those who can harness the power of automation while preserving the physical understanding and the engineering judgement that render its results trustworthy, and it is toward the cultivation of that dual capability, at once computational and physical, that the education of the thermal engineer must increasingly be directed.</w:t>
      </w:r>
    </w:p>
    <w:p>
      <w:r>
        <w:br w:type="page"/>
      </w:r>
    </w:p>
    <w:p>
      <w:pPr>
        <w:spacing w:before="360" w:after="140"/>
        <w:keepNext/>
        <w:outlineLvl w:val="0"/>
      </w:pPr>
      <w:r>
        <w:rPr>
          <w:rFonts w:ascii="Calibri Light" w:hAnsi="Calibri Light"/>
          <w:b/>
          <w:sz w:val="40"/>
          <w:szCs w:val="40"/>
          <w:color w:val="1F3A5F"/>
        </w:rPr>
        <w:t xml:space="preserve">References</w:t>
      </w:r>
    </w:p>
    <w:p>
      <w:pPr>
        <w:spacing w:after="120" w:line="264" w:lineRule="auto"/>
        <w:ind w:left="480" w:hanging="480"/>
        <w:jc w:val="both"/>
      </w:pPr>
      <w:r>
        <w:rPr>
          <w:rFonts w:ascii="Cambria" w:hAnsi="Cambria"/>
          <w:b/>
          <w:sz w:val="20"/>
          <w:szCs w:val="20"/>
          <w:color w:val="1F3A5F"/>
        </w:rPr>
        <w:t xml:space="preserve">[1]  </w:t>
      </w:r>
      <w:r>
        <w:rPr>
          <w:rFonts w:ascii="Cambria" w:hAnsi="Cambria"/>
          <w:sz w:val="20"/>
          <w:szCs w:val="20"/>
        </w:rPr>
        <w:t xml:space="preserve">Choi, S. U. S., and Eastman, J. A. (1995). Enhancing thermal conductivity of fluids with nanoparticles. Developments and Applications of Non-Newtonian Flows, ASME FED, 231, 99–105.</w:t>
      </w:r>
    </w:p>
    <w:p>
      <w:pPr>
        <w:spacing w:after="120" w:line="264" w:lineRule="auto"/>
        <w:ind w:left="480" w:hanging="480"/>
        <w:jc w:val="both"/>
      </w:pPr>
      <w:r>
        <w:rPr>
          <w:rFonts w:ascii="Cambria" w:hAnsi="Cambria"/>
          <w:b/>
          <w:sz w:val="20"/>
          <w:szCs w:val="20"/>
          <w:color w:val="1F3A5F"/>
        </w:rPr>
        <w:t xml:space="preserve">[2]  </w:t>
      </w:r>
      <w:r>
        <w:rPr>
          <w:rFonts w:ascii="Cambria" w:hAnsi="Cambria"/>
          <w:sz w:val="20"/>
          <w:szCs w:val="20"/>
        </w:rPr>
        <w:t xml:space="preserve">Esfe, M. H., Saedodin, S., and Mahian, O. (2014). Experimental study on thermal conductivity of nanofluids and development of artificial neural network models. International Communications in Heat and Mass Transfer, 55, 96–104.</w:t>
      </w:r>
    </w:p>
    <w:p>
      <w:pPr>
        <w:spacing w:after="120" w:line="264" w:lineRule="auto"/>
        <w:ind w:left="480" w:hanging="480"/>
        <w:jc w:val="both"/>
      </w:pPr>
      <w:r>
        <w:rPr>
          <w:rFonts w:ascii="Cambria" w:hAnsi="Cambria"/>
          <w:b/>
          <w:sz w:val="20"/>
          <w:szCs w:val="20"/>
          <w:color w:val="1F3A5F"/>
        </w:rPr>
        <w:t xml:space="preserve">[3]  </w:t>
      </w:r>
      <w:r>
        <w:rPr>
          <w:rFonts w:ascii="Cambria" w:hAnsi="Cambria"/>
          <w:sz w:val="20"/>
          <w:szCs w:val="20"/>
        </w:rPr>
        <w:t xml:space="preserve">LeCun, Y., Bengio, Y., and Hinton, G. (2015). Deep learning. Nature, 521(7553), 436–444.</w:t>
      </w:r>
    </w:p>
    <w:p>
      <w:pPr>
        <w:spacing w:after="120" w:line="264" w:lineRule="auto"/>
        <w:ind w:left="480" w:hanging="480"/>
        <w:jc w:val="both"/>
      </w:pPr>
      <w:r>
        <w:rPr>
          <w:rFonts w:ascii="Cambria" w:hAnsi="Cambria"/>
          <w:b/>
          <w:sz w:val="20"/>
          <w:szCs w:val="20"/>
          <w:color w:val="1F3A5F"/>
        </w:rPr>
        <w:t xml:space="preserve">[4]  </w:t>
      </w:r>
      <w:r>
        <w:rPr>
          <w:rFonts w:ascii="Cambria" w:hAnsi="Cambria"/>
          <w:sz w:val="20"/>
          <w:szCs w:val="20"/>
        </w:rPr>
        <w:t xml:space="preserve">Goodfellow, I., Bengio, Y., and Courville, A. (2016). Deep Learning. MIT Press, Cambridge, Massachusetts.</w:t>
      </w:r>
    </w:p>
    <w:p>
      <w:pPr>
        <w:spacing w:after="120" w:line="264" w:lineRule="auto"/>
        <w:ind w:left="480" w:hanging="480"/>
        <w:jc w:val="both"/>
      </w:pPr>
      <w:r>
        <w:rPr>
          <w:rFonts w:ascii="Cambria" w:hAnsi="Cambria"/>
          <w:b/>
          <w:sz w:val="20"/>
          <w:szCs w:val="20"/>
          <w:color w:val="1F3A5F"/>
        </w:rPr>
        <w:t xml:space="preserve">[5]  </w:t>
      </w:r>
      <w:r>
        <w:rPr>
          <w:rFonts w:ascii="Cambria" w:hAnsi="Cambria"/>
          <w:sz w:val="20"/>
          <w:szCs w:val="20"/>
        </w:rPr>
        <w:t xml:space="preserve">Kingma, D. P., and Ba, J. (2015). Adam: A method for stochastic optimization. International Conference on Learning Representations (ICLR).</w:t>
      </w:r>
    </w:p>
    <w:p>
      <w:pPr>
        <w:spacing w:after="120" w:line="264" w:lineRule="auto"/>
        <w:ind w:left="480" w:hanging="480"/>
        <w:jc w:val="both"/>
      </w:pPr>
      <w:r>
        <w:rPr>
          <w:rFonts w:ascii="Cambria" w:hAnsi="Cambria"/>
          <w:b/>
          <w:sz w:val="20"/>
          <w:szCs w:val="20"/>
          <w:color w:val="1F3A5F"/>
        </w:rPr>
        <w:t xml:space="preserve">[6]  </w:t>
      </w:r>
      <w:r>
        <w:rPr>
          <w:rFonts w:ascii="Cambria" w:hAnsi="Cambria"/>
          <w:sz w:val="20"/>
          <w:szCs w:val="20"/>
        </w:rPr>
        <w:t xml:space="preserve">Srivastava, N., Hinton, G., Krizhevsky, A., Sutskever, I., and Salakhutdinov, R. (2014). Dropout: A simple way to prevent neural networks from overfitting. Journal of Machine Learning Research, 15, 1929–1958.</w:t>
      </w:r>
    </w:p>
    <w:p>
      <w:pPr>
        <w:spacing w:after="120" w:line="264" w:lineRule="auto"/>
        <w:ind w:left="480" w:hanging="480"/>
        <w:jc w:val="both"/>
      </w:pPr>
      <w:r>
        <w:rPr>
          <w:rFonts w:ascii="Cambria" w:hAnsi="Cambria"/>
          <w:b/>
          <w:sz w:val="20"/>
          <w:szCs w:val="20"/>
          <w:color w:val="1F3A5F"/>
        </w:rPr>
        <w:t xml:space="preserve">[7]  </w:t>
      </w:r>
      <w:r>
        <w:rPr>
          <w:rFonts w:ascii="Cambria" w:hAnsi="Cambria"/>
          <w:sz w:val="20"/>
          <w:szCs w:val="20"/>
        </w:rPr>
        <w:t xml:space="preserve">Nair, V., and Hinton, G. E. (2010). Rectified linear units improve restricted Boltzmann machines. Proceedings of the 27th International Conference on Machine Learning, 807–814.</w:t>
      </w:r>
    </w:p>
    <w:p>
      <w:pPr>
        <w:spacing w:after="120" w:line="264" w:lineRule="auto"/>
        <w:ind w:left="480" w:hanging="480"/>
        <w:jc w:val="both"/>
      </w:pPr>
      <w:r>
        <w:rPr>
          <w:rFonts w:ascii="Cambria" w:hAnsi="Cambria"/>
          <w:b/>
          <w:sz w:val="20"/>
          <w:szCs w:val="20"/>
          <w:color w:val="1F3A5F"/>
        </w:rPr>
        <w:t xml:space="preserve">[8]  </w:t>
      </w:r>
      <w:r>
        <w:rPr>
          <w:rFonts w:ascii="Cambria" w:hAnsi="Cambria"/>
          <w:sz w:val="20"/>
          <w:szCs w:val="20"/>
        </w:rPr>
        <w:t xml:space="preserve">Karpatne, A., Atluri, G., Faghmous, J. H., et al. (2017). Theory-guided data science: A new paradigm for scientific discovery from data. IEEE Transactions on Knowledge and Data Engineering, 29(10), 2318–2331.</w:t>
      </w:r>
    </w:p>
    <w:p>
      <w:pPr>
        <w:spacing w:after="120" w:line="264" w:lineRule="auto"/>
        <w:ind w:left="480" w:hanging="480"/>
        <w:jc w:val="both"/>
      </w:pPr>
      <w:r>
        <w:rPr>
          <w:rFonts w:ascii="Cambria" w:hAnsi="Cambria"/>
          <w:b/>
          <w:sz w:val="20"/>
          <w:szCs w:val="20"/>
          <w:color w:val="1F3A5F"/>
        </w:rPr>
        <w:t xml:space="preserve">[9]  </w:t>
      </w:r>
      <w:r>
        <w:rPr>
          <w:rFonts w:ascii="Cambria" w:hAnsi="Cambria"/>
          <w:sz w:val="20"/>
          <w:szCs w:val="20"/>
        </w:rPr>
        <w:t xml:space="preserve">Ahmadi, M. H., Baghban, A., Sadeghzadeh, M., et al. (2020). Evaluation of nanofluid thermal conductivity using machine learning approaches. International Journal of Heat and Mass Transfer, 156, 119820.</w:t>
      </w:r>
    </w:p>
    <w:p>
      <w:pPr>
        <w:spacing w:after="120" w:line="264" w:lineRule="auto"/>
        <w:ind w:left="480" w:hanging="480"/>
        <w:jc w:val="both"/>
      </w:pPr>
      <w:r>
        <w:rPr>
          <w:rFonts w:ascii="Cambria" w:hAnsi="Cambria"/>
          <w:b/>
          <w:sz w:val="20"/>
          <w:szCs w:val="20"/>
          <w:color w:val="1F3A5F"/>
        </w:rPr>
        <w:t xml:space="preserve">[10]  </w:t>
      </w:r>
      <w:r>
        <w:rPr>
          <w:rFonts w:ascii="Cambria" w:hAnsi="Cambria"/>
          <w:sz w:val="20"/>
          <w:szCs w:val="20"/>
        </w:rPr>
        <w:t xml:space="preserve">Hemmat Esfe, M., and Tilebon, S. M. S. (2020). Statistical and artificial-based optimization of thermophysical properties of nanofluids. Physica A, 542, 123493.</w:t>
      </w:r>
    </w:p>
    <w:p>
      <w:pPr>
        <w:spacing w:after="120" w:line="264" w:lineRule="auto"/>
        <w:ind w:left="480" w:hanging="480"/>
        <w:jc w:val="both"/>
      </w:pPr>
      <w:r>
        <w:rPr>
          <w:rFonts w:ascii="Cambria" w:hAnsi="Cambria"/>
          <w:b/>
          <w:sz w:val="20"/>
          <w:szCs w:val="20"/>
          <w:color w:val="1F3A5F"/>
        </w:rPr>
        <w:t xml:space="preserve">[11]  </w:t>
      </w:r>
      <w:r>
        <w:rPr>
          <w:rFonts w:ascii="Cambria" w:hAnsi="Cambria"/>
          <w:sz w:val="20"/>
          <w:szCs w:val="20"/>
        </w:rPr>
        <w:t xml:space="preserve">Longo, G. A., Zilio, C., Ceseracciu, E., and Reggiani, M. (2012). Application of artificial neural network for the prediction of thermal conductivity of oxide-water nanofluids. Nano Energy, 1(2), 290–296.</w:t>
      </w:r>
    </w:p>
    <w:p>
      <w:pPr>
        <w:spacing w:after="120" w:line="264" w:lineRule="auto"/>
        <w:ind w:left="480" w:hanging="480"/>
        <w:jc w:val="both"/>
      </w:pPr>
      <w:r>
        <w:rPr>
          <w:rFonts w:ascii="Cambria" w:hAnsi="Cambria"/>
          <w:b/>
          <w:sz w:val="20"/>
          <w:szCs w:val="20"/>
          <w:color w:val="1F3A5F"/>
        </w:rPr>
        <w:t xml:space="preserve">[12]  </w:t>
      </w:r>
      <w:r>
        <w:rPr>
          <w:rFonts w:ascii="Cambria" w:hAnsi="Cambria"/>
          <w:sz w:val="20"/>
          <w:szCs w:val="20"/>
        </w:rPr>
        <w:t xml:space="preserve">Alade, I. O., Rahman, M. A. A., and Saleh, T. A. (2019). Modeling and prediction of nanofluid viscosity using support vector regression. Solar Energy, 197, 485–494.</w:t>
      </w:r>
    </w:p>
    <w:p>
      <w:pPr>
        <w:spacing w:after="120" w:line="264" w:lineRule="auto"/>
        <w:ind w:left="480" w:hanging="480"/>
        <w:jc w:val="both"/>
      </w:pPr>
      <w:r>
        <w:rPr>
          <w:rFonts w:ascii="Cambria" w:hAnsi="Cambria"/>
          <w:b/>
          <w:sz w:val="20"/>
          <w:szCs w:val="20"/>
          <w:color w:val="1F3A5F"/>
        </w:rPr>
        <w:t xml:space="preserve">[13]  </w:t>
      </w:r>
      <w:r>
        <w:rPr>
          <w:rFonts w:ascii="Cambria" w:hAnsi="Cambria"/>
          <w:sz w:val="20"/>
          <w:szCs w:val="20"/>
        </w:rPr>
        <w:t xml:space="preserve">Sahin, F., Genc, O., Gokcek, M., and Colak, A. B. (2023). An experimental and machine learning study on the thermal performance of nanofluids. Powder Technology, 420, 118388.</w:t>
      </w:r>
    </w:p>
    <w:p>
      <w:pPr>
        <w:spacing w:after="120" w:line="264" w:lineRule="auto"/>
        <w:ind w:left="480" w:hanging="480"/>
        <w:jc w:val="both"/>
      </w:pPr>
      <w:r>
        <w:rPr>
          <w:rFonts w:ascii="Cambria" w:hAnsi="Cambria"/>
          <w:b/>
          <w:sz w:val="20"/>
          <w:szCs w:val="20"/>
          <w:color w:val="1F3A5F"/>
        </w:rPr>
        <w:t xml:space="preserve">[14]  </w:t>
      </w:r>
      <w:r>
        <w:rPr>
          <w:rFonts w:ascii="Cambria" w:hAnsi="Cambria"/>
          <w:sz w:val="20"/>
          <w:szCs w:val="20"/>
        </w:rPr>
        <w:t xml:space="preserve">Kaya, M., and Kok, M. (2021). Data leakage and evaluation pitfalls in thermophysical property prediction. Thermal Science and Engineering Progress, 26, 101090.</w:t>
      </w:r>
    </w:p>
    <w:p>
      <w:pPr>
        <w:spacing w:after="120" w:line="264" w:lineRule="auto"/>
        <w:ind w:left="480" w:hanging="480"/>
        <w:jc w:val="both"/>
      </w:pPr>
      <w:r>
        <w:rPr>
          <w:rFonts w:ascii="Cambria" w:hAnsi="Cambria"/>
          <w:b/>
          <w:sz w:val="20"/>
          <w:szCs w:val="20"/>
          <w:color w:val="1F3A5F"/>
        </w:rPr>
        <w:t xml:space="preserve">[15]  </w:t>
      </w:r>
      <w:r>
        <w:rPr>
          <w:rFonts w:ascii="Cambria" w:hAnsi="Cambria"/>
          <w:sz w:val="20"/>
          <w:szCs w:val="20"/>
        </w:rPr>
        <w:t xml:space="preserve">Bergstra, J., and Bengio, Y. (2012). Random search for hyper-parameter optimization. Journal of Machine Learning Research, 13, 281–305.</w:t>
      </w:r>
    </w:p>
    <w:p>
      <w:pPr>
        <w:spacing w:after="120" w:line="264" w:lineRule="auto"/>
        <w:ind w:left="480" w:hanging="480"/>
        <w:jc w:val="both"/>
      </w:pPr>
      <w:r>
        <w:rPr>
          <w:rFonts w:ascii="Cambria" w:hAnsi="Cambria"/>
          <w:b/>
          <w:sz w:val="20"/>
          <w:szCs w:val="20"/>
          <w:color w:val="1F3A5F"/>
        </w:rPr>
        <w:t xml:space="preserve">[16]  </w:t>
      </w:r>
      <w:r>
        <w:rPr>
          <w:rFonts w:ascii="Cambria" w:hAnsi="Cambria"/>
          <w:sz w:val="20"/>
          <w:szCs w:val="20"/>
        </w:rPr>
        <w:t xml:space="preserve">Snoek, J., Larochelle, H., and Adams, R. P. (2012). Practical Bayesian optimization of machine learning algorithms. Advances in Neural Information Processing Systems, 25, 2951–2959.</w:t>
      </w:r>
    </w:p>
    <w:p>
      <w:pPr>
        <w:spacing w:after="120" w:line="264" w:lineRule="auto"/>
        <w:ind w:left="480" w:hanging="480"/>
        <w:jc w:val="both"/>
      </w:pPr>
      <w:r>
        <w:rPr>
          <w:rFonts w:ascii="Cambria" w:hAnsi="Cambria"/>
          <w:b/>
          <w:sz w:val="20"/>
          <w:szCs w:val="20"/>
          <w:color w:val="1F3A5F"/>
        </w:rPr>
        <w:t xml:space="preserve">[17]  </w:t>
      </w:r>
      <w:r>
        <w:rPr>
          <w:rFonts w:ascii="Cambria" w:hAnsi="Cambria"/>
          <w:sz w:val="20"/>
          <w:szCs w:val="20"/>
        </w:rPr>
        <w:t xml:space="preserve">Maleki, A., Haghighi, A., and Mahariq, I. (2021). Machine learning-based approaches for modeling thermophysical properties of hybrid nanofluids. Journal of Molecular Liquids, 322, 114843.</w:t>
      </w:r>
    </w:p>
    <w:p>
      <w:pPr>
        <w:spacing w:after="120" w:line="264" w:lineRule="auto"/>
        <w:ind w:left="480" w:hanging="480"/>
        <w:jc w:val="both"/>
      </w:pPr>
      <w:r>
        <w:rPr>
          <w:rFonts w:ascii="Cambria" w:hAnsi="Cambria"/>
          <w:b/>
          <w:sz w:val="20"/>
          <w:szCs w:val="20"/>
          <w:color w:val="1F3A5F"/>
        </w:rPr>
        <w:t xml:space="preserve">[18]  </w:t>
      </w:r>
      <w:r>
        <w:rPr>
          <w:rFonts w:ascii="Cambria" w:hAnsi="Cambria"/>
          <w:sz w:val="20"/>
          <w:szCs w:val="20"/>
        </w:rPr>
        <w:t xml:space="preserve">Rudin, C. (2019). Stop explaining black box machine learning models for high stakes decisions. Nature Machine Intelligence, 1(5), 206–215.</w:t>
      </w:r>
    </w:p>
    <w:p>
      <w:pPr>
        <w:spacing w:after="120" w:line="264" w:lineRule="auto"/>
        <w:ind w:left="480" w:hanging="480"/>
        <w:jc w:val="both"/>
      </w:pPr>
      <w:r>
        <w:rPr>
          <w:rFonts w:ascii="Cambria" w:hAnsi="Cambria"/>
          <w:b/>
          <w:sz w:val="20"/>
          <w:szCs w:val="20"/>
          <w:color w:val="1F3A5F"/>
        </w:rPr>
        <w:t xml:space="preserve">[19]  </w:t>
      </w:r>
      <w:r>
        <w:rPr>
          <w:rFonts w:ascii="Cambria" w:hAnsi="Cambria"/>
          <w:sz w:val="20"/>
          <w:szCs w:val="20"/>
        </w:rPr>
        <w:t xml:space="preserve">Raissi, M., Perdikaris, P., and Karniadakis, G. E. (2019). Physics-informed neural networks: A deep learning framework for solving forward and inverse problems. Journal of Computational Physics, 378, 686–707.</w:t>
      </w:r>
    </w:p>
    <w:p>
      <w:pPr>
        <w:spacing w:after="120" w:line="264" w:lineRule="auto"/>
        <w:ind w:left="480" w:hanging="480"/>
        <w:jc w:val="both"/>
      </w:pPr>
      <w:r>
        <w:rPr>
          <w:rFonts w:ascii="Cambria" w:hAnsi="Cambria"/>
          <w:b/>
          <w:sz w:val="20"/>
          <w:szCs w:val="20"/>
          <w:color w:val="1F3A5F"/>
        </w:rPr>
        <w:t xml:space="preserve">[20]  </w:t>
      </w:r>
      <w:r>
        <w:rPr>
          <w:rFonts w:ascii="Cambria" w:hAnsi="Cambria"/>
          <w:sz w:val="20"/>
          <w:szCs w:val="20"/>
        </w:rPr>
        <w:t xml:space="preserve">Gal, Y., and Ghahramani, Z. (2016). Dropout as a Bayesian approximation: Representing model uncertainty in deep learning. Proceedings of the 33rd International Conference on Machine Learning, 1050–1059.</w:t>
      </w:r>
    </w:p>
    <w:p>
      <w:pPr>
        <w:spacing w:after="120" w:line="264" w:lineRule="auto"/>
        <w:ind w:left="480" w:hanging="480"/>
        <w:jc w:val="both"/>
      </w:pPr>
      <w:r>
        <w:rPr>
          <w:rFonts w:ascii="Cambria" w:hAnsi="Cambria"/>
          <w:b/>
          <w:sz w:val="20"/>
          <w:szCs w:val="20"/>
          <w:color w:val="1F3A5F"/>
        </w:rPr>
        <w:t xml:space="preserve">[21]  </w:t>
      </w:r>
      <w:r>
        <w:rPr>
          <w:rFonts w:ascii="Cambria" w:hAnsi="Cambria"/>
          <w:sz w:val="20"/>
          <w:szCs w:val="20"/>
        </w:rPr>
        <w:t xml:space="preserve">Krizhevsky, A., Sutskever, I., and Hinton, G. E. (2012). ImageNet classification with deep convolutional neural networks. Advances in Neural Information Processing Systems, 25, 1097–1105.</w:t>
      </w:r>
    </w:p>
    <w:p>
      <w:pPr>
        <w:spacing w:after="120" w:line="264" w:lineRule="auto"/>
        <w:ind w:left="480" w:hanging="480"/>
        <w:jc w:val="both"/>
      </w:pPr>
      <w:r>
        <w:rPr>
          <w:rFonts w:ascii="Cambria" w:hAnsi="Cambria"/>
          <w:b/>
          <w:sz w:val="20"/>
          <w:szCs w:val="20"/>
          <w:color w:val="1F3A5F"/>
        </w:rPr>
        <w:t xml:space="preserve">[22]  </w:t>
      </w:r>
      <w:r>
        <w:rPr>
          <w:rFonts w:ascii="Cambria" w:hAnsi="Cambria"/>
          <w:sz w:val="20"/>
          <w:szCs w:val="20"/>
        </w:rPr>
        <w:t xml:space="preserve">LeCun, Y., Bottou, L., Bengio, Y., and Haffner, P. (1998). Gradient-based learning applied to document recognition. Proceedings of the IEEE, 86(11), 2278–2324.</w:t>
      </w:r>
    </w:p>
    <w:p>
      <w:pPr>
        <w:spacing w:after="120" w:line="264" w:lineRule="auto"/>
        <w:ind w:left="480" w:hanging="480"/>
        <w:jc w:val="both"/>
      </w:pPr>
      <w:r>
        <w:rPr>
          <w:rFonts w:ascii="Cambria" w:hAnsi="Cambria"/>
          <w:b/>
          <w:sz w:val="20"/>
          <w:szCs w:val="20"/>
          <w:color w:val="1F3A5F"/>
        </w:rPr>
        <w:t xml:space="preserve">[23]  </w:t>
      </w:r>
      <w:r>
        <w:rPr>
          <w:rFonts w:ascii="Cambria" w:hAnsi="Cambria"/>
          <w:sz w:val="20"/>
          <w:szCs w:val="20"/>
        </w:rPr>
        <w:t xml:space="preserve">Zeiler, M. D., and Fergus, R. (2014). Visualizing and understanding convolutional networks. European Conference on Computer Vision, 818–833.</w:t>
      </w:r>
    </w:p>
    <w:p>
      <w:pPr>
        <w:spacing w:after="120" w:line="264" w:lineRule="auto"/>
        <w:ind w:left="480" w:hanging="480"/>
        <w:jc w:val="both"/>
      </w:pPr>
      <w:r>
        <w:rPr>
          <w:rFonts w:ascii="Cambria" w:hAnsi="Cambria"/>
          <w:b/>
          <w:sz w:val="20"/>
          <w:szCs w:val="20"/>
          <w:color w:val="1F3A5F"/>
        </w:rPr>
        <w:t xml:space="preserve">[24]  </w:t>
      </w:r>
      <w:r>
        <w:rPr>
          <w:rFonts w:ascii="Cambria" w:hAnsi="Cambria"/>
          <w:sz w:val="20"/>
          <w:szCs w:val="20"/>
        </w:rPr>
        <w:t xml:space="preserve">Guo, Y., Cao, X., Liu, B., and Gao, M. (2020). Solving partial differential equations using deep learning and physical constraints. Applied Sciences, 10(17), 5917.</w:t>
      </w:r>
    </w:p>
    <w:p>
      <w:pPr>
        <w:spacing w:after="120" w:line="264" w:lineRule="auto"/>
        <w:ind w:left="480" w:hanging="480"/>
        <w:jc w:val="both"/>
      </w:pPr>
      <w:r>
        <w:rPr>
          <w:rFonts w:ascii="Cambria" w:hAnsi="Cambria"/>
          <w:b/>
          <w:sz w:val="20"/>
          <w:szCs w:val="20"/>
          <w:color w:val="1F3A5F"/>
        </w:rPr>
        <w:t xml:space="preserve">[25]  </w:t>
      </w:r>
      <w:r>
        <w:rPr>
          <w:rFonts w:ascii="Cambria" w:hAnsi="Cambria"/>
          <w:sz w:val="20"/>
          <w:szCs w:val="20"/>
        </w:rPr>
        <w:t xml:space="preserve">Fukami, K., Fukagata, K., and Taira, K. (2019). Super-resolution reconstruction of turbulent flows with machine learning. Journal of Fluid Mechanics, 870, 106–120.</w:t>
      </w:r>
    </w:p>
    <w:p>
      <w:pPr>
        <w:spacing w:after="120" w:line="264" w:lineRule="auto"/>
        <w:ind w:left="480" w:hanging="480"/>
        <w:jc w:val="both"/>
      </w:pPr>
      <w:r>
        <w:rPr>
          <w:rFonts w:ascii="Cambria" w:hAnsi="Cambria"/>
          <w:b/>
          <w:sz w:val="20"/>
          <w:szCs w:val="20"/>
          <w:color w:val="1F3A5F"/>
        </w:rPr>
        <w:t xml:space="preserve">[26]  </w:t>
      </w:r>
      <w:r>
        <w:rPr>
          <w:rFonts w:ascii="Cambria" w:hAnsi="Cambria"/>
          <w:sz w:val="20"/>
          <w:szCs w:val="20"/>
        </w:rPr>
        <w:t xml:space="preserve">Hochreiter, S., and Schmidhuber, J. (1997). Long short-term memory. Neural Computation, 9(8), 1735–1780.</w:t>
      </w:r>
    </w:p>
    <w:p>
      <w:pPr>
        <w:spacing w:after="120" w:line="264" w:lineRule="auto"/>
        <w:ind w:left="480" w:hanging="480"/>
        <w:jc w:val="both"/>
      </w:pPr>
      <w:r>
        <w:rPr>
          <w:rFonts w:ascii="Cambria" w:hAnsi="Cambria"/>
          <w:b/>
          <w:sz w:val="20"/>
          <w:szCs w:val="20"/>
          <w:color w:val="1F3A5F"/>
        </w:rPr>
        <w:t xml:space="preserve">[27]  </w:t>
      </w:r>
      <w:r>
        <w:rPr>
          <w:rFonts w:ascii="Cambria" w:hAnsi="Cambria"/>
          <w:sz w:val="20"/>
          <w:szCs w:val="20"/>
        </w:rPr>
        <w:t xml:space="preserve">Gers, F. A., Schmidhuber, J., and Cummins, F. (2000). Learning to forget: Continual prediction with LSTM. Neural Computation, 12(10), 2451–2471.</w:t>
      </w:r>
    </w:p>
    <w:p>
      <w:pPr>
        <w:spacing w:after="120" w:line="264" w:lineRule="auto"/>
        <w:ind w:left="480" w:hanging="480"/>
        <w:jc w:val="both"/>
      </w:pPr>
      <w:r>
        <w:rPr>
          <w:rFonts w:ascii="Cambria" w:hAnsi="Cambria"/>
          <w:b/>
          <w:sz w:val="20"/>
          <w:szCs w:val="20"/>
          <w:color w:val="1F3A5F"/>
        </w:rPr>
        <w:t xml:space="preserve">[28]  </w:t>
      </w:r>
      <w:r>
        <w:rPr>
          <w:rFonts w:ascii="Cambria" w:hAnsi="Cambria"/>
          <w:sz w:val="20"/>
          <w:szCs w:val="20"/>
        </w:rPr>
        <w:t xml:space="preserve">Cho, K., van Merrienboer, B., Gulcehre, C., et al. (2014). Learning phrase representations using RNN encoder-decoder for statistical machine translation. EMNLP, 1724–1734.</w:t>
      </w:r>
    </w:p>
    <w:p>
      <w:pPr>
        <w:spacing w:after="120" w:line="264" w:lineRule="auto"/>
        <w:ind w:left="480" w:hanging="480"/>
        <w:jc w:val="both"/>
      </w:pPr>
      <w:r>
        <w:rPr>
          <w:rFonts w:ascii="Cambria" w:hAnsi="Cambria"/>
          <w:b/>
          <w:sz w:val="20"/>
          <w:szCs w:val="20"/>
          <w:color w:val="1F3A5F"/>
        </w:rPr>
        <w:t xml:space="preserve">[29]  </w:t>
      </w:r>
      <w:r>
        <w:rPr>
          <w:rFonts w:ascii="Cambria" w:hAnsi="Cambria"/>
          <w:sz w:val="20"/>
          <w:szCs w:val="20"/>
        </w:rPr>
        <w:t xml:space="preserve">Wang, R., Kashinath, K., Mustafa, M., et al. (2020). Towards physics-informed deep learning for turbulent flow prediction. Proceedings of the 26th ACM SIGKDD, 1457–1466.</w:t>
      </w:r>
    </w:p>
    <w:p>
      <w:pPr>
        <w:spacing w:after="120" w:line="264" w:lineRule="auto"/>
        <w:ind w:left="480" w:hanging="480"/>
        <w:jc w:val="both"/>
      </w:pPr>
      <w:r>
        <w:rPr>
          <w:rFonts w:ascii="Cambria" w:hAnsi="Cambria"/>
          <w:b/>
          <w:sz w:val="20"/>
          <w:szCs w:val="20"/>
          <w:color w:val="1F3A5F"/>
        </w:rPr>
        <w:t xml:space="preserve">[30]  </w:t>
      </w:r>
      <w:r>
        <w:rPr>
          <w:rFonts w:ascii="Cambria" w:hAnsi="Cambria"/>
          <w:sz w:val="20"/>
          <w:szCs w:val="20"/>
        </w:rPr>
        <w:t xml:space="preserve">Shi, X., Chen, Z., Wang, H., et al. (2015). Convolutional LSTM network: A machine learning approach for precipitation nowcasting. Advances in Neural Information Processing Systems, 28, 802–810.</w:t>
      </w:r>
    </w:p>
    <w:p>
      <w:pPr>
        <w:spacing w:after="120" w:line="264" w:lineRule="auto"/>
        <w:ind w:left="480" w:hanging="480"/>
        <w:jc w:val="both"/>
      </w:pPr>
      <w:r>
        <w:rPr>
          <w:rFonts w:ascii="Cambria" w:hAnsi="Cambria"/>
          <w:b/>
          <w:sz w:val="20"/>
          <w:szCs w:val="20"/>
          <w:color w:val="1F3A5F"/>
        </w:rPr>
        <w:t xml:space="preserve">[31]  </w:t>
      </w:r>
      <w:r>
        <w:rPr>
          <w:rFonts w:ascii="Cambria" w:hAnsi="Cambria"/>
          <w:sz w:val="20"/>
          <w:szCs w:val="20"/>
        </w:rPr>
        <w:t xml:space="preserve">Vaswani, A., Shazeer, N., Parmar, N., et al. (2017). Attention is all you need. Advances in Neural Information Processing Systems, 30, 5998–6008.</w:t>
      </w:r>
    </w:p>
    <w:p>
      <w:pPr>
        <w:spacing w:after="120" w:line="264" w:lineRule="auto"/>
        <w:ind w:left="480" w:hanging="480"/>
        <w:jc w:val="both"/>
      </w:pPr>
      <w:r>
        <w:rPr>
          <w:rFonts w:ascii="Cambria" w:hAnsi="Cambria"/>
          <w:b/>
          <w:sz w:val="20"/>
          <w:szCs w:val="20"/>
          <w:color w:val="1F3A5F"/>
        </w:rPr>
        <w:t xml:space="preserve">[32]  </w:t>
      </w:r>
      <w:r>
        <w:rPr>
          <w:rFonts w:ascii="Cambria" w:hAnsi="Cambria"/>
          <w:sz w:val="20"/>
          <w:szCs w:val="20"/>
        </w:rPr>
        <w:t xml:space="preserve">Dosovitskiy, A., Beyer, L., Kolesnikov, A., et al. (2021). An image is worth 16x16 words: Transformers for image recognition at scale. ICLR.</w:t>
      </w:r>
    </w:p>
    <w:p>
      <w:pPr>
        <w:spacing w:after="120" w:line="264" w:lineRule="auto"/>
        <w:ind w:left="480" w:hanging="480"/>
        <w:jc w:val="both"/>
      </w:pPr>
      <w:r>
        <w:rPr>
          <w:rFonts w:ascii="Cambria" w:hAnsi="Cambria"/>
          <w:b/>
          <w:sz w:val="20"/>
          <w:szCs w:val="20"/>
          <w:color w:val="1F3A5F"/>
        </w:rPr>
        <w:t xml:space="preserve">[33]  </w:t>
      </w:r>
      <w:r>
        <w:rPr>
          <w:rFonts w:ascii="Cambria" w:hAnsi="Cambria"/>
          <w:sz w:val="20"/>
          <w:szCs w:val="20"/>
        </w:rPr>
        <w:t xml:space="preserve">Brunton, S. L., Noack, B. R., and Koumoutsakos, P. (2020). Machine learning for fluid mechanics. Annual Review of Fluid Mechanics, 52, 477–508.</w:t>
      </w:r>
    </w:p>
    <w:p>
      <w:pPr>
        <w:spacing w:after="120" w:line="264" w:lineRule="auto"/>
        <w:ind w:left="480" w:hanging="480"/>
        <w:jc w:val="both"/>
      </w:pPr>
      <w:r>
        <w:rPr>
          <w:rFonts w:ascii="Cambria" w:hAnsi="Cambria"/>
          <w:b/>
          <w:sz w:val="20"/>
          <w:szCs w:val="20"/>
          <w:color w:val="1F3A5F"/>
        </w:rPr>
        <w:t xml:space="preserve">[34]  </w:t>
      </w:r>
      <w:r>
        <w:rPr>
          <w:rFonts w:ascii="Cambria" w:hAnsi="Cambria"/>
          <w:sz w:val="20"/>
          <w:szCs w:val="20"/>
        </w:rPr>
        <w:t xml:space="preserve">Micikevicius, P., Narang, S., Alben, J., et al. (2018). Mixed precision training. International Conference on Learning Representations (ICLR).</w:t>
      </w:r>
    </w:p>
    <w:p>
      <w:pPr>
        <w:spacing w:after="120" w:line="264" w:lineRule="auto"/>
        <w:ind w:left="480" w:hanging="480"/>
        <w:jc w:val="both"/>
      </w:pPr>
      <w:r>
        <w:rPr>
          <w:rFonts w:ascii="Cambria" w:hAnsi="Cambria"/>
          <w:b/>
          <w:sz w:val="20"/>
          <w:szCs w:val="20"/>
          <w:color w:val="1F3A5F"/>
        </w:rPr>
        <w:t xml:space="preserve">[35]  </w:t>
      </w:r>
      <w:r>
        <w:rPr>
          <w:rFonts w:ascii="Cambria" w:hAnsi="Cambria"/>
          <w:sz w:val="20"/>
          <w:szCs w:val="20"/>
        </w:rPr>
        <w:t xml:space="preserve">Pan, S. J., and Yang, Q. (2010). A survey on transfer learning. IEEE Transactions on Knowledge and Data Engineering, 22(10), 1345–1359.</w:t>
      </w:r>
    </w:p>
    <w:p>
      <w:pPr>
        <w:spacing w:after="120" w:line="264" w:lineRule="auto"/>
        <w:ind w:left="480" w:hanging="480"/>
        <w:jc w:val="both"/>
      </w:pPr>
      <w:r>
        <w:rPr>
          <w:rFonts w:ascii="Cambria" w:hAnsi="Cambria"/>
          <w:b/>
          <w:sz w:val="20"/>
          <w:szCs w:val="20"/>
          <w:color w:val="1F3A5F"/>
        </w:rPr>
        <w:t xml:space="preserve">[36]  </w:t>
      </w:r>
      <w:r>
        <w:rPr>
          <w:rFonts w:ascii="Cambria" w:hAnsi="Cambria"/>
          <w:sz w:val="20"/>
          <w:szCs w:val="20"/>
        </w:rPr>
        <w:t xml:space="preserve">Ribeiro, M. T., Singh, S., and Guestrin, C. (2016). Why should I trust you? Explaining the predictions of any classifier. Proceedings of the 22nd ACM SIGKDD, 1135–1144.</w:t>
      </w:r>
    </w:p>
    <w:p>
      <w:pPr>
        <w:spacing w:after="120" w:line="264" w:lineRule="auto"/>
        <w:ind w:left="480" w:hanging="480"/>
        <w:jc w:val="both"/>
      </w:pPr>
      <w:r>
        <w:rPr>
          <w:rFonts w:ascii="Cambria" w:hAnsi="Cambria"/>
          <w:b/>
          <w:sz w:val="20"/>
          <w:szCs w:val="20"/>
          <w:color w:val="1F3A5F"/>
        </w:rPr>
        <w:t xml:space="preserve">[37]  </w:t>
      </w:r>
      <w:r>
        <w:rPr>
          <w:rFonts w:ascii="Cambria" w:hAnsi="Cambria"/>
          <w:sz w:val="20"/>
          <w:szCs w:val="20"/>
        </w:rPr>
        <w:t xml:space="preserve">Doshi-Velez, F., and Kim, B. (2017). Towards a rigorous science of interpretable machine learning. arXiv preprint arXiv:1702.08608.</w:t>
      </w:r>
    </w:p>
    <w:p>
      <w:pPr>
        <w:spacing w:after="120" w:line="264" w:lineRule="auto"/>
        <w:ind w:left="480" w:hanging="480"/>
        <w:jc w:val="both"/>
      </w:pPr>
      <w:r>
        <w:rPr>
          <w:rFonts w:ascii="Cambria" w:hAnsi="Cambria"/>
          <w:b/>
          <w:sz w:val="20"/>
          <w:szCs w:val="20"/>
          <w:color w:val="1F3A5F"/>
        </w:rPr>
        <w:t xml:space="preserve">[38]  </w:t>
      </w:r>
      <w:r>
        <w:rPr>
          <w:rFonts w:ascii="Cambria" w:hAnsi="Cambria"/>
          <w:sz w:val="20"/>
          <w:szCs w:val="20"/>
        </w:rPr>
        <w:t xml:space="preserve">Molnar, C. (2022). Interpretable Machine Learning: A Guide for Making Black Box Models Explainable, 2nd ed. Independently published.</w:t>
      </w:r>
    </w:p>
    <w:p>
      <w:pPr>
        <w:spacing w:after="120" w:line="264" w:lineRule="auto"/>
        <w:ind w:left="480" w:hanging="480"/>
        <w:jc w:val="both"/>
      </w:pPr>
      <w:r>
        <w:rPr>
          <w:rFonts w:ascii="Cambria" w:hAnsi="Cambria"/>
          <w:b/>
          <w:sz w:val="20"/>
          <w:szCs w:val="20"/>
          <w:color w:val="1F3A5F"/>
        </w:rPr>
        <w:t xml:space="preserve">[39]  </w:t>
      </w:r>
      <w:r>
        <w:rPr>
          <w:rFonts w:ascii="Cambria" w:hAnsi="Cambria"/>
          <w:sz w:val="20"/>
          <w:szCs w:val="20"/>
        </w:rPr>
        <w:t xml:space="preserve">Lundberg, S. M., and Lee, S. I. (2017). A unified approach to interpreting model predictions. Advances in Neural Information Processing Systems, 30, 4765–4774.</w:t>
      </w:r>
    </w:p>
    <w:p>
      <w:pPr>
        <w:spacing w:after="120" w:line="264" w:lineRule="auto"/>
        <w:ind w:left="480" w:hanging="480"/>
        <w:jc w:val="both"/>
      </w:pPr>
      <w:r>
        <w:rPr>
          <w:rFonts w:ascii="Cambria" w:hAnsi="Cambria"/>
          <w:b/>
          <w:sz w:val="20"/>
          <w:szCs w:val="20"/>
          <w:color w:val="1F3A5F"/>
        </w:rPr>
        <w:t xml:space="preserve">[40]  </w:t>
      </w:r>
      <w:r>
        <w:rPr>
          <w:rFonts w:ascii="Cambria" w:hAnsi="Cambria"/>
          <w:sz w:val="20"/>
          <w:szCs w:val="20"/>
        </w:rPr>
        <w:t xml:space="preserve">Roscher, R., Bohn, B., Duarte, M. F., and Garcke, J. (2020). Explainable machine learning for scientific insights and discoveries. IEEE Access, 8, 42200–42216.</w:t>
      </w:r>
    </w:p>
    <w:p>
      <w:pPr>
        <w:spacing w:after="120" w:line="264" w:lineRule="auto"/>
        <w:ind w:left="480" w:hanging="480"/>
        <w:jc w:val="both"/>
      </w:pPr>
      <w:r>
        <w:rPr>
          <w:rFonts w:ascii="Cambria" w:hAnsi="Cambria"/>
          <w:b/>
          <w:sz w:val="20"/>
          <w:szCs w:val="20"/>
          <w:color w:val="1F3A5F"/>
        </w:rPr>
        <w:t xml:space="preserve">[41]  </w:t>
      </w:r>
      <w:r>
        <w:rPr>
          <w:rFonts w:ascii="Cambria" w:hAnsi="Cambria"/>
          <w:sz w:val="20"/>
          <w:szCs w:val="20"/>
        </w:rPr>
        <w:t xml:space="preserve">Friedman, J. H. (2001). Greedy function approximation: A gradient boosting machine. Annals of Statistics, 29(5), 1189–1232.</w:t>
      </w:r>
    </w:p>
    <w:p>
      <w:pPr>
        <w:spacing w:after="120" w:line="264" w:lineRule="auto"/>
        <w:ind w:left="480" w:hanging="480"/>
        <w:jc w:val="both"/>
      </w:pPr>
      <w:r>
        <w:rPr>
          <w:rFonts w:ascii="Cambria" w:hAnsi="Cambria"/>
          <w:b/>
          <w:sz w:val="20"/>
          <w:szCs w:val="20"/>
          <w:color w:val="1F3A5F"/>
        </w:rPr>
        <w:t xml:space="preserve">[42]  </w:t>
      </w:r>
      <w:r>
        <w:rPr>
          <w:rFonts w:ascii="Cambria" w:hAnsi="Cambria"/>
          <w:sz w:val="20"/>
          <w:szCs w:val="20"/>
        </w:rPr>
        <w:t xml:space="preserve">Goldstein, A., Kapelner, A., Bleich, J., and Pitkin, E. (2015). Peeking inside the black box: Visualizing statistical learning with individual conditional expectation plots. Journal of Computational and Graphical Statistics, 24(1), 44–65.</w:t>
      </w:r>
    </w:p>
    <w:p>
      <w:pPr>
        <w:spacing w:after="120" w:line="264" w:lineRule="auto"/>
        <w:ind w:left="480" w:hanging="480"/>
        <w:jc w:val="both"/>
      </w:pPr>
      <w:r>
        <w:rPr>
          <w:rFonts w:ascii="Cambria" w:hAnsi="Cambria"/>
          <w:b/>
          <w:sz w:val="20"/>
          <w:szCs w:val="20"/>
          <w:color w:val="1F3A5F"/>
        </w:rPr>
        <w:t xml:space="preserve">[43]  </w:t>
      </w:r>
      <w:r>
        <w:rPr>
          <w:rFonts w:ascii="Cambria" w:hAnsi="Cambria"/>
          <w:sz w:val="20"/>
          <w:szCs w:val="20"/>
        </w:rPr>
        <w:t xml:space="preserve">Craven, M., and Shavlik, J. W. (1996). Extracting tree-structured representations of trained networks. Advances in Neural Information Processing Systems, 8, 24–30.</w:t>
      </w:r>
    </w:p>
    <w:p>
      <w:pPr>
        <w:spacing w:after="120" w:line="264" w:lineRule="auto"/>
        <w:ind w:left="480" w:hanging="480"/>
        <w:jc w:val="both"/>
      </w:pPr>
      <w:r>
        <w:rPr>
          <w:rFonts w:ascii="Cambria" w:hAnsi="Cambria"/>
          <w:b/>
          <w:sz w:val="20"/>
          <w:szCs w:val="20"/>
          <w:color w:val="1F3A5F"/>
        </w:rPr>
        <w:t xml:space="preserve">[44]  </w:t>
      </w:r>
      <w:r>
        <w:rPr>
          <w:rFonts w:ascii="Cambria" w:hAnsi="Cambria"/>
          <w:sz w:val="20"/>
          <w:szCs w:val="20"/>
        </w:rPr>
        <w:t xml:space="preserve">Schmidt, M., and Lipson, H. (2009). Distilling free-form natural laws from experimental data. Science, 324(5923), 81–85.</w:t>
      </w:r>
    </w:p>
    <w:p>
      <w:pPr>
        <w:spacing w:after="120" w:line="264" w:lineRule="auto"/>
        <w:ind w:left="480" w:hanging="480"/>
        <w:jc w:val="both"/>
      </w:pPr>
      <w:r>
        <w:rPr>
          <w:rFonts w:ascii="Cambria" w:hAnsi="Cambria"/>
          <w:b/>
          <w:sz w:val="20"/>
          <w:szCs w:val="20"/>
          <w:color w:val="1F3A5F"/>
        </w:rPr>
        <w:t xml:space="preserve">[45]  </w:t>
      </w:r>
      <w:r>
        <w:rPr>
          <w:rFonts w:ascii="Cambria" w:hAnsi="Cambria"/>
          <w:sz w:val="20"/>
          <w:szCs w:val="20"/>
        </w:rPr>
        <w:t xml:space="preserve">Udrescu, S. M., and Tegmark, M. (2020). AI Feynman: A physics-inspired method for symbolic regression. Science Advances, 6(16), eaay2631.</w:t>
      </w:r>
    </w:p>
    <w:p>
      <w:pPr>
        <w:spacing w:after="120" w:line="264" w:lineRule="auto"/>
        <w:ind w:left="480" w:hanging="480"/>
        <w:jc w:val="both"/>
      </w:pPr>
      <w:r>
        <w:rPr>
          <w:rFonts w:ascii="Cambria" w:hAnsi="Cambria"/>
          <w:b/>
          <w:sz w:val="20"/>
          <w:szCs w:val="20"/>
          <w:color w:val="1F3A5F"/>
        </w:rPr>
        <w:t xml:space="preserve">[46]  </w:t>
      </w:r>
      <w:r>
        <w:rPr>
          <w:rFonts w:ascii="Cambria" w:hAnsi="Cambria"/>
          <w:sz w:val="20"/>
          <w:szCs w:val="20"/>
        </w:rPr>
        <w:t xml:space="preserve">Willard, J., Jia, X., Xu, S., Steinbach, M., and Kumar, V. (2022). Integrating scientific knowledge with machine learning for engineering and environmental systems. ACM Computing Surveys, 55(4), 1–37.</w:t>
      </w:r>
    </w:p>
    <w:p>
      <w:pPr>
        <w:spacing w:after="120" w:line="264" w:lineRule="auto"/>
        <w:ind w:left="480" w:hanging="480"/>
        <w:jc w:val="both"/>
      </w:pPr>
      <w:r>
        <w:rPr>
          <w:rFonts w:ascii="Cambria" w:hAnsi="Cambria"/>
          <w:b/>
          <w:sz w:val="20"/>
          <w:szCs w:val="20"/>
          <w:color w:val="1F3A5F"/>
        </w:rPr>
        <w:t xml:space="preserve">[47]  </w:t>
      </w:r>
      <w:r>
        <w:rPr>
          <w:rFonts w:ascii="Cambria" w:hAnsi="Cambria"/>
          <w:sz w:val="20"/>
          <w:szCs w:val="20"/>
        </w:rPr>
        <w:t xml:space="preserve">Karniadakis, G. E., Kevrekidis, I. G., Lu, L., et al. (2021). Physics-informed machine learning. Nature Reviews Physics, 3(6), 422–440.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sz w:val="22"/>
        <w:szCs w:val="22"/>
      </w:rPr>
    </w:rPrDefault>
  </w:docDefaults>
  <w:style w:type="paragraph" w:default="1" w:styleId="Normal">
    <w:name w:val="Normal"/>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s>
</file>

<file path=docProps/app.xml><?xml version="1.0" encoding="utf-8"?>
<Properties xmlns="http://schemas.openxmlformats.org/officeDocument/2006/extended-properties">
  <Application>Kiro DOCX Writer</Application>
</Properties>
</file>

<file path=docProps/core.xml><?xml version="1.0" encoding="utf-8"?>
<cp:coreProperties xmlns:cp="http://schemas.openxmlformats.org/package/2006/metadata/core-properties" xmlns:dc="http://purl.org/dc/elements/1.1/" xmlns:dcterms="http://purl.org/dc/terms/" xmlns:xsi="http://www.w3.org/2001/XMLSchema-instance">
  <dc:title>Deep Learning, Hybrid AI-CFD, and Metaheuristic Optimization for Nanofluid Thermal Modelling</dc:title>
  <dc:creator>Kiro</dc:creator>
  <cp:lastModifiedBy>Kiro</cp:lastModifiedBy>
</cp:coreProperties>
</file>