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Climate Change, Economic Risk, and Adaptive Eco-Technological Strategies</w:t>
      </w:r>
    </w:p>
    <w:p/>
    <w:p/>
    <w:p>
      <w:pPr>
        <w:pStyle w:val="Heading1"/>
      </w:pPr>
      <w:r>
        <w:rPr>
          <w:color w:val="000000"/>
        </w:rPr>
        <w:t>Abstract</w:t>
      </w:r>
    </w:p>
    <w:p>
      <w:pPr>
        <w:spacing w:line="360" w:lineRule="auto" w:after="120"/>
      </w:pPr>
      <w:r>
        <w:rPr>
          <w:rFonts w:ascii="Times New Roman" w:hAnsi="Times New Roman"/>
          <w:b w:val="0"/>
          <w:i w:val="0"/>
          <w:sz w:val="24"/>
        </w:rPr>
        <w:t>Climate change represents one of the most profound challenges confronting global economic systems, ecological stability, and societal well-being in the twenty-first century. Rising global temperatures, intensifying extreme weather events, and shifting precipitation patterns impose escalating costs on infrastructure, agriculture, supply chains, and financial markets. This chapter provides a comprehensive examination of the nexus between climate change and economic risk, exploring how emerging intelligent eco-technologies and adaptive strategies can mitigate vulnerabilities and foster resilient, sustainable economies. The analysis begins with a detailed assessment of climate change drivers and their cascading economic consequences, followed by an evaluation of sectoral and regional vulnerabilities, financial risk frameworks, and scenario-based decision-making approaches. The chapter then investigates the transformative potential of artificial intelligence, Internet of Things, digital twins, and smart infrastructure in enabling proactive climate adaptation. Finally, it presents adaptive strategies encompassing circular economy models, green finance mechanisms, and inclusive policy pathways for building climate-resilient economies. The integrated framework proposed herein demonstrates that intelligent eco-technological deployment, combined with robust governance and inclusive economic planning, can transform climate risk into opportunity for sustainable development.</w:t>
      </w:r>
    </w:p>
    <w:p>
      <w:r>
        <w:rPr>
          <w:rFonts w:ascii="Times New Roman" w:hAnsi="Times New Roman"/>
          <w:b/>
          <w:sz w:val="24"/>
        </w:rPr>
        <w:t xml:space="preserve">Keywords: </w:t>
      </w:r>
      <w:r>
        <w:rPr>
          <w:rFonts w:ascii="Times New Roman" w:hAnsi="Times New Roman"/>
          <w:sz w:val="24"/>
        </w:rPr>
        <w:t>Climate change; economic risk; eco-technology; artificial intelligence; climate adaptation; resilience; green finance; circular economy; digital twins; sustainable development</w:t>
      </w:r>
    </w:p>
    <w:p>
      <w:r>
        <w:br w:type="page"/>
      </w:r>
    </w:p>
    <w:p>
      <w:pPr>
        <w:pStyle w:val="Heading1"/>
      </w:pPr>
      <w:r>
        <w:rPr>
          <w:color w:val="000000"/>
        </w:rPr>
        <w:t>1. Climate Change and Emerging Economic Risks</w:t>
      </w:r>
    </w:p>
    <w:p>
      <w:pPr>
        <w:spacing w:line="360" w:lineRule="auto" w:after="120"/>
      </w:pPr>
      <w:r>
        <w:rPr>
          <w:rFonts w:ascii="Times New Roman" w:hAnsi="Times New Roman"/>
          <w:b w:val="0"/>
          <w:i w:val="0"/>
          <w:sz w:val="24"/>
        </w:rPr>
        <w:t>The accelerating pace of anthropogenic climate change poses unprecedented challenges to global economic systems, demanding urgent reconsideration of development paradigms and risk management frameworks. The Intergovernmental Panel on Climate Change (IPCC) Sixth Assessment Report confirms that global surface temperature has increased by approximately 1.1°C above pre-industrial levels, with projections indicating continued warming across all emission scenarios [1]. This warming trend is not merely an environmental concern but fundamentally reshapes economic landscapes, disrupting production systems, supply chains, and financial markets with increasing frequency and severity [2]. The economic implications of climate change extend far beyond direct damages from extreme weather events; they encompass systemic risks to food security, water availability, human health, and geopolitical stability [3]. Understanding the intricate relationship between climate drivers and economic vulnerabilities is essential for developing effective adaptation strategies and building resilient economies capable of thriving under changing climatic conditions [4].</w:t>
      </w:r>
    </w:p>
    <w:p>
      <w:pPr>
        <w:pStyle w:val="Heading2"/>
      </w:pPr>
      <w:r>
        <w:rPr>
          <w:color w:val="000000"/>
        </w:rPr>
        <w:t>1.1 Climate Change Drivers, Trends, and Environmental Impacts</w:t>
      </w:r>
    </w:p>
    <w:p>
      <w:pPr>
        <w:spacing w:line="360" w:lineRule="auto" w:after="120"/>
      </w:pPr>
      <w:r>
        <w:rPr>
          <w:rFonts w:ascii="Times New Roman" w:hAnsi="Times New Roman"/>
          <w:b w:val="0"/>
          <w:i w:val="0"/>
          <w:sz w:val="24"/>
        </w:rPr>
        <w:t>The primary drivers of contemporary climate change are well-established in scientific literature, centering on the accumulation of greenhouse gases (GHGs) in the atmosphere due to fossil fuel combustion, industrial processes, deforestation, and agricultural activities [5]. Carbon dioxide concentrations have surpassed 420 parts per million (ppm), representing a 50% increase over pre-industrial levels, while methane and nitrous oxide concentrations continue to rise at accelerating rates [6]. The radiative forcing associated with these concentrations drives a cascade of physical changes including ocean warming, ice sheet destabilization, sea-level rise, and alterations in atmospheric circulation patterns [7]. Global mean sea level has risen approximately 3.7 mm per year during the period 2006–2018, with acceleration observed in recent decades due to thermal expansion and ice mass loss from Greenland and Antarctica [8].</w:t>
      </w:r>
    </w:p>
    <w:p>
      <w:pPr>
        <w:spacing w:line="360" w:lineRule="auto" w:after="120"/>
      </w:pPr>
      <w:r>
        <w:rPr>
          <w:rFonts w:ascii="Times New Roman" w:hAnsi="Times New Roman"/>
          <w:b w:val="0"/>
          <w:i w:val="0"/>
          <w:sz w:val="24"/>
        </w:rPr>
        <w:t>Temperature extremes have become more frequent and intense, with heatwave frequency increasing by a factor of 2.8 since the 1950s in many regions [9]. Precipitation patterns are shifting, with wet regions generally becoming wetter and dry regions drier, exacerbating both flood and drought risks [10]. The cryosphere is experiencing rapid transformation, with Arctic sea ice declining at approximately 13% per decade and permafrost thawing releasing additional methane and carbon dioxide into the atmosphere, creating positive feedback loops [11]. Ocean acidification, driven by CO2 absorption, threatens marine ecosystems and the fisheries upon which approximately 3.3 billion people depend for protein [12]. These environmental changes do not occur in isolation but interact in complex, often non-linear ways that amplify impacts and create compound risks that challenge traditional risk assessment methodologies [13]. The concept of tipping points—critical thresholds beyond which system changes become self-reinforcing—has gained increasing attention, with research suggesting that several Earth system components may be approaching or have already crossed such thresholds [14].</w:t>
      </w:r>
    </w:p>
    <w:p>
      <w:pPr>
        <w:spacing w:line="360" w:lineRule="auto" w:after="120"/>
      </w:pPr>
      <w:r>
        <w:rPr>
          <w:rFonts w:ascii="Times New Roman" w:hAnsi="Times New Roman"/>
          <w:b w:val="0"/>
          <w:i w:val="0"/>
          <w:sz w:val="24"/>
        </w:rPr>
        <w:t>The interconnected nature of climate system responses creates compound hazards that pose particular challenges for risk assessment and adaptation planning. For instance, the combination of higher temperatures and altered precipitation regimes simultaneously increases wildfire risk, reduces water availability, and degrades air quality, with cascading effects on public health, agriculture, and energy systems. Tropical cyclones are projected to intensify under continued warming, with a greater proportion of storms reaching Category 4 and 5 intensity, while sea-level rise amplifies storm surge flooding in coastal communities. The global hydrological cycle is accelerating, with more intense precipitation events increasing flood frequency even as longer dry spells between events exacerbate drought conditions. These compound and cascading climate impacts underscore the necessity of integrated, systems-based approaches to understanding and managing climate risks across sectors and scales.</w:t>
      </w:r>
    </w:p>
    <w:p>
      <w:pPr>
        <w:pStyle w:val="Heading2"/>
      </w:pPr>
      <w:r>
        <w:rPr>
          <w:color w:val="000000"/>
        </w:rPr>
        <w:t>1.2 Economic Consequences of Extreme Weather and Climate Hazards</w:t>
      </w:r>
    </w:p>
    <w:p>
      <w:pPr>
        <w:spacing w:line="360" w:lineRule="auto" w:after="120"/>
      </w:pPr>
      <w:r>
        <w:rPr>
          <w:rFonts w:ascii="Times New Roman" w:hAnsi="Times New Roman"/>
          <w:b w:val="0"/>
          <w:i w:val="0"/>
          <w:sz w:val="24"/>
        </w:rPr>
        <w:t>The economic toll of climate-related disasters has escalated dramatically over recent decades, with annual losses exceeding USD 300 billion in recent years compared to approximately USD 50 billion in the 1990s [15]. Extreme weather events—including hurricanes, floods, droughts, and wildfires—impose both direct costs through physical damage and indirect costs through business interruption, supply chain disruption, and reduced productivity [16]. The 2021 European floods caused estimated damages of USD 43 billion, while the 2022 Pakistan floods affected over 33 million people and inflicted economic losses exceeding USD 30 billion, representing approximately 10% of national GDP [17]. Agricultural systems are particularly vulnerable, with climate variability reducing global crop yields by an estimated 5–10% per decade relative to potential yields without climate change [18]. As illustrated in Figure 1, the relationship between rising global temperatures and escalating economic losses demonstrates a clear upward trajectory, with losses accelerating non-linearly as warming intensifies [19].</w:t>
      </w:r>
    </w:p>
    <w:p/>
    <w:p>
      <w:pPr>
        <w:jc w:val="center"/>
      </w:pPr>
      <w:r>
        <w:drawing>
          <wp:inline xmlns:a="http://schemas.openxmlformats.org/drawingml/2006/main" xmlns:pic="http://schemas.openxmlformats.org/drawingml/2006/picture">
            <wp:extent cx="5029200" cy="2997200"/>
            <wp:docPr id="1" name="Picture 1"/>
            <wp:cNvGraphicFramePr>
              <a:graphicFrameLocks noChangeAspect="1"/>
            </wp:cNvGraphicFramePr>
            <a:graphic>
              <a:graphicData uri="http://schemas.openxmlformats.org/drawingml/2006/picture">
                <pic:pic>
                  <pic:nvPicPr>
                    <pic:cNvPr id="0" name="Figure_1_Temperature_Economic_Losses.png"/>
                    <pic:cNvPicPr/>
                  </pic:nvPicPr>
                  <pic:blipFill>
                    <a:blip r:embed="rId9"/>
                    <a:stretch>
                      <a:fillRect/>
                    </a:stretch>
                  </pic:blipFill>
                  <pic:spPr>
                    <a:xfrm>
                      <a:off x="0" y="0"/>
                      <a:ext cx="5029200" cy="2997200"/>
                    </a:xfrm>
                    <a:prstGeom prst="rect"/>
                  </pic:spPr>
                </pic:pic>
              </a:graphicData>
            </a:graphic>
          </wp:inline>
        </w:drawing>
      </w:r>
    </w:p>
    <w:p>
      <w:pPr>
        <w:spacing w:before="120" w:after="240"/>
        <w:jc w:val="center"/>
      </w:pPr>
      <w:r>
        <w:rPr>
          <w:rFonts w:ascii="Times New Roman" w:hAnsi="Times New Roman"/>
          <w:b/>
          <w:sz w:val="20"/>
        </w:rPr>
        <w:t>Figure 1: Global Temperature Anomaly and Climate-Related Economic Losses (2000–2025). The dual-axis plot demonstrates the correlation between rising temperatures and escalating economic damages from climate-related disasters.</w:t>
      </w:r>
    </w:p>
    <w:p>
      <w:pPr>
        <w:spacing w:line="360" w:lineRule="auto" w:after="120"/>
      </w:pPr>
      <w:r>
        <w:rPr>
          <w:rFonts w:ascii="Times New Roman" w:hAnsi="Times New Roman"/>
          <w:b w:val="0"/>
          <w:i w:val="0"/>
          <w:sz w:val="24"/>
        </w:rPr>
        <w:t>Heat stress reduces labor productivity, particularly in outdoor sectors such as agriculture and construction, with projections indicating that heat-related productivity losses could reach USD 2.4 trillion annually by 2030, disproportionately affecting tropical and subtropical developing nations [20]. Water scarcity, intensified by climate change, threatens industrial production and energy generation, with an estimated 40% of global thermal power generation capacity located in water-stressed regions [21]. The insurance industry faces mounting challenges as climate-related claims surge, with some regions becoming effectively uninsurable, creating protection gaps that transfer risk to governments and households [22]. Furthermore, climate change interacts with socioeconomic factors to exacerbate inequality, as vulnerable populations in developing countries bear disproportionate impacts despite contributing least to emissions [23].</w:t>
      </w:r>
    </w:p>
    <w:p>
      <w:pPr>
        <w:spacing w:line="360" w:lineRule="auto" w:after="120"/>
      </w:pPr>
      <w:r>
        <w:rPr>
          <w:rFonts w:ascii="Times New Roman" w:hAnsi="Times New Roman"/>
          <w:b w:val="0"/>
          <w:i w:val="0"/>
          <w:sz w:val="24"/>
        </w:rPr>
        <w:t>The macroeconomic implications of climate change extend beyond immediate disaster losses to encompass long-term growth trajectory effects, fiscal pressures, and monetary policy challenges. Climate-vulnerable developing nations face sovereign credit rating downgrades that increase borrowing costs precisely when adaptation investments are most needed, creating vicious cycles of climate vulnerability and fiscal constraint. The agricultural sector exemplifies these compounding effects: simultaneous crop failures across major producing regions—an increasingly plausible scenario under continued warming—can trigger food price spikes, social instability, and forced migration, with cascading consequences for regional and global economic stability. Furthermore, the health impacts of climate change, including the spread of vector-borne diseases, malnutrition, and heat-related morbidity, reduce human capital accumulation and labor force participation, undermining long-term economic growth potential in affected regions.</w:t>
      </w:r>
    </w:p>
    <w:p>
      <w:pPr>
        <w:pStyle w:val="Heading2"/>
      </w:pPr>
      <w:r>
        <w:rPr>
          <w:color w:val="000000"/>
        </w:rPr>
        <w:t>1.3 Climate-Related Risks to Infrastructure, Industries, and Global Supply Chains</w:t>
      </w:r>
    </w:p>
    <w:p>
      <w:pPr>
        <w:spacing w:line="360" w:lineRule="auto" w:after="120"/>
      </w:pPr>
      <w:r>
        <w:rPr>
          <w:rFonts w:ascii="Times New Roman" w:hAnsi="Times New Roman"/>
          <w:b w:val="0"/>
          <w:i w:val="0"/>
          <w:sz w:val="24"/>
        </w:rPr>
        <w:t>Critical infrastructure systems—including transportation networks, energy grids, water treatment facilities, and telecommunications—face escalating climate risks that threaten economic functionality and public safety [24]. Rising sea levels and increased storm surge intensity endanger coastal infrastructure valued at trillions of dollars globally, with approximately 570 low-lying coastal cities facing projected sea-level rise of at least 0.5 meters by 2050 [25]. Transportation infrastructure suffers from heat-induced rail buckling, road surface deterioration, and flooding of tunnels and underpasses, with adaptation costs for transport systems estimated at USD 480 billion globally by 2040 [26]. Energy systems face dual challenges: increased cooling demand during heatwaves coincides with reduced generation efficiency and grid stress, while renewable energy sources experience climate-sensitive variability in wind and solar resources [27].</w:t>
      </w:r>
    </w:p>
    <w:p>
      <w:pPr>
        <w:spacing w:line="360" w:lineRule="auto" w:after="120"/>
      </w:pPr>
      <w:r>
        <w:rPr>
          <w:rFonts w:ascii="Times New Roman" w:hAnsi="Times New Roman"/>
          <w:b w:val="0"/>
          <w:i w:val="0"/>
          <w:sz w:val="24"/>
        </w:rPr>
        <w:t>Global supply chains, optimized for efficiency rather than resilience, are increasingly vulnerable to climate disruptions at critical nodes [28]. The concentration of manufacturing in climate-exposed regions of Southeast Asia, combined with just-in-time inventory management, creates cascading vulnerability across global production networks [29]. The 2011 Thailand floods, which inundated industrial estates producing 25% of global hard drives, demonstrated how localized climate events propagate through interconnected supply chains, causing global shortages and estimated losses of USD 45 billion [30]. Agricultural supply chains face compound risks from simultaneous crop failures across multiple breadbasket regions—a scenario with increasing probability under continued warming [31]. Table 1 summarizes the key climate risks across major infrastructure categories and their estimated economic impacts, highlighting the cross-sectoral nature of climate vulnerability [32].</w:t>
      </w:r>
    </w:p>
    <w:p>
      <w:pPr>
        <w:spacing w:before="240" w:after="120"/>
        <w:jc w:val="center"/>
      </w:pPr>
      <w:r>
        <w:rPr>
          <w:rFonts w:ascii="Times New Roman" w:hAnsi="Times New Roman"/>
          <w:b/>
          <w:sz w:val="20"/>
        </w:rPr>
        <w:t>Table 1: Climate-Related Risks to Critical Infrastructure and Estimated Economic Impacts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Infrastructure Category</w:t>
            </w:r>
          </w:p>
        </w:tc>
        <w:tc>
          <w:tcPr>
            <w:tcW w:type="dxa" w:w="1872"/>
          </w:tcPr>
          <w:p>
            <w:pPr>
              <w:jc w:val="center"/>
            </w:pPr>
            <w:r>
              <w:rPr>
                <w:rFonts w:ascii="Times New Roman" w:hAnsi="Times New Roman"/>
                <w:b/>
                <w:sz w:val="18"/>
              </w:rPr>
              <w:t>Primary Climate Hazard</w:t>
            </w:r>
          </w:p>
        </w:tc>
        <w:tc>
          <w:tcPr>
            <w:tcW w:type="dxa" w:w="1872"/>
          </w:tcPr>
          <w:p>
            <w:pPr>
              <w:jc w:val="center"/>
            </w:pPr>
            <w:r>
              <w:rPr>
                <w:rFonts w:ascii="Times New Roman" w:hAnsi="Times New Roman"/>
                <w:b/>
                <w:sz w:val="18"/>
              </w:rPr>
              <w:t>Vulnerability Level</w:t>
            </w:r>
          </w:p>
        </w:tc>
        <w:tc>
          <w:tcPr>
            <w:tcW w:type="dxa" w:w="1872"/>
          </w:tcPr>
          <w:p>
            <w:pPr>
              <w:jc w:val="center"/>
            </w:pPr>
            <w:r>
              <w:rPr>
                <w:rFonts w:ascii="Times New Roman" w:hAnsi="Times New Roman"/>
                <w:b/>
                <w:sz w:val="18"/>
              </w:rPr>
              <w:t>Estimated Annual Loss (USD Billion)</w:t>
            </w:r>
          </w:p>
        </w:tc>
        <w:tc>
          <w:tcPr>
            <w:tcW w:type="dxa" w:w="1872"/>
          </w:tcPr>
          <w:p>
            <w:pPr>
              <w:jc w:val="center"/>
            </w:pPr>
            <w:r>
              <w:rPr>
                <w:rFonts w:ascii="Times New Roman" w:hAnsi="Times New Roman"/>
                <w:b/>
                <w:sz w:val="18"/>
              </w:rPr>
              <w:t>Adaptation Priority</w:t>
            </w:r>
          </w:p>
        </w:tc>
      </w:tr>
      <w:tr>
        <w:tc>
          <w:tcPr>
            <w:tcW w:type="dxa" w:w="1872"/>
          </w:tcPr>
          <w:p>
            <w:pPr>
              <w:jc w:val="center"/>
            </w:pPr>
            <w:r>
              <w:rPr>
                <w:rFonts w:ascii="Times New Roman" w:hAnsi="Times New Roman"/>
                <w:sz w:val="18"/>
              </w:rPr>
              <w:t>Transportation Networks</w:t>
            </w:r>
          </w:p>
        </w:tc>
        <w:tc>
          <w:tcPr>
            <w:tcW w:type="dxa" w:w="1872"/>
          </w:tcPr>
          <w:p>
            <w:pPr>
              <w:jc w:val="center"/>
            </w:pPr>
            <w:r>
              <w:rPr>
                <w:rFonts w:ascii="Times New Roman" w:hAnsi="Times New Roman"/>
                <w:sz w:val="18"/>
              </w:rPr>
              <w:t>Flooding, Heat Extremes</w:t>
            </w:r>
          </w:p>
        </w:tc>
        <w:tc>
          <w:tcPr>
            <w:tcW w:type="dxa" w:w="1872"/>
          </w:tcPr>
          <w:p>
            <w:pPr>
              <w:jc w:val="center"/>
            </w:pPr>
            <w:r>
              <w:rPr>
                <w:rFonts w:ascii="Times New Roman" w:hAnsi="Times New Roman"/>
                <w:sz w:val="18"/>
              </w:rPr>
              <w:t>High</w:t>
            </w:r>
          </w:p>
        </w:tc>
        <w:tc>
          <w:tcPr>
            <w:tcW w:type="dxa" w:w="1872"/>
          </w:tcPr>
          <w:p>
            <w:pPr>
              <w:jc w:val="center"/>
            </w:pPr>
            <w:r>
              <w:rPr>
                <w:rFonts w:ascii="Times New Roman" w:hAnsi="Times New Roman"/>
                <w:sz w:val="18"/>
              </w:rPr>
              <w:t>85–120</w:t>
            </w:r>
          </w:p>
        </w:tc>
        <w:tc>
          <w:tcPr>
            <w:tcW w:type="dxa" w:w="1872"/>
          </w:tcPr>
          <w:p>
            <w:pPr>
              <w:jc w:val="center"/>
            </w:pPr>
            <w:r>
              <w:rPr>
                <w:rFonts w:ascii="Times New Roman" w:hAnsi="Times New Roman"/>
                <w:sz w:val="18"/>
              </w:rPr>
              <w:t>Critical</w:t>
            </w:r>
          </w:p>
        </w:tc>
      </w:tr>
      <w:tr>
        <w:tc>
          <w:tcPr>
            <w:tcW w:type="dxa" w:w="1872"/>
          </w:tcPr>
          <w:p>
            <w:pPr>
              <w:jc w:val="center"/>
            </w:pPr>
            <w:r>
              <w:rPr>
                <w:rFonts w:ascii="Times New Roman" w:hAnsi="Times New Roman"/>
                <w:sz w:val="18"/>
              </w:rPr>
              <w:t>Energy Systems</w:t>
            </w:r>
          </w:p>
        </w:tc>
        <w:tc>
          <w:tcPr>
            <w:tcW w:type="dxa" w:w="1872"/>
          </w:tcPr>
          <w:p>
            <w:pPr>
              <w:jc w:val="center"/>
            </w:pPr>
            <w:r>
              <w:rPr>
                <w:rFonts w:ascii="Times New Roman" w:hAnsi="Times New Roman"/>
                <w:sz w:val="18"/>
              </w:rPr>
              <w:t>Heat Stress, Storm Damage</w:t>
            </w:r>
          </w:p>
        </w:tc>
        <w:tc>
          <w:tcPr>
            <w:tcW w:type="dxa" w:w="1872"/>
          </w:tcPr>
          <w:p>
            <w:pPr>
              <w:jc w:val="center"/>
            </w:pPr>
            <w:r>
              <w:rPr>
                <w:rFonts w:ascii="Times New Roman" w:hAnsi="Times New Roman"/>
                <w:sz w:val="18"/>
              </w:rPr>
              <w:t>Very High</w:t>
            </w:r>
          </w:p>
        </w:tc>
        <w:tc>
          <w:tcPr>
            <w:tcW w:type="dxa" w:w="1872"/>
          </w:tcPr>
          <w:p>
            <w:pPr>
              <w:jc w:val="center"/>
            </w:pPr>
            <w:r>
              <w:rPr>
                <w:rFonts w:ascii="Times New Roman" w:hAnsi="Times New Roman"/>
                <w:sz w:val="18"/>
              </w:rPr>
              <w:t>95–150</w:t>
            </w:r>
          </w:p>
        </w:tc>
        <w:tc>
          <w:tcPr>
            <w:tcW w:type="dxa" w:w="1872"/>
          </w:tcPr>
          <w:p>
            <w:pPr>
              <w:jc w:val="center"/>
            </w:pPr>
            <w:r>
              <w:rPr>
                <w:rFonts w:ascii="Times New Roman" w:hAnsi="Times New Roman"/>
                <w:sz w:val="18"/>
              </w:rPr>
              <w:t>Critical</w:t>
            </w:r>
          </w:p>
        </w:tc>
      </w:tr>
      <w:tr>
        <w:tc>
          <w:tcPr>
            <w:tcW w:type="dxa" w:w="1872"/>
          </w:tcPr>
          <w:p>
            <w:pPr>
              <w:jc w:val="center"/>
            </w:pPr>
            <w:r>
              <w:rPr>
                <w:rFonts w:ascii="Times New Roman" w:hAnsi="Times New Roman"/>
                <w:sz w:val="18"/>
              </w:rPr>
              <w:t>Water Infrastructure</w:t>
            </w:r>
          </w:p>
        </w:tc>
        <w:tc>
          <w:tcPr>
            <w:tcW w:type="dxa" w:w="1872"/>
          </w:tcPr>
          <w:p>
            <w:pPr>
              <w:jc w:val="center"/>
            </w:pPr>
            <w:r>
              <w:rPr>
                <w:rFonts w:ascii="Times New Roman" w:hAnsi="Times New Roman"/>
                <w:sz w:val="18"/>
              </w:rPr>
              <w:t>Drought, Flooding</w:t>
            </w:r>
          </w:p>
        </w:tc>
        <w:tc>
          <w:tcPr>
            <w:tcW w:type="dxa" w:w="1872"/>
          </w:tcPr>
          <w:p>
            <w:pPr>
              <w:jc w:val="center"/>
            </w:pPr>
            <w:r>
              <w:rPr>
                <w:rFonts w:ascii="Times New Roman" w:hAnsi="Times New Roman"/>
                <w:sz w:val="18"/>
              </w:rPr>
              <w:t>High</w:t>
            </w:r>
          </w:p>
        </w:tc>
        <w:tc>
          <w:tcPr>
            <w:tcW w:type="dxa" w:w="1872"/>
          </w:tcPr>
          <w:p>
            <w:pPr>
              <w:jc w:val="center"/>
            </w:pPr>
            <w:r>
              <w:rPr>
                <w:rFonts w:ascii="Times New Roman" w:hAnsi="Times New Roman"/>
                <w:sz w:val="18"/>
              </w:rPr>
              <w:t>45–80</w:t>
            </w:r>
          </w:p>
        </w:tc>
        <w:tc>
          <w:tcPr>
            <w:tcW w:type="dxa" w:w="1872"/>
          </w:tcPr>
          <w:p>
            <w:pPr>
              <w:jc w:val="center"/>
            </w:pPr>
            <w:r>
              <w:rPr>
                <w:rFonts w:ascii="Times New Roman" w:hAnsi="Times New Roman"/>
                <w:sz w:val="18"/>
              </w:rPr>
              <w:t>High</w:t>
            </w:r>
          </w:p>
        </w:tc>
      </w:tr>
      <w:tr>
        <w:tc>
          <w:tcPr>
            <w:tcW w:type="dxa" w:w="1872"/>
          </w:tcPr>
          <w:p>
            <w:pPr>
              <w:jc w:val="center"/>
            </w:pPr>
            <w:r>
              <w:rPr>
                <w:rFonts w:ascii="Times New Roman" w:hAnsi="Times New Roman"/>
                <w:sz w:val="18"/>
              </w:rPr>
              <w:t>Telecommunications</w:t>
            </w:r>
          </w:p>
        </w:tc>
        <w:tc>
          <w:tcPr>
            <w:tcW w:type="dxa" w:w="1872"/>
          </w:tcPr>
          <w:p>
            <w:pPr>
              <w:jc w:val="center"/>
            </w:pPr>
            <w:r>
              <w:rPr>
                <w:rFonts w:ascii="Times New Roman" w:hAnsi="Times New Roman"/>
                <w:sz w:val="18"/>
              </w:rPr>
              <w:t>Storm Damage, Flooding</w:t>
            </w:r>
          </w:p>
        </w:tc>
        <w:tc>
          <w:tcPr>
            <w:tcW w:type="dxa" w:w="1872"/>
          </w:tcPr>
          <w:p>
            <w:pPr>
              <w:jc w:val="center"/>
            </w:pPr>
            <w:r>
              <w:rPr>
                <w:rFonts w:ascii="Times New Roman" w:hAnsi="Times New Roman"/>
                <w:sz w:val="18"/>
              </w:rPr>
              <w:t>Moderate</w:t>
            </w:r>
          </w:p>
        </w:tc>
        <w:tc>
          <w:tcPr>
            <w:tcW w:type="dxa" w:w="1872"/>
          </w:tcPr>
          <w:p>
            <w:pPr>
              <w:jc w:val="center"/>
            </w:pPr>
            <w:r>
              <w:rPr>
                <w:rFonts w:ascii="Times New Roman" w:hAnsi="Times New Roman"/>
                <w:sz w:val="18"/>
              </w:rPr>
              <w:t>25–40</w:t>
            </w:r>
          </w:p>
        </w:tc>
        <w:tc>
          <w:tcPr>
            <w:tcW w:type="dxa" w:w="1872"/>
          </w:tcPr>
          <w:p>
            <w:pPr>
              <w:jc w:val="center"/>
            </w:pPr>
            <w:r>
              <w:rPr>
                <w:rFonts w:ascii="Times New Roman" w:hAnsi="Times New Roman"/>
                <w:sz w:val="18"/>
              </w:rPr>
              <w:t>Medium</w:t>
            </w:r>
          </w:p>
        </w:tc>
      </w:tr>
      <w:tr>
        <w:tc>
          <w:tcPr>
            <w:tcW w:type="dxa" w:w="1872"/>
          </w:tcPr>
          <w:p>
            <w:pPr>
              <w:jc w:val="center"/>
            </w:pPr>
            <w:r>
              <w:rPr>
                <w:rFonts w:ascii="Times New Roman" w:hAnsi="Times New Roman"/>
                <w:sz w:val="18"/>
              </w:rPr>
              <w:t>Coastal Infrastructure</w:t>
            </w:r>
          </w:p>
        </w:tc>
        <w:tc>
          <w:tcPr>
            <w:tcW w:type="dxa" w:w="1872"/>
          </w:tcPr>
          <w:p>
            <w:pPr>
              <w:jc w:val="center"/>
            </w:pPr>
            <w:r>
              <w:rPr>
                <w:rFonts w:ascii="Times New Roman" w:hAnsi="Times New Roman"/>
                <w:sz w:val="18"/>
              </w:rPr>
              <w:t>Sea-Level Rise, Storm Surge</w:t>
            </w:r>
          </w:p>
        </w:tc>
        <w:tc>
          <w:tcPr>
            <w:tcW w:type="dxa" w:w="1872"/>
          </w:tcPr>
          <w:p>
            <w:pPr>
              <w:jc w:val="center"/>
            </w:pPr>
            <w:r>
              <w:rPr>
                <w:rFonts w:ascii="Times New Roman" w:hAnsi="Times New Roman"/>
                <w:sz w:val="18"/>
              </w:rPr>
              <w:t>Very High</w:t>
            </w:r>
          </w:p>
        </w:tc>
        <w:tc>
          <w:tcPr>
            <w:tcW w:type="dxa" w:w="1872"/>
          </w:tcPr>
          <w:p>
            <w:pPr>
              <w:jc w:val="center"/>
            </w:pPr>
            <w:r>
              <w:rPr>
                <w:rFonts w:ascii="Times New Roman" w:hAnsi="Times New Roman"/>
                <w:sz w:val="18"/>
              </w:rPr>
              <w:t>120–200</w:t>
            </w:r>
          </w:p>
        </w:tc>
        <w:tc>
          <w:tcPr>
            <w:tcW w:type="dxa" w:w="1872"/>
          </w:tcPr>
          <w:p>
            <w:pPr>
              <w:jc w:val="center"/>
            </w:pPr>
            <w:r>
              <w:rPr>
                <w:rFonts w:ascii="Times New Roman" w:hAnsi="Times New Roman"/>
                <w:sz w:val="18"/>
              </w:rPr>
              <w:t>Critical</w:t>
            </w:r>
          </w:p>
        </w:tc>
      </w:tr>
      <w:tr>
        <w:tc>
          <w:tcPr>
            <w:tcW w:type="dxa" w:w="1872"/>
          </w:tcPr>
          <w:p>
            <w:pPr>
              <w:jc w:val="center"/>
            </w:pPr>
            <w:r>
              <w:rPr>
                <w:rFonts w:ascii="Times New Roman" w:hAnsi="Times New Roman"/>
                <w:sz w:val="18"/>
              </w:rPr>
              <w:t>Industrial Facilities</w:t>
            </w:r>
          </w:p>
        </w:tc>
        <w:tc>
          <w:tcPr>
            <w:tcW w:type="dxa" w:w="1872"/>
          </w:tcPr>
          <w:p>
            <w:pPr>
              <w:jc w:val="center"/>
            </w:pPr>
            <w:r>
              <w:rPr>
                <w:rFonts w:ascii="Times New Roman" w:hAnsi="Times New Roman"/>
                <w:sz w:val="18"/>
              </w:rPr>
              <w:t>Multi-hazard Exposure</w:t>
            </w:r>
          </w:p>
        </w:tc>
        <w:tc>
          <w:tcPr>
            <w:tcW w:type="dxa" w:w="1872"/>
          </w:tcPr>
          <w:p>
            <w:pPr>
              <w:jc w:val="center"/>
            </w:pPr>
            <w:r>
              <w:rPr>
                <w:rFonts w:ascii="Times New Roman" w:hAnsi="Times New Roman"/>
                <w:sz w:val="18"/>
              </w:rPr>
              <w:t>High</w:t>
            </w:r>
          </w:p>
        </w:tc>
        <w:tc>
          <w:tcPr>
            <w:tcW w:type="dxa" w:w="1872"/>
          </w:tcPr>
          <w:p>
            <w:pPr>
              <w:jc w:val="center"/>
            </w:pPr>
            <w:r>
              <w:rPr>
                <w:rFonts w:ascii="Times New Roman" w:hAnsi="Times New Roman"/>
                <w:sz w:val="18"/>
              </w:rPr>
              <w:t>60–95</w:t>
            </w:r>
          </w:p>
        </w:tc>
        <w:tc>
          <w:tcPr>
            <w:tcW w:type="dxa" w:w="1872"/>
          </w:tcPr>
          <w:p>
            <w:pPr>
              <w:jc w:val="center"/>
            </w:pPr>
            <w:r>
              <w:rPr>
                <w:rFonts w:ascii="Times New Roman" w:hAnsi="Times New Roman"/>
                <w:sz w:val="18"/>
              </w:rPr>
              <w:t>High</w:t>
            </w:r>
          </w:p>
        </w:tc>
      </w:tr>
      <w:tr>
        <w:tc>
          <w:tcPr>
            <w:tcW w:type="dxa" w:w="1872"/>
          </w:tcPr>
          <w:p>
            <w:pPr>
              <w:jc w:val="center"/>
            </w:pPr>
            <w:r>
              <w:rPr>
                <w:rFonts w:ascii="Times New Roman" w:hAnsi="Times New Roman"/>
                <w:sz w:val="18"/>
              </w:rPr>
              <w:t>Agricultural Systems</w:t>
            </w:r>
          </w:p>
        </w:tc>
        <w:tc>
          <w:tcPr>
            <w:tcW w:type="dxa" w:w="1872"/>
          </w:tcPr>
          <w:p>
            <w:pPr>
              <w:jc w:val="center"/>
            </w:pPr>
            <w:r>
              <w:rPr>
                <w:rFonts w:ascii="Times New Roman" w:hAnsi="Times New Roman"/>
                <w:sz w:val="18"/>
              </w:rPr>
              <w:t>Drought, Heat, Flooding</w:t>
            </w:r>
          </w:p>
        </w:tc>
        <w:tc>
          <w:tcPr>
            <w:tcW w:type="dxa" w:w="1872"/>
          </w:tcPr>
          <w:p>
            <w:pPr>
              <w:jc w:val="center"/>
            </w:pPr>
            <w:r>
              <w:rPr>
                <w:rFonts w:ascii="Times New Roman" w:hAnsi="Times New Roman"/>
                <w:sz w:val="18"/>
              </w:rPr>
              <w:t>Very High</w:t>
            </w:r>
          </w:p>
        </w:tc>
        <w:tc>
          <w:tcPr>
            <w:tcW w:type="dxa" w:w="1872"/>
          </w:tcPr>
          <w:p>
            <w:pPr>
              <w:jc w:val="center"/>
            </w:pPr>
            <w:r>
              <w:rPr>
                <w:rFonts w:ascii="Times New Roman" w:hAnsi="Times New Roman"/>
                <w:sz w:val="18"/>
              </w:rPr>
              <w:t>150–250</w:t>
            </w:r>
          </w:p>
        </w:tc>
        <w:tc>
          <w:tcPr>
            <w:tcW w:type="dxa" w:w="1872"/>
          </w:tcPr>
          <w:p>
            <w:pPr>
              <w:jc w:val="center"/>
            </w:pPr>
            <w:r>
              <w:rPr>
                <w:rFonts w:ascii="Times New Roman" w:hAnsi="Times New Roman"/>
                <w:sz w:val="18"/>
              </w:rPr>
              <w:t>Critical</w:t>
            </w:r>
          </w:p>
        </w:tc>
      </w:tr>
      <w:tr>
        <w:tc>
          <w:tcPr>
            <w:tcW w:type="dxa" w:w="1872"/>
          </w:tcPr>
          <w:p>
            <w:pPr>
              <w:jc w:val="center"/>
            </w:pPr>
            <w:r>
              <w:rPr>
                <w:rFonts w:ascii="Times New Roman" w:hAnsi="Times New Roman"/>
                <w:sz w:val="18"/>
              </w:rPr>
              <w:t>Healthcare Facilities</w:t>
            </w:r>
          </w:p>
        </w:tc>
        <w:tc>
          <w:tcPr>
            <w:tcW w:type="dxa" w:w="1872"/>
          </w:tcPr>
          <w:p>
            <w:pPr>
              <w:jc w:val="center"/>
            </w:pPr>
            <w:r>
              <w:rPr>
                <w:rFonts w:ascii="Times New Roman" w:hAnsi="Times New Roman"/>
                <w:sz w:val="18"/>
              </w:rPr>
              <w:t>Heat, Flooding</w:t>
            </w:r>
          </w:p>
        </w:tc>
        <w:tc>
          <w:tcPr>
            <w:tcW w:type="dxa" w:w="1872"/>
          </w:tcPr>
          <w:p>
            <w:pPr>
              <w:jc w:val="center"/>
            </w:pPr>
            <w:r>
              <w:rPr>
                <w:rFonts w:ascii="Times New Roman" w:hAnsi="Times New Roman"/>
                <w:sz w:val="18"/>
              </w:rPr>
              <w:t>Moderate-High</w:t>
            </w:r>
          </w:p>
        </w:tc>
        <w:tc>
          <w:tcPr>
            <w:tcW w:type="dxa" w:w="1872"/>
          </w:tcPr>
          <w:p>
            <w:pPr>
              <w:jc w:val="center"/>
            </w:pPr>
            <w:r>
              <w:rPr>
                <w:rFonts w:ascii="Times New Roman" w:hAnsi="Times New Roman"/>
                <w:sz w:val="18"/>
              </w:rPr>
              <w:t>30–55</w:t>
            </w:r>
          </w:p>
        </w:tc>
        <w:tc>
          <w:tcPr>
            <w:tcW w:type="dxa" w:w="1872"/>
          </w:tcPr>
          <w:p>
            <w:pPr>
              <w:jc w:val="center"/>
            </w:pPr>
            <w:r>
              <w:rPr>
                <w:rFonts w:ascii="Times New Roman" w:hAnsi="Times New Roman"/>
                <w:sz w:val="18"/>
              </w:rPr>
              <w:t>High</w:t>
            </w:r>
          </w:p>
        </w:tc>
      </w:tr>
    </w:tbl>
    <w:p/>
    <w:p>
      <w:pPr>
        <w:pStyle w:val="Heading1"/>
      </w:pPr>
      <w:r>
        <w:rPr>
          <w:color w:val="000000"/>
        </w:rPr>
        <w:t>2. Economic Vulnerability and Climate Risk Assessment</w:t>
      </w:r>
    </w:p>
    <w:p>
      <w:pPr>
        <w:spacing w:line="360" w:lineRule="auto" w:after="120"/>
      </w:pPr>
      <w:r>
        <w:rPr>
          <w:rFonts w:ascii="Times New Roman" w:hAnsi="Times New Roman"/>
          <w:b w:val="0"/>
          <w:i w:val="0"/>
          <w:sz w:val="24"/>
        </w:rPr>
        <w:t>Assessing economic vulnerability to climate change requires sophisticated analytical frameworks capable of capturing the multidimensional, dynamic, and interconnected nature of climate risks across sectors and regions [33]. Traditional economic analysis tools often prove inadequate for addressing the deep uncertainty, non-linearity, and long time horizons characteristic of climate impacts [34]. This section examines sectoral and regional vulnerability patterns, financial risk dimensions, and emerging modeling approaches that enable more robust climate-informed decision-making. The analysis draws upon vulnerability assessment methodologies, financial risk frameworks, and scenario-based approaches developed by leading institutions and researchers in the climate-economy nexus.</w:t>
      </w:r>
    </w:p>
    <w:p>
      <w:pPr>
        <w:pStyle w:val="Heading2"/>
      </w:pPr>
      <w:r>
        <w:rPr>
          <w:color w:val="000000"/>
        </w:rPr>
        <w:t>2.1 Sectoral and Regional Vulnerability to Climate Change</w:t>
      </w:r>
    </w:p>
    <w:p>
      <w:pPr>
        <w:spacing w:line="360" w:lineRule="auto" w:after="120"/>
      </w:pPr>
      <w:r>
        <w:rPr>
          <w:rFonts w:ascii="Times New Roman" w:hAnsi="Times New Roman"/>
          <w:b w:val="0"/>
          <w:i w:val="0"/>
          <w:sz w:val="24"/>
        </w:rPr>
        <w:t>Climate vulnerability varies significantly across economic sectors and geographic regions, determined by exposure to climate hazards, sensitivity of economic activities to climatic conditions, and adaptive capacity [35]. Agriculture remains the most climate-sensitive sector, with studies indicating that unmitigated warming of 3°C could reduce global agricultural productivity by 15–25% by 2050, with tropical regions experiencing the most severe impacts [36]. Water-intensive industries, including thermoelectric power generation, mining, and food processing, face escalating risks from changing hydrological regimes and competing demands [37]. The tourism sector, representing approximately 10% of global GDP, is highly sensitive to climate change through impacts on natural attractions, seasonality shifts, and extreme weather disruption of travel infrastructure [38]. As depicted in Figure 2, the sectoral vulnerability assessment reveals that agriculture, energy, and coastal infrastructure face the highest combined risk scores across multiple climate hazard dimensions [39].</w:t>
      </w:r>
    </w:p>
    <w:p/>
    <w:p>
      <w:pPr>
        <w:jc w:val="center"/>
      </w:pPr>
      <w:r>
        <w:drawing>
          <wp:inline xmlns:a="http://schemas.openxmlformats.org/drawingml/2006/main" xmlns:pic="http://schemas.openxmlformats.org/drawingml/2006/picture">
            <wp:extent cx="5029200" cy="3388816"/>
            <wp:docPr id="2" name="Picture 2"/>
            <wp:cNvGraphicFramePr>
              <a:graphicFrameLocks noChangeAspect="1"/>
            </wp:cNvGraphicFramePr>
            <a:graphic>
              <a:graphicData uri="http://schemas.openxmlformats.org/drawingml/2006/picture">
                <pic:pic>
                  <pic:nvPicPr>
                    <pic:cNvPr id="0" name="Figure_2_Sectoral_Vulnerability_Heatmap.png"/>
                    <pic:cNvPicPr/>
                  </pic:nvPicPr>
                  <pic:blipFill>
                    <a:blip r:embed="rId10"/>
                    <a:stretch>
                      <a:fillRect/>
                    </a:stretch>
                  </pic:blipFill>
                  <pic:spPr>
                    <a:xfrm>
                      <a:off x="0" y="0"/>
                      <a:ext cx="5029200" cy="3388816"/>
                    </a:xfrm>
                    <a:prstGeom prst="rect"/>
                  </pic:spPr>
                </pic:pic>
              </a:graphicData>
            </a:graphic>
          </wp:inline>
        </w:drawing>
      </w:r>
    </w:p>
    <w:p>
      <w:pPr>
        <w:spacing w:before="120" w:after="240"/>
        <w:jc w:val="center"/>
      </w:pPr>
      <w:r>
        <w:rPr>
          <w:rFonts w:ascii="Times New Roman" w:hAnsi="Times New Roman"/>
          <w:b/>
          <w:sz w:val="20"/>
        </w:rPr>
        <w:t>Figure 2: Sectoral Climate Vulnerability Assessment Matrix showing vulnerability scores (0–10) across multiple risk categories for eight major economic sectors.</w:t>
      </w:r>
    </w:p>
    <w:p>
      <w:pPr>
        <w:spacing w:line="360" w:lineRule="auto" w:after="120"/>
      </w:pPr>
      <w:r>
        <w:rPr>
          <w:rFonts w:ascii="Times New Roman" w:hAnsi="Times New Roman"/>
          <w:b w:val="0"/>
          <w:i w:val="0"/>
          <w:sz w:val="24"/>
        </w:rPr>
        <w:t>Regional disparities in climate vulnerability are stark, with developing countries in tropical and subtropical zones bearing disproportionate impacts [40]. Small Island Developing States (SIDS) face existential threats from sea-level rise, while Sub-Saharan Africa confronts compounding risks of drought, food insecurity, and limited adaptive capacity [41]. Conversely, some temperate regions may experience short-term benefits from warming, including extended growing seasons and reduced heating demands, though these gains are increasingly offset by other climate impacts [42]. Urban areas, home to over 55% of the global population, face unique vulnerability profiles characterized by urban heat island effects, concentrated infrastructure exposure, and complex interdependencies between systems [43]. The interaction between physical vulnerability and socioeconomic factors—including poverty, governance capacity, and technological development—creates differentiated risk landscapes that demand context-specific adaptation approaches [44].</w:t>
      </w:r>
    </w:p>
    <w:p>
      <w:pPr>
        <w:spacing w:line="360" w:lineRule="auto" w:after="120"/>
      </w:pPr>
      <w:r>
        <w:rPr>
          <w:rFonts w:ascii="Times New Roman" w:hAnsi="Times New Roman"/>
          <w:b w:val="0"/>
          <w:i w:val="0"/>
          <w:sz w:val="24"/>
        </w:rPr>
        <w:t>The mining and extractive industries face growing climate risks as operations in arid regions confront water scarcity, while coastal and riverine facilities face flooding threats. The pharmaceutical and biotechnology sectors, dependent on temperature-controlled supply chains and climate-sensitive biological inputs, represent emerging areas of climate vulnerability that have received insufficient analytical attention. The digital economy, despite its apparent detachment from physical climate impacts, depends on data centers requiring substantial cooling energy, submarine cable infrastructure vulnerable to storm damage, and satellite systems affected by atmospheric changes. Financial services sector vulnerability extends beyond direct physical exposure to encompass portfolio-wide climate risk exposure, counterparty default risk from climate-affected borrowers, and potential asset repricing as climate scenarios materialize. Understanding these diverse vulnerability profiles is essential for designing sector-appropriate adaptation strategies and mobilizing targeted investment in climate resilience.</w:t>
      </w:r>
    </w:p>
    <w:p>
      <w:pPr>
        <w:pStyle w:val="Heading2"/>
      </w:pPr>
      <w:r>
        <w:rPr>
          <w:color w:val="000000"/>
        </w:rPr>
        <w:t>2.2 Financial Risks, Investment Uncertainty, and Stranded Assets</w:t>
      </w:r>
    </w:p>
    <w:p>
      <w:pPr>
        <w:spacing w:line="360" w:lineRule="auto" w:after="120"/>
      </w:pPr>
      <w:r>
        <w:rPr>
          <w:rFonts w:ascii="Times New Roman" w:hAnsi="Times New Roman"/>
          <w:b w:val="0"/>
          <w:i w:val="0"/>
          <w:sz w:val="24"/>
        </w:rPr>
        <w:t>Climate change introduces systemic financial risks that transcend traditional risk categories, challenging the stability of financial systems and the validity of established investment frameworks [45]. The Task Force on Climate-related Financial Disclosures (TCFD) framework categorizes climate-related financial risks into physical risks (arising from climate events) and transition risks (arising from the shift to a low-carbon economy), both of which can materially affect asset valuations, credit quality, and portfolio returns [46]. Physical risks are already manifesting in declining property values in flood-prone areas, increased insurance premiums, and sovereign credit downgrades for climate-vulnerable nations [47]. The concept of stranded assets—investments that lose economic viability due to climate policy, technological change, or physical impacts—poses significant risks to fossil fuel-dependent economies and investors, with estimates suggesting that USD 1–4 trillion in fossil fuel assets could become stranded under Paris Agreement-aligned pathways [48].</w:t>
      </w:r>
    </w:p>
    <w:p>
      <w:pPr>
        <w:spacing w:line="360" w:lineRule="auto" w:after="120"/>
      </w:pPr>
      <w:r>
        <w:rPr>
          <w:rFonts w:ascii="Times New Roman" w:hAnsi="Times New Roman"/>
          <w:b w:val="0"/>
          <w:i w:val="0"/>
          <w:sz w:val="24"/>
        </w:rPr>
        <w:t>Investment uncertainty under climate change is compounded by the long-lived nature of infrastructure assets, which must remain functional under future climate conditions that are imperfectly known [49]. Central banks and financial regulators increasingly recognize climate change as a source of systemic financial risk, with the Network for Greening the Financial System (NGFS) developing climate scenarios for financial stability assessment [50]. Climate stress testing of financial portfolios reveals significant potential losses under high-warming scenarios, with banking sector exposure to physical and transition risks estimated at 10–20% of total assets in some jurisdictions [51]. Table 2 presents a comparative analysis of financial risk categories, their transmission channels, and estimated magnitudes across different warming scenarios [52].</w:t>
      </w:r>
    </w:p>
    <w:p>
      <w:pPr>
        <w:spacing w:before="240" w:after="120"/>
        <w:jc w:val="center"/>
      </w:pPr>
      <w:r>
        <w:rPr>
          <w:rFonts w:ascii="Times New Roman" w:hAnsi="Times New Roman"/>
          <w:b/>
          <w:sz w:val="20"/>
        </w:rPr>
        <w:t>Table 2: Climate-Related Financial Risk Categories and Estimated Impact Magnitudes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Risk Category</w:t>
            </w:r>
          </w:p>
        </w:tc>
        <w:tc>
          <w:tcPr>
            <w:tcW w:type="dxa" w:w="1560"/>
          </w:tcPr>
          <w:p>
            <w:pPr>
              <w:jc w:val="center"/>
            </w:pPr>
            <w:r>
              <w:rPr>
                <w:rFonts w:ascii="Times New Roman" w:hAnsi="Times New Roman"/>
                <w:b/>
                <w:sz w:val="18"/>
              </w:rPr>
              <w:t>Transmission Channel</w:t>
            </w:r>
          </w:p>
        </w:tc>
        <w:tc>
          <w:tcPr>
            <w:tcW w:type="dxa" w:w="1560"/>
          </w:tcPr>
          <w:p>
            <w:pPr>
              <w:jc w:val="center"/>
            </w:pPr>
            <w:r>
              <w:rPr>
                <w:rFonts w:ascii="Times New Roman" w:hAnsi="Times New Roman"/>
                <w:b/>
                <w:sz w:val="18"/>
              </w:rPr>
              <w:t>1.5°C Scenario</w:t>
            </w:r>
          </w:p>
        </w:tc>
        <w:tc>
          <w:tcPr>
            <w:tcW w:type="dxa" w:w="1560"/>
          </w:tcPr>
          <w:p>
            <w:pPr>
              <w:jc w:val="center"/>
            </w:pPr>
            <w:r>
              <w:rPr>
                <w:rFonts w:ascii="Times New Roman" w:hAnsi="Times New Roman"/>
                <w:b/>
                <w:sz w:val="18"/>
              </w:rPr>
              <w:t>2°C Scenario</w:t>
            </w:r>
          </w:p>
        </w:tc>
        <w:tc>
          <w:tcPr>
            <w:tcW w:type="dxa" w:w="1560"/>
          </w:tcPr>
          <w:p>
            <w:pPr>
              <w:jc w:val="center"/>
            </w:pPr>
            <w:r>
              <w:rPr>
                <w:rFonts w:ascii="Times New Roman" w:hAnsi="Times New Roman"/>
                <w:b/>
                <w:sz w:val="18"/>
              </w:rPr>
              <w:t>3°C+ Scenario</w:t>
            </w:r>
          </w:p>
        </w:tc>
        <w:tc>
          <w:tcPr>
            <w:tcW w:type="dxa" w:w="1560"/>
          </w:tcPr>
          <w:p>
            <w:pPr>
              <w:jc w:val="center"/>
            </w:pPr>
            <w:r>
              <w:rPr>
                <w:rFonts w:ascii="Times New Roman" w:hAnsi="Times New Roman"/>
                <w:b/>
                <w:sz w:val="18"/>
              </w:rPr>
              <w:t>Time Horizon</w:t>
            </w:r>
          </w:p>
        </w:tc>
      </w:tr>
      <w:tr>
        <w:tc>
          <w:tcPr>
            <w:tcW w:type="dxa" w:w="1560"/>
          </w:tcPr>
          <w:p>
            <w:pPr>
              <w:jc w:val="center"/>
            </w:pPr>
            <w:r>
              <w:rPr>
                <w:rFonts w:ascii="Times New Roman" w:hAnsi="Times New Roman"/>
                <w:sz w:val="18"/>
              </w:rPr>
              <w:t>Physical—Acute</w:t>
            </w:r>
          </w:p>
        </w:tc>
        <w:tc>
          <w:tcPr>
            <w:tcW w:type="dxa" w:w="1560"/>
          </w:tcPr>
          <w:p>
            <w:pPr>
              <w:jc w:val="center"/>
            </w:pPr>
            <w:r>
              <w:rPr>
                <w:rFonts w:ascii="Times New Roman" w:hAnsi="Times New Roman"/>
                <w:sz w:val="18"/>
              </w:rPr>
              <w:t>Asset damage, business interruption</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Very High</w:t>
            </w:r>
          </w:p>
        </w:tc>
        <w:tc>
          <w:tcPr>
            <w:tcW w:type="dxa" w:w="1560"/>
          </w:tcPr>
          <w:p>
            <w:pPr>
              <w:jc w:val="center"/>
            </w:pPr>
            <w:r>
              <w:rPr>
                <w:rFonts w:ascii="Times New Roman" w:hAnsi="Times New Roman"/>
                <w:sz w:val="18"/>
              </w:rPr>
              <w:t>Near-term</w:t>
            </w:r>
          </w:p>
        </w:tc>
      </w:tr>
      <w:tr>
        <w:tc>
          <w:tcPr>
            <w:tcW w:type="dxa" w:w="1560"/>
          </w:tcPr>
          <w:p>
            <w:pPr>
              <w:jc w:val="center"/>
            </w:pPr>
            <w:r>
              <w:rPr>
                <w:rFonts w:ascii="Times New Roman" w:hAnsi="Times New Roman"/>
                <w:sz w:val="18"/>
              </w:rPr>
              <w:t>Physical—Chronic</w:t>
            </w:r>
          </w:p>
        </w:tc>
        <w:tc>
          <w:tcPr>
            <w:tcW w:type="dxa" w:w="1560"/>
          </w:tcPr>
          <w:p>
            <w:pPr>
              <w:jc w:val="center"/>
            </w:pPr>
            <w:r>
              <w:rPr>
                <w:rFonts w:ascii="Times New Roman" w:hAnsi="Times New Roman"/>
                <w:sz w:val="18"/>
              </w:rPr>
              <w:t>Productivity decline, resource scarcity</w:t>
            </w:r>
          </w:p>
        </w:tc>
        <w:tc>
          <w:tcPr>
            <w:tcW w:type="dxa" w:w="1560"/>
          </w:tcPr>
          <w:p>
            <w:pPr>
              <w:jc w:val="center"/>
            </w:pPr>
            <w:r>
              <w:rPr>
                <w:rFonts w:ascii="Times New Roman" w:hAnsi="Times New Roman"/>
                <w:sz w:val="18"/>
              </w:rPr>
              <w:t>Low-Moderate</w:t>
            </w:r>
          </w:p>
        </w:tc>
        <w:tc>
          <w:tcPr>
            <w:tcW w:type="dxa" w:w="1560"/>
          </w:tcPr>
          <w:p>
            <w:pPr>
              <w:jc w:val="center"/>
            </w:pPr>
            <w:r>
              <w:rPr>
                <w:rFonts w:ascii="Times New Roman" w:hAnsi="Times New Roman"/>
                <w:sz w:val="18"/>
              </w:rPr>
              <w:t>Moderate-High</w:t>
            </w:r>
          </w:p>
        </w:tc>
        <w:tc>
          <w:tcPr>
            <w:tcW w:type="dxa" w:w="1560"/>
          </w:tcPr>
          <w:p>
            <w:pPr>
              <w:jc w:val="center"/>
            </w:pPr>
            <w:r>
              <w:rPr>
                <w:rFonts w:ascii="Times New Roman" w:hAnsi="Times New Roman"/>
                <w:sz w:val="18"/>
              </w:rPr>
              <w:t>Very High</w:t>
            </w:r>
          </w:p>
        </w:tc>
        <w:tc>
          <w:tcPr>
            <w:tcW w:type="dxa" w:w="1560"/>
          </w:tcPr>
          <w:p>
            <w:pPr>
              <w:jc w:val="center"/>
            </w:pPr>
            <w:r>
              <w:rPr>
                <w:rFonts w:ascii="Times New Roman" w:hAnsi="Times New Roman"/>
                <w:sz w:val="18"/>
              </w:rPr>
              <w:t>Medium-term</w:t>
            </w:r>
          </w:p>
        </w:tc>
      </w:tr>
      <w:tr>
        <w:tc>
          <w:tcPr>
            <w:tcW w:type="dxa" w:w="1560"/>
          </w:tcPr>
          <w:p>
            <w:pPr>
              <w:jc w:val="center"/>
            </w:pPr>
            <w:r>
              <w:rPr>
                <w:rFonts w:ascii="Times New Roman" w:hAnsi="Times New Roman"/>
                <w:sz w:val="18"/>
              </w:rPr>
              <w:t>Transition—Policy</w:t>
            </w:r>
          </w:p>
        </w:tc>
        <w:tc>
          <w:tcPr>
            <w:tcW w:type="dxa" w:w="1560"/>
          </w:tcPr>
          <w:p>
            <w:pPr>
              <w:jc w:val="center"/>
            </w:pPr>
            <w:r>
              <w:rPr>
                <w:rFonts w:ascii="Times New Roman" w:hAnsi="Times New Roman"/>
                <w:sz w:val="18"/>
              </w:rPr>
              <w:t>Carbon pricing, regulation</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Low</w:t>
            </w:r>
          </w:p>
        </w:tc>
        <w:tc>
          <w:tcPr>
            <w:tcW w:type="dxa" w:w="1560"/>
          </w:tcPr>
          <w:p>
            <w:pPr>
              <w:jc w:val="center"/>
            </w:pPr>
            <w:r>
              <w:rPr>
                <w:rFonts w:ascii="Times New Roman" w:hAnsi="Times New Roman"/>
                <w:sz w:val="18"/>
              </w:rPr>
              <w:t>Near-term</w:t>
            </w:r>
          </w:p>
        </w:tc>
      </w:tr>
      <w:tr>
        <w:tc>
          <w:tcPr>
            <w:tcW w:type="dxa" w:w="1560"/>
          </w:tcPr>
          <w:p>
            <w:pPr>
              <w:jc w:val="center"/>
            </w:pPr>
            <w:r>
              <w:rPr>
                <w:rFonts w:ascii="Times New Roman" w:hAnsi="Times New Roman"/>
                <w:sz w:val="18"/>
              </w:rPr>
              <w:t>Transition—Technology</w:t>
            </w:r>
          </w:p>
        </w:tc>
        <w:tc>
          <w:tcPr>
            <w:tcW w:type="dxa" w:w="1560"/>
          </w:tcPr>
          <w:p>
            <w:pPr>
              <w:jc w:val="center"/>
            </w:pPr>
            <w:r>
              <w:rPr>
                <w:rFonts w:ascii="Times New Roman" w:hAnsi="Times New Roman"/>
                <w:sz w:val="18"/>
              </w:rPr>
              <w:t>Obsolescence, new competition</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Low</w:t>
            </w:r>
          </w:p>
        </w:tc>
        <w:tc>
          <w:tcPr>
            <w:tcW w:type="dxa" w:w="1560"/>
          </w:tcPr>
          <w:p>
            <w:pPr>
              <w:jc w:val="center"/>
            </w:pPr>
            <w:r>
              <w:rPr>
                <w:rFonts w:ascii="Times New Roman" w:hAnsi="Times New Roman"/>
                <w:sz w:val="18"/>
              </w:rPr>
              <w:t>Medium-term</w:t>
            </w:r>
          </w:p>
        </w:tc>
      </w:tr>
      <w:tr>
        <w:tc>
          <w:tcPr>
            <w:tcW w:type="dxa" w:w="1560"/>
          </w:tcPr>
          <w:p>
            <w:pPr>
              <w:jc w:val="center"/>
            </w:pPr>
            <w:r>
              <w:rPr>
                <w:rFonts w:ascii="Times New Roman" w:hAnsi="Times New Roman"/>
                <w:sz w:val="18"/>
              </w:rPr>
              <w:t>Transition—Market</w:t>
            </w:r>
          </w:p>
        </w:tc>
        <w:tc>
          <w:tcPr>
            <w:tcW w:type="dxa" w:w="1560"/>
          </w:tcPr>
          <w:p>
            <w:pPr>
              <w:jc w:val="center"/>
            </w:pPr>
            <w:r>
              <w:rPr>
                <w:rFonts w:ascii="Times New Roman" w:hAnsi="Times New Roman"/>
                <w:sz w:val="18"/>
              </w:rPr>
              <w:t>Demand shifts, repricing</w:t>
            </w:r>
          </w:p>
        </w:tc>
        <w:tc>
          <w:tcPr>
            <w:tcW w:type="dxa" w:w="1560"/>
          </w:tcPr>
          <w:p>
            <w:pPr>
              <w:jc w:val="center"/>
            </w:pPr>
            <w:r>
              <w:rPr>
                <w:rFonts w:ascii="Times New Roman" w:hAnsi="Times New Roman"/>
                <w:sz w:val="18"/>
              </w:rPr>
              <w:t>Moderate-High</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Low</w:t>
            </w:r>
          </w:p>
        </w:tc>
        <w:tc>
          <w:tcPr>
            <w:tcW w:type="dxa" w:w="1560"/>
          </w:tcPr>
          <w:p>
            <w:pPr>
              <w:jc w:val="center"/>
            </w:pPr>
            <w:r>
              <w:rPr>
                <w:rFonts w:ascii="Times New Roman" w:hAnsi="Times New Roman"/>
                <w:sz w:val="18"/>
              </w:rPr>
              <w:t>Near-term</w:t>
            </w:r>
          </w:p>
        </w:tc>
      </w:tr>
      <w:tr>
        <w:tc>
          <w:tcPr>
            <w:tcW w:type="dxa" w:w="1560"/>
          </w:tcPr>
          <w:p>
            <w:pPr>
              <w:jc w:val="center"/>
            </w:pPr>
            <w:r>
              <w:rPr>
                <w:rFonts w:ascii="Times New Roman" w:hAnsi="Times New Roman"/>
                <w:sz w:val="18"/>
              </w:rPr>
              <w:t>Transition—Reputation</w:t>
            </w:r>
          </w:p>
        </w:tc>
        <w:tc>
          <w:tcPr>
            <w:tcW w:type="dxa" w:w="1560"/>
          </w:tcPr>
          <w:p>
            <w:pPr>
              <w:jc w:val="center"/>
            </w:pPr>
            <w:r>
              <w:rPr>
                <w:rFonts w:ascii="Times New Roman" w:hAnsi="Times New Roman"/>
                <w:sz w:val="18"/>
              </w:rPr>
              <w:t>Stakeholder pressure, litigation</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Low-Moderate</w:t>
            </w:r>
          </w:p>
        </w:tc>
        <w:tc>
          <w:tcPr>
            <w:tcW w:type="dxa" w:w="1560"/>
          </w:tcPr>
          <w:p>
            <w:pPr>
              <w:jc w:val="center"/>
            </w:pPr>
            <w:r>
              <w:rPr>
                <w:rFonts w:ascii="Times New Roman" w:hAnsi="Times New Roman"/>
                <w:sz w:val="18"/>
              </w:rPr>
              <w:t>Low</w:t>
            </w:r>
          </w:p>
        </w:tc>
        <w:tc>
          <w:tcPr>
            <w:tcW w:type="dxa" w:w="1560"/>
          </w:tcPr>
          <w:p>
            <w:pPr>
              <w:jc w:val="center"/>
            </w:pPr>
            <w:r>
              <w:rPr>
                <w:rFonts w:ascii="Times New Roman" w:hAnsi="Times New Roman"/>
                <w:sz w:val="18"/>
              </w:rPr>
              <w:t>Near-term</w:t>
            </w:r>
          </w:p>
        </w:tc>
      </w:tr>
      <w:tr>
        <w:tc>
          <w:tcPr>
            <w:tcW w:type="dxa" w:w="1560"/>
          </w:tcPr>
          <w:p>
            <w:pPr>
              <w:jc w:val="center"/>
            </w:pPr>
            <w:r>
              <w:rPr>
                <w:rFonts w:ascii="Times New Roman" w:hAnsi="Times New Roman"/>
                <w:sz w:val="18"/>
              </w:rPr>
              <w:t>Stranded Assets</w:t>
            </w:r>
          </w:p>
        </w:tc>
        <w:tc>
          <w:tcPr>
            <w:tcW w:type="dxa" w:w="1560"/>
          </w:tcPr>
          <w:p>
            <w:pPr>
              <w:jc w:val="center"/>
            </w:pPr>
            <w:r>
              <w:rPr>
                <w:rFonts w:ascii="Times New Roman" w:hAnsi="Times New Roman"/>
                <w:sz w:val="18"/>
              </w:rPr>
              <w:t>Write-downs, devaluation</w:t>
            </w:r>
          </w:p>
        </w:tc>
        <w:tc>
          <w:tcPr>
            <w:tcW w:type="dxa" w:w="1560"/>
          </w:tcPr>
          <w:p>
            <w:pPr>
              <w:jc w:val="center"/>
            </w:pPr>
            <w:r>
              <w:rPr>
                <w:rFonts w:ascii="Times New Roman" w:hAnsi="Times New Roman"/>
                <w:sz w:val="18"/>
              </w:rPr>
              <w:t>Very High</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Medium-term</w:t>
            </w:r>
          </w:p>
        </w:tc>
      </w:tr>
      <w:tr>
        <w:tc>
          <w:tcPr>
            <w:tcW w:type="dxa" w:w="1560"/>
          </w:tcPr>
          <w:p>
            <w:pPr>
              <w:jc w:val="center"/>
            </w:pPr>
            <w:r>
              <w:rPr>
                <w:rFonts w:ascii="Times New Roman" w:hAnsi="Times New Roman"/>
                <w:sz w:val="18"/>
              </w:rPr>
              <w:t>Systemic/Cascading</w:t>
            </w:r>
          </w:p>
        </w:tc>
        <w:tc>
          <w:tcPr>
            <w:tcW w:type="dxa" w:w="1560"/>
          </w:tcPr>
          <w:p>
            <w:pPr>
              <w:jc w:val="center"/>
            </w:pPr>
            <w:r>
              <w:rPr>
                <w:rFonts w:ascii="Times New Roman" w:hAnsi="Times New Roman"/>
                <w:sz w:val="18"/>
              </w:rPr>
              <w:t>Financial contagion, sovereign risk</w:t>
            </w:r>
          </w:p>
        </w:tc>
        <w:tc>
          <w:tcPr>
            <w:tcW w:type="dxa" w:w="1560"/>
          </w:tcPr>
          <w:p>
            <w:pPr>
              <w:jc w:val="center"/>
            </w:pPr>
            <w:r>
              <w:rPr>
                <w:rFonts w:ascii="Times New Roman" w:hAnsi="Times New Roman"/>
                <w:sz w:val="18"/>
              </w:rPr>
              <w:t>Low</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Very High</w:t>
            </w:r>
          </w:p>
        </w:tc>
        <w:tc>
          <w:tcPr>
            <w:tcW w:type="dxa" w:w="1560"/>
          </w:tcPr>
          <w:p>
            <w:pPr>
              <w:jc w:val="center"/>
            </w:pPr>
            <w:r>
              <w:rPr>
                <w:rFonts w:ascii="Times New Roman" w:hAnsi="Times New Roman"/>
                <w:sz w:val="18"/>
              </w:rPr>
              <w:t>Long-term</w:t>
            </w:r>
          </w:p>
        </w:tc>
      </w:tr>
    </w:tbl>
    <w:p/>
    <w:p>
      <w:pPr>
        <w:pStyle w:val="Heading2"/>
      </w:pPr>
      <w:r>
        <w:rPr>
          <w:color w:val="000000"/>
        </w:rPr>
        <w:t>2.3 Climate Risk Modelling, Scenario Analysis, and Decision-Making Frameworks</w:t>
      </w:r>
    </w:p>
    <w:p>
      <w:pPr>
        <w:spacing w:line="360" w:lineRule="auto" w:after="120"/>
      </w:pPr>
      <w:r>
        <w:rPr>
          <w:rFonts w:ascii="Times New Roman" w:hAnsi="Times New Roman"/>
          <w:b w:val="0"/>
          <w:i w:val="0"/>
          <w:sz w:val="24"/>
        </w:rPr>
        <w:t>Climate risk modeling has evolved significantly from deterministic damage functions toward probabilistic, multi-scenario frameworks that better capture the deep uncertainty inherent in climate projections and socioeconomic pathways [53]. Integrated Assessment Models (IAMs) combine climate science with economic modeling to estimate damages under different emission trajectories, though they face criticism for potentially underestimating tail risks and non-linear damages [54]. The Shared Socioeconomic Pathways (SSPs) framework provides a structured approach to exploring future scenarios by combining climate forcing levels with different socioeconomic development trajectories, enabling comprehensive risk assessment across multiple dimensions [55]. Physical climate risk models increasingly incorporate high-resolution spatial data, enabling asset-level exposure assessment that informs investment decisions and infrastructure planning [56].</w:t>
      </w:r>
    </w:p>
    <w:p>
      <w:pPr>
        <w:spacing w:line="360" w:lineRule="auto" w:after="120"/>
      </w:pPr>
      <w:r>
        <w:rPr>
          <w:rFonts w:ascii="Times New Roman" w:hAnsi="Times New Roman"/>
          <w:b w:val="0"/>
          <w:i w:val="0"/>
          <w:sz w:val="24"/>
        </w:rPr>
        <w:t>Decision-making under deep uncertainty requires approaches that go beyond expected value optimization, embracing robustness and flexibility as key criteria [57]. Robust Decision Making (RDM), Dynamic Adaptive Policy Pathways (DAPP), and Real Options Analysis represent methodological advances that enable decision-makers to identify strategies performing well across a wide range of plausible futures [58]. These frameworks are particularly valuable for long-lived infrastructure investments, where the timing and sequencing of adaptation measures can significantly affect cost-effectiveness [59]. The integration of climate models with economic models, supply chain models, and financial system models enables cascading risk analysis that reveals system-level vulnerabilities invisible to sectoral assessments [60]. Machine learning and artificial intelligence are increasingly applied to climate risk modeling, enabling pattern recognition in complex datasets and improving the spatial and temporal resolution of impact projections [61].</w:t>
      </w:r>
    </w:p>
    <w:p>
      <w:pPr>
        <w:spacing w:line="360" w:lineRule="auto" w:after="120"/>
      </w:pPr>
      <w:r>
        <w:rPr>
          <w:rFonts w:ascii="Times New Roman" w:hAnsi="Times New Roman"/>
          <w:b w:val="0"/>
          <w:i w:val="0"/>
          <w:sz w:val="24"/>
        </w:rPr>
        <w:t>The evolution of climate risk assessment methodologies reflects growing recognition that traditional approaches based on historical data are inadequate for a non-stationary climate system. Forward-looking scenario analysis, stress testing, and sensitivity analysis provide complementary perspectives on potential futures, enabling more robust planning under conditions where probability distributions cannot be reliably specified. The development of standardized climate risk metrics and taxonomies facilitates comparison across regions, sectors, and institutions, supporting both regulatory oversight and market-based risk management. Agent-based models and network analysis capture emergent properties of interconnected economic systems that traditional equilibrium models miss, revealing how localized climate shocks can propagate through trade networks, financial linkages, and shared infrastructure to generate systemic crises. The integration of social vulnerability indicators with physical climate projections enables equity-aware risk assessment that identifies communities facing compound disadvantages from both high climate exposure and limited adaptive capacity.</w:t>
      </w:r>
    </w:p>
    <w:p>
      <w:pPr>
        <w:pStyle w:val="Heading1"/>
      </w:pPr>
      <w:r>
        <w:rPr>
          <w:color w:val="000000"/>
        </w:rPr>
        <w:t>3. Intelligent Eco-Technologies for Climate Adaptation</w:t>
      </w:r>
    </w:p>
    <w:p>
      <w:pPr>
        <w:spacing w:line="360" w:lineRule="auto" w:after="120"/>
      </w:pPr>
      <w:r>
        <w:rPr>
          <w:rFonts w:ascii="Times New Roman" w:hAnsi="Times New Roman"/>
          <w:b w:val="0"/>
          <w:i w:val="0"/>
          <w:sz w:val="24"/>
        </w:rPr>
        <w:t>The convergence of digital technologies with environmental science and engineering offers transformative opportunities for climate adaptation and resilience building [62]. Intelligent eco-technologies—encompassing artificial intelligence, Internet of Things (IoT), digital twins, smart infrastructure, and data-driven environmental management systems—enable more precise, proactive, and cost-effective responses to climate risks than traditional approaches [63]. These technologies facilitate real-time monitoring, predictive analytics, autonomous optimization, and adaptive management at scales ranging from individual buildings to entire cities and regions [64]. The intelligent eco-technology framework integrates multiple technological domains into a coherent platform for climate resilience, as illustrated in Figure 3.</w:t>
      </w:r>
    </w:p>
    <w:p/>
    <w:p>
      <w:pPr>
        <w:jc w:val="center"/>
      </w:pPr>
      <w:r>
        <w:drawing>
          <wp:inline xmlns:a="http://schemas.openxmlformats.org/drawingml/2006/main" xmlns:pic="http://schemas.openxmlformats.org/drawingml/2006/picture">
            <wp:extent cx="5029200" cy="3338713"/>
            <wp:docPr id="3" name="Picture 3"/>
            <wp:cNvGraphicFramePr>
              <a:graphicFrameLocks noChangeAspect="1"/>
            </wp:cNvGraphicFramePr>
            <a:graphic>
              <a:graphicData uri="http://schemas.openxmlformats.org/drawingml/2006/picture">
                <pic:pic>
                  <pic:nvPicPr>
                    <pic:cNvPr id="0" name="Figure_3_EcoTechnology_Framework.png"/>
                    <pic:cNvPicPr/>
                  </pic:nvPicPr>
                  <pic:blipFill>
                    <a:blip r:embed="rId11"/>
                    <a:stretch>
                      <a:fillRect/>
                    </a:stretch>
                  </pic:blipFill>
                  <pic:spPr>
                    <a:xfrm>
                      <a:off x="0" y="0"/>
                      <a:ext cx="5029200" cy="3338713"/>
                    </a:xfrm>
                    <a:prstGeom prst="rect"/>
                  </pic:spPr>
                </pic:pic>
              </a:graphicData>
            </a:graphic>
          </wp:inline>
        </w:drawing>
      </w:r>
    </w:p>
    <w:p>
      <w:pPr>
        <w:spacing w:before="120" w:after="240"/>
        <w:jc w:val="center"/>
      </w:pPr>
      <w:r>
        <w:rPr>
          <w:rFonts w:ascii="Times New Roman" w:hAnsi="Times New Roman"/>
          <w:b/>
          <w:sz w:val="20"/>
        </w:rPr>
        <w:t>Figure 3: Integrated Intelligent Eco-Technology Framework for Climate Adaptation and Resilience, showing the interconnection of AI, IoT, digital twins, renewable energy, early warning systems, and smart infrastructure around a central resilience platform.</w:t>
      </w:r>
    </w:p>
    <w:p>
      <w:pPr>
        <w:pStyle w:val="Heading2"/>
      </w:pPr>
      <w:r>
        <w:rPr>
          <w:color w:val="000000"/>
        </w:rPr>
        <w:t>3.1 AI, IoT, and Digital Twins for Climate Resilience</w:t>
      </w:r>
    </w:p>
    <w:p>
      <w:pPr>
        <w:spacing w:line="360" w:lineRule="auto" w:after="120"/>
      </w:pPr>
      <w:r>
        <w:rPr>
          <w:rFonts w:ascii="Times New Roman" w:hAnsi="Times New Roman"/>
          <w:b w:val="0"/>
          <w:i w:val="0"/>
          <w:sz w:val="24"/>
        </w:rPr>
        <w:t>Artificial intelligence and machine learning are revolutionizing climate adaptation through enhanced prediction, optimization, and decision support capabilities [65]. Deep learning models achieve superior performance in weather forecasting, flood prediction, and wildfire risk assessment compared to traditional numerical methods, with lead times extending from hours to weeks [66]. AI-driven climate downscaling techniques generate high-resolution local climate projections from coarse global models, enabling site-specific adaptation planning at a fraction of the computational cost of traditional dynamical downscaling [67]. Natural language processing and computer vision applications enable automated analysis of satellite imagery for deforestation monitoring, crop health assessment, and damage evaluation following extreme events [68]. Reinforcement learning algorithms optimize complex systems such as water distribution networks, energy grids, and traffic management under variable and uncertain climate conditions [69].</w:t>
      </w:r>
    </w:p>
    <w:p>
      <w:pPr>
        <w:spacing w:line="360" w:lineRule="auto" w:after="120"/>
      </w:pPr>
      <w:r>
        <w:rPr>
          <w:rFonts w:ascii="Times New Roman" w:hAnsi="Times New Roman"/>
          <w:b w:val="0"/>
          <w:i w:val="0"/>
          <w:sz w:val="24"/>
        </w:rPr>
        <w:t>The Internet of Things provides the sensing infrastructure essential for intelligent climate adaptation, deploying networks of connected sensors that monitor environmental conditions, infrastructure health, and resource flows in real time [70]. IoT-enabled smart water management systems detect leaks, optimize distribution, and predict demand under drought conditions, reducing water losses by 20–30% in pilot deployments [71]. Soil moisture sensors, weather stations, and drone-mounted multispectral cameras enable precision agriculture that optimizes irrigation, fertilization, and pest management, increasing yields while reducing resource consumption and environmental impact [72]. Digital twin technology creates virtual replicas of physical assets and systems, enabling simulation of climate scenarios, stress testing of infrastructure, and optimization of adaptation measures before physical implementation [73]. Urban digital twins integrate building energy models, transportation networks, green infrastructure, and climate projections to identify optimal adaptation pathways for cities, reducing planning costs and improving intervention effectiveness [74].</w:t>
      </w:r>
    </w:p>
    <w:p>
      <w:pPr>
        <w:pStyle w:val="Heading2"/>
      </w:pPr>
      <w:r>
        <w:rPr>
          <w:color w:val="000000"/>
        </w:rPr>
        <w:t>3.2 Smart Infrastructure, Renewable Energy, and Resource-Efficient Technologies</w:t>
      </w:r>
    </w:p>
    <w:p>
      <w:pPr>
        <w:spacing w:line="360" w:lineRule="auto" w:after="120"/>
      </w:pPr>
      <w:r>
        <w:rPr>
          <w:rFonts w:ascii="Times New Roman" w:hAnsi="Times New Roman"/>
          <w:b w:val="0"/>
          <w:i w:val="0"/>
          <w:sz w:val="24"/>
        </w:rPr>
        <w:t>Smart infrastructure integrates sensing, communication, and control capabilities into physical systems, enabling adaptive responses to changing environmental conditions and climate stressors [75]. Climate-resilient building design incorporates passive cooling strategies, adaptive facades, green roofs, and smart HVAC systems that adjust to extreme temperatures while minimizing energy consumption [76]. Smart grid technologies enable flexible, distributed energy systems that maintain reliability under climate-induced supply variability and demand spikes, integrating renewable generation, battery storage, and demand response mechanisms [77]. Nature-based solutions combined with engineered infrastructure—such as constructed wetlands for flood management and urban forests for heat mitigation—represent hybrid approaches that provide multiple co-benefits including carbon sequestration, biodiversity support, and improved human well-being [78].</w:t>
      </w:r>
    </w:p>
    <w:p>
      <w:pPr>
        <w:spacing w:line="360" w:lineRule="auto" w:after="120"/>
      </w:pPr>
      <w:r>
        <w:rPr>
          <w:rFonts w:ascii="Times New Roman" w:hAnsi="Times New Roman"/>
          <w:b w:val="0"/>
          <w:i w:val="0"/>
          <w:sz w:val="24"/>
        </w:rPr>
        <w:t>Renewable energy technologies serve dual roles in climate strategy: mitigating emissions through decarbonization while enhancing energy security and resilience through distributed generation [79]. Solar photovoltaic costs have declined by over 90% since 2010, making renewable energy competitive with or cheaper than fossil fuels in most markets, though climate change itself affects renewable resource availability through changes in solar irradiance, wind patterns, and hydropower capacity [80]. Advanced energy storage technologies—including lithium-ion batteries, flow batteries, green hydrogen, and thermal storage—address intermittency challenges and provide grid flexibility essential for climate resilience [81]. Resource-efficient technologies including water recycling and desalination, precision manufacturing, and circular material flows reduce climate vulnerability by decreasing dependence on climate-sensitive resources and reducing waste and emissions [82]. Table 3 presents a comparative assessment of intelligent eco-technologies for climate adaptation, including their maturity levels, cost-effectiveness, and scalability potential across different application domains.</w:t>
      </w:r>
    </w:p>
    <w:p>
      <w:pPr>
        <w:spacing w:line="360" w:lineRule="auto" w:after="120"/>
      </w:pPr>
      <w:r>
        <w:rPr>
          <w:rFonts w:ascii="Times New Roman" w:hAnsi="Times New Roman"/>
          <w:b w:val="0"/>
          <w:i w:val="0"/>
          <w:sz w:val="24"/>
        </w:rPr>
        <w:t>The convergence of smart infrastructure with renewable energy systems creates synergies that enhance both climate mitigation and adaptation outcomes. Microgrids combining local renewable generation with battery storage and intelligent load management provide energy resilience for critical facilities during grid outages caused by extreme weather events. Vehicle-to-grid technology transforms electric vehicle fleets into distributed energy storage assets, providing grid balancing services while supporting transportation decarbonization. Building-integrated photovoltaics and small-scale wind installations reduce distribution losses and grid congestion while providing on-site power generation that maintains functionality during wider system disruptions. The deployment of hydrogen as an energy carrier enables long-duration seasonal storage that addresses the intermittency challenges of variable renewable generation, while green hydrogen production from excess renewable capacity converts curtailed energy into storable and transportable fuel. These integrated approaches demonstrate that climate mitigation and adaptation are not competing objectives but complementary strategies that reinforce each other when deployed within coherent system architectures.</w:t>
      </w:r>
    </w:p>
    <w:p>
      <w:pPr>
        <w:spacing w:before="240" w:after="120"/>
        <w:jc w:val="center"/>
      </w:pPr>
      <w:r>
        <w:rPr>
          <w:rFonts w:ascii="Times New Roman" w:hAnsi="Times New Roman"/>
          <w:b/>
          <w:sz w:val="20"/>
        </w:rPr>
        <w:t>Table 3: Intelligent Eco-Technologies for Climate Adaptation—Comparative Assessment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Technology</w:t>
            </w:r>
          </w:p>
        </w:tc>
        <w:tc>
          <w:tcPr>
            <w:tcW w:type="dxa" w:w="1560"/>
          </w:tcPr>
          <w:p>
            <w:pPr>
              <w:jc w:val="center"/>
            </w:pPr>
            <w:r>
              <w:rPr>
                <w:rFonts w:ascii="Times New Roman" w:hAnsi="Times New Roman"/>
                <w:b/>
                <w:sz w:val="18"/>
              </w:rPr>
              <w:t>Application Domain</w:t>
            </w:r>
          </w:p>
        </w:tc>
        <w:tc>
          <w:tcPr>
            <w:tcW w:type="dxa" w:w="1560"/>
          </w:tcPr>
          <w:p>
            <w:pPr>
              <w:jc w:val="center"/>
            </w:pPr>
            <w:r>
              <w:rPr>
                <w:rFonts w:ascii="Times New Roman" w:hAnsi="Times New Roman"/>
                <w:b/>
                <w:sz w:val="18"/>
              </w:rPr>
              <w:t>Maturity (TRL)</w:t>
            </w:r>
          </w:p>
        </w:tc>
        <w:tc>
          <w:tcPr>
            <w:tcW w:type="dxa" w:w="1560"/>
          </w:tcPr>
          <w:p>
            <w:pPr>
              <w:jc w:val="center"/>
            </w:pPr>
            <w:r>
              <w:rPr>
                <w:rFonts w:ascii="Times New Roman" w:hAnsi="Times New Roman"/>
                <w:b/>
                <w:sz w:val="18"/>
              </w:rPr>
              <w:t>Cost-Effectiveness</w:t>
            </w:r>
          </w:p>
        </w:tc>
        <w:tc>
          <w:tcPr>
            <w:tcW w:type="dxa" w:w="1560"/>
          </w:tcPr>
          <w:p>
            <w:pPr>
              <w:jc w:val="center"/>
            </w:pPr>
            <w:r>
              <w:rPr>
                <w:rFonts w:ascii="Times New Roman" w:hAnsi="Times New Roman"/>
                <w:b/>
                <w:sz w:val="18"/>
              </w:rPr>
              <w:t>Scalability</w:t>
            </w:r>
          </w:p>
        </w:tc>
        <w:tc>
          <w:tcPr>
            <w:tcW w:type="dxa" w:w="1560"/>
          </w:tcPr>
          <w:p>
            <w:pPr>
              <w:jc w:val="center"/>
            </w:pPr>
            <w:r>
              <w:rPr>
                <w:rFonts w:ascii="Times New Roman" w:hAnsi="Times New Roman"/>
                <w:b/>
                <w:sz w:val="18"/>
              </w:rPr>
              <w:t>Climate Benefit</w:t>
            </w:r>
          </w:p>
        </w:tc>
      </w:tr>
      <w:tr>
        <w:tc>
          <w:tcPr>
            <w:tcW w:type="dxa" w:w="1560"/>
          </w:tcPr>
          <w:p>
            <w:pPr>
              <w:jc w:val="center"/>
            </w:pPr>
            <w:r>
              <w:rPr>
                <w:rFonts w:ascii="Times New Roman" w:hAnsi="Times New Roman"/>
                <w:sz w:val="18"/>
              </w:rPr>
              <w:t>AI/ML Climate Models</w:t>
            </w:r>
          </w:p>
        </w:tc>
        <w:tc>
          <w:tcPr>
            <w:tcW w:type="dxa" w:w="1560"/>
          </w:tcPr>
          <w:p>
            <w:pPr>
              <w:jc w:val="center"/>
            </w:pPr>
            <w:r>
              <w:rPr>
                <w:rFonts w:ascii="Times New Roman" w:hAnsi="Times New Roman"/>
                <w:sz w:val="18"/>
              </w:rPr>
              <w:t>Prediction &amp; Planning</w:t>
            </w:r>
          </w:p>
        </w:tc>
        <w:tc>
          <w:tcPr>
            <w:tcW w:type="dxa" w:w="1560"/>
          </w:tcPr>
          <w:p>
            <w:pPr>
              <w:jc w:val="center"/>
            </w:pPr>
            <w:r>
              <w:rPr>
                <w:rFonts w:ascii="Times New Roman" w:hAnsi="Times New Roman"/>
                <w:sz w:val="18"/>
              </w:rPr>
              <w:t>7–8</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Enhanced preparedness</w:t>
            </w:r>
          </w:p>
        </w:tc>
      </w:tr>
      <w:tr>
        <w:tc>
          <w:tcPr>
            <w:tcW w:type="dxa" w:w="1560"/>
          </w:tcPr>
          <w:p>
            <w:pPr>
              <w:jc w:val="center"/>
            </w:pPr>
            <w:r>
              <w:rPr>
                <w:rFonts w:ascii="Times New Roman" w:hAnsi="Times New Roman"/>
                <w:sz w:val="18"/>
              </w:rPr>
              <w:t>IoT Sensor Networks</w:t>
            </w:r>
          </w:p>
        </w:tc>
        <w:tc>
          <w:tcPr>
            <w:tcW w:type="dxa" w:w="1560"/>
          </w:tcPr>
          <w:p>
            <w:pPr>
              <w:jc w:val="center"/>
            </w:pPr>
            <w:r>
              <w:rPr>
                <w:rFonts w:ascii="Times New Roman" w:hAnsi="Times New Roman"/>
                <w:sz w:val="18"/>
              </w:rPr>
              <w:t>Real-time Monitoring</w:t>
            </w:r>
          </w:p>
        </w:tc>
        <w:tc>
          <w:tcPr>
            <w:tcW w:type="dxa" w:w="1560"/>
          </w:tcPr>
          <w:p>
            <w:pPr>
              <w:jc w:val="center"/>
            </w:pPr>
            <w:r>
              <w:rPr>
                <w:rFonts w:ascii="Times New Roman" w:hAnsi="Times New Roman"/>
                <w:sz w:val="18"/>
              </w:rPr>
              <w:t>8–9</w:t>
            </w:r>
          </w:p>
        </w:tc>
        <w:tc>
          <w:tcPr>
            <w:tcW w:type="dxa" w:w="1560"/>
          </w:tcPr>
          <w:p>
            <w:pPr>
              <w:jc w:val="center"/>
            </w:pPr>
            <w:r>
              <w:rPr>
                <w:rFonts w:ascii="Times New Roman" w:hAnsi="Times New Roman"/>
                <w:sz w:val="18"/>
              </w:rPr>
              <w:t>Moderate-High</w:t>
            </w:r>
          </w:p>
        </w:tc>
        <w:tc>
          <w:tcPr>
            <w:tcW w:type="dxa" w:w="1560"/>
          </w:tcPr>
          <w:p>
            <w:pPr>
              <w:jc w:val="center"/>
            </w:pPr>
            <w:r>
              <w:rPr>
                <w:rFonts w:ascii="Times New Roman" w:hAnsi="Times New Roman"/>
                <w:sz w:val="18"/>
              </w:rPr>
              <w:t>Very High</w:t>
            </w:r>
          </w:p>
        </w:tc>
        <w:tc>
          <w:tcPr>
            <w:tcW w:type="dxa" w:w="1560"/>
          </w:tcPr>
          <w:p>
            <w:pPr>
              <w:jc w:val="center"/>
            </w:pPr>
            <w:r>
              <w:rPr>
                <w:rFonts w:ascii="Times New Roman" w:hAnsi="Times New Roman"/>
                <w:sz w:val="18"/>
              </w:rPr>
              <w:t>Early detection</w:t>
            </w:r>
          </w:p>
        </w:tc>
      </w:tr>
      <w:tr>
        <w:tc>
          <w:tcPr>
            <w:tcW w:type="dxa" w:w="1560"/>
          </w:tcPr>
          <w:p>
            <w:pPr>
              <w:jc w:val="center"/>
            </w:pPr>
            <w:r>
              <w:rPr>
                <w:rFonts w:ascii="Times New Roman" w:hAnsi="Times New Roman"/>
                <w:sz w:val="18"/>
              </w:rPr>
              <w:t>Digital Twins</w:t>
            </w:r>
          </w:p>
        </w:tc>
        <w:tc>
          <w:tcPr>
            <w:tcW w:type="dxa" w:w="1560"/>
          </w:tcPr>
          <w:p>
            <w:pPr>
              <w:jc w:val="center"/>
            </w:pPr>
            <w:r>
              <w:rPr>
                <w:rFonts w:ascii="Times New Roman" w:hAnsi="Times New Roman"/>
                <w:sz w:val="18"/>
              </w:rPr>
              <w:t>Simulation &amp; Optimization</w:t>
            </w:r>
          </w:p>
        </w:tc>
        <w:tc>
          <w:tcPr>
            <w:tcW w:type="dxa" w:w="1560"/>
          </w:tcPr>
          <w:p>
            <w:pPr>
              <w:jc w:val="center"/>
            </w:pPr>
            <w:r>
              <w:rPr>
                <w:rFonts w:ascii="Times New Roman" w:hAnsi="Times New Roman"/>
                <w:sz w:val="18"/>
              </w:rPr>
              <w:t>6–7</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Risk reduction</w:t>
            </w:r>
          </w:p>
        </w:tc>
      </w:tr>
      <w:tr>
        <w:tc>
          <w:tcPr>
            <w:tcW w:type="dxa" w:w="1560"/>
          </w:tcPr>
          <w:p>
            <w:pPr>
              <w:jc w:val="center"/>
            </w:pPr>
            <w:r>
              <w:rPr>
                <w:rFonts w:ascii="Times New Roman" w:hAnsi="Times New Roman"/>
                <w:sz w:val="18"/>
              </w:rPr>
              <w:t>Smart Grids</w:t>
            </w:r>
          </w:p>
        </w:tc>
        <w:tc>
          <w:tcPr>
            <w:tcW w:type="dxa" w:w="1560"/>
          </w:tcPr>
          <w:p>
            <w:pPr>
              <w:jc w:val="center"/>
            </w:pPr>
            <w:r>
              <w:rPr>
                <w:rFonts w:ascii="Times New Roman" w:hAnsi="Times New Roman"/>
                <w:sz w:val="18"/>
              </w:rPr>
              <w:t>Energy Resilience</w:t>
            </w:r>
          </w:p>
        </w:tc>
        <w:tc>
          <w:tcPr>
            <w:tcW w:type="dxa" w:w="1560"/>
          </w:tcPr>
          <w:p>
            <w:pPr>
              <w:jc w:val="center"/>
            </w:pPr>
            <w:r>
              <w:rPr>
                <w:rFonts w:ascii="Times New Roman" w:hAnsi="Times New Roman"/>
                <w:sz w:val="18"/>
              </w:rPr>
              <w:t>8–9</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Supply security</w:t>
            </w:r>
          </w:p>
        </w:tc>
      </w:tr>
      <w:tr>
        <w:tc>
          <w:tcPr>
            <w:tcW w:type="dxa" w:w="1560"/>
          </w:tcPr>
          <w:p>
            <w:pPr>
              <w:jc w:val="center"/>
            </w:pPr>
            <w:r>
              <w:rPr>
                <w:rFonts w:ascii="Times New Roman" w:hAnsi="Times New Roman"/>
                <w:sz w:val="18"/>
              </w:rPr>
              <w:t>Precision Agriculture</w:t>
            </w:r>
          </w:p>
        </w:tc>
        <w:tc>
          <w:tcPr>
            <w:tcW w:type="dxa" w:w="1560"/>
          </w:tcPr>
          <w:p>
            <w:pPr>
              <w:jc w:val="center"/>
            </w:pPr>
            <w:r>
              <w:rPr>
                <w:rFonts w:ascii="Times New Roman" w:hAnsi="Times New Roman"/>
                <w:sz w:val="18"/>
              </w:rPr>
              <w:t>Food Security</w:t>
            </w:r>
          </w:p>
        </w:tc>
        <w:tc>
          <w:tcPr>
            <w:tcW w:type="dxa" w:w="1560"/>
          </w:tcPr>
          <w:p>
            <w:pPr>
              <w:jc w:val="center"/>
            </w:pPr>
            <w:r>
              <w:rPr>
                <w:rFonts w:ascii="Times New Roman" w:hAnsi="Times New Roman"/>
                <w:sz w:val="18"/>
              </w:rPr>
              <w:t>7–8</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Moderate-High</w:t>
            </w:r>
          </w:p>
        </w:tc>
        <w:tc>
          <w:tcPr>
            <w:tcW w:type="dxa" w:w="1560"/>
          </w:tcPr>
          <w:p>
            <w:pPr>
              <w:jc w:val="center"/>
            </w:pPr>
            <w:r>
              <w:rPr>
                <w:rFonts w:ascii="Times New Roman" w:hAnsi="Times New Roman"/>
                <w:sz w:val="18"/>
              </w:rPr>
              <w:t>Yield stability</w:t>
            </w:r>
          </w:p>
        </w:tc>
      </w:tr>
      <w:tr>
        <w:tc>
          <w:tcPr>
            <w:tcW w:type="dxa" w:w="1560"/>
          </w:tcPr>
          <w:p>
            <w:pPr>
              <w:jc w:val="center"/>
            </w:pPr>
            <w:r>
              <w:rPr>
                <w:rFonts w:ascii="Times New Roman" w:hAnsi="Times New Roman"/>
                <w:sz w:val="18"/>
              </w:rPr>
              <w:t>Green Hydrogen</w:t>
            </w:r>
          </w:p>
        </w:tc>
        <w:tc>
          <w:tcPr>
            <w:tcW w:type="dxa" w:w="1560"/>
          </w:tcPr>
          <w:p>
            <w:pPr>
              <w:jc w:val="center"/>
            </w:pPr>
            <w:r>
              <w:rPr>
                <w:rFonts w:ascii="Times New Roman" w:hAnsi="Times New Roman"/>
                <w:sz w:val="18"/>
              </w:rPr>
              <w:t>Energy Storage</w:t>
            </w:r>
          </w:p>
        </w:tc>
        <w:tc>
          <w:tcPr>
            <w:tcW w:type="dxa" w:w="1560"/>
          </w:tcPr>
          <w:p>
            <w:pPr>
              <w:jc w:val="center"/>
            </w:pPr>
            <w:r>
              <w:rPr>
                <w:rFonts w:ascii="Times New Roman" w:hAnsi="Times New Roman"/>
                <w:sz w:val="18"/>
              </w:rPr>
              <w:t>5–6</w:t>
            </w:r>
          </w:p>
        </w:tc>
        <w:tc>
          <w:tcPr>
            <w:tcW w:type="dxa" w:w="1560"/>
          </w:tcPr>
          <w:p>
            <w:pPr>
              <w:jc w:val="center"/>
            </w:pPr>
            <w:r>
              <w:rPr>
                <w:rFonts w:ascii="Times New Roman" w:hAnsi="Times New Roman"/>
                <w:sz w:val="18"/>
              </w:rPr>
              <w:t>Low-Moderate</w:t>
            </w:r>
          </w:p>
        </w:tc>
        <w:tc>
          <w:tcPr>
            <w:tcW w:type="dxa" w:w="1560"/>
          </w:tcPr>
          <w:p>
            <w:pPr>
              <w:jc w:val="center"/>
            </w:pPr>
            <w:r>
              <w:rPr>
                <w:rFonts w:ascii="Times New Roman" w:hAnsi="Times New Roman"/>
                <w:sz w:val="18"/>
              </w:rPr>
              <w:t>High (future)</w:t>
            </w:r>
          </w:p>
        </w:tc>
        <w:tc>
          <w:tcPr>
            <w:tcW w:type="dxa" w:w="1560"/>
          </w:tcPr>
          <w:p>
            <w:pPr>
              <w:jc w:val="center"/>
            </w:pPr>
            <w:r>
              <w:rPr>
                <w:rFonts w:ascii="Times New Roman" w:hAnsi="Times New Roman"/>
                <w:sz w:val="18"/>
              </w:rPr>
              <w:t>Decarbonization</w:t>
            </w:r>
          </w:p>
        </w:tc>
      </w:tr>
      <w:tr>
        <w:tc>
          <w:tcPr>
            <w:tcW w:type="dxa" w:w="1560"/>
          </w:tcPr>
          <w:p>
            <w:pPr>
              <w:jc w:val="center"/>
            </w:pPr>
            <w:r>
              <w:rPr>
                <w:rFonts w:ascii="Times New Roman" w:hAnsi="Times New Roman"/>
                <w:sz w:val="18"/>
              </w:rPr>
              <w:t>Nature-Based Solutions</w:t>
            </w:r>
          </w:p>
        </w:tc>
        <w:tc>
          <w:tcPr>
            <w:tcW w:type="dxa" w:w="1560"/>
          </w:tcPr>
          <w:p>
            <w:pPr>
              <w:jc w:val="center"/>
            </w:pPr>
            <w:r>
              <w:rPr>
                <w:rFonts w:ascii="Times New Roman" w:hAnsi="Times New Roman"/>
                <w:sz w:val="18"/>
              </w:rPr>
              <w:t>Multi-sector</w:t>
            </w:r>
          </w:p>
        </w:tc>
        <w:tc>
          <w:tcPr>
            <w:tcW w:type="dxa" w:w="1560"/>
          </w:tcPr>
          <w:p>
            <w:pPr>
              <w:jc w:val="center"/>
            </w:pPr>
            <w:r>
              <w:rPr>
                <w:rFonts w:ascii="Times New Roman" w:hAnsi="Times New Roman"/>
                <w:sz w:val="18"/>
              </w:rPr>
              <w:t>7–9</w:t>
            </w:r>
          </w:p>
        </w:tc>
        <w:tc>
          <w:tcPr>
            <w:tcW w:type="dxa" w:w="1560"/>
          </w:tcPr>
          <w:p>
            <w:pPr>
              <w:jc w:val="center"/>
            </w:pPr>
            <w:r>
              <w:rPr>
                <w:rFonts w:ascii="Times New Roman" w:hAnsi="Times New Roman"/>
                <w:sz w:val="18"/>
              </w:rPr>
              <w:t>Very High</w:t>
            </w:r>
          </w:p>
        </w:tc>
        <w:tc>
          <w:tcPr>
            <w:tcW w:type="dxa" w:w="1560"/>
          </w:tcPr>
          <w:p>
            <w:pPr>
              <w:jc w:val="center"/>
            </w:pPr>
            <w:r>
              <w:rPr>
                <w:rFonts w:ascii="Times New Roman" w:hAnsi="Times New Roman"/>
                <w:sz w:val="18"/>
              </w:rPr>
              <w:t>High</w:t>
            </w:r>
          </w:p>
        </w:tc>
        <w:tc>
          <w:tcPr>
            <w:tcW w:type="dxa" w:w="1560"/>
          </w:tcPr>
          <w:p>
            <w:pPr>
              <w:jc w:val="center"/>
            </w:pPr>
            <w:r>
              <w:rPr>
                <w:rFonts w:ascii="Times New Roman" w:hAnsi="Times New Roman"/>
                <w:sz w:val="18"/>
              </w:rPr>
              <w:t>Co-benefits</w:t>
            </w:r>
          </w:p>
        </w:tc>
      </w:tr>
      <w:tr>
        <w:tc>
          <w:tcPr>
            <w:tcW w:type="dxa" w:w="1560"/>
          </w:tcPr>
          <w:p>
            <w:pPr>
              <w:jc w:val="center"/>
            </w:pPr>
            <w:r>
              <w:rPr>
                <w:rFonts w:ascii="Times New Roman" w:hAnsi="Times New Roman"/>
                <w:sz w:val="18"/>
              </w:rPr>
              <w:t>Advanced Desalination</w:t>
            </w:r>
          </w:p>
        </w:tc>
        <w:tc>
          <w:tcPr>
            <w:tcW w:type="dxa" w:w="1560"/>
          </w:tcPr>
          <w:p>
            <w:pPr>
              <w:jc w:val="center"/>
            </w:pPr>
            <w:r>
              <w:rPr>
                <w:rFonts w:ascii="Times New Roman" w:hAnsi="Times New Roman"/>
                <w:sz w:val="18"/>
              </w:rPr>
              <w:t>Water Security</w:t>
            </w:r>
          </w:p>
        </w:tc>
        <w:tc>
          <w:tcPr>
            <w:tcW w:type="dxa" w:w="1560"/>
          </w:tcPr>
          <w:p>
            <w:pPr>
              <w:jc w:val="center"/>
            </w:pPr>
            <w:r>
              <w:rPr>
                <w:rFonts w:ascii="Times New Roman" w:hAnsi="Times New Roman"/>
                <w:sz w:val="18"/>
              </w:rPr>
              <w:t>7–8</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Moderate</w:t>
            </w:r>
          </w:p>
        </w:tc>
        <w:tc>
          <w:tcPr>
            <w:tcW w:type="dxa" w:w="1560"/>
          </w:tcPr>
          <w:p>
            <w:pPr>
              <w:jc w:val="center"/>
            </w:pPr>
            <w:r>
              <w:rPr>
                <w:rFonts w:ascii="Times New Roman" w:hAnsi="Times New Roman"/>
                <w:sz w:val="18"/>
              </w:rPr>
              <w:t>Drought resilience</w:t>
            </w:r>
          </w:p>
        </w:tc>
      </w:tr>
    </w:tbl>
    <w:p/>
    <w:p>
      <w:pPr>
        <w:pStyle w:val="Heading2"/>
      </w:pPr>
      <w:r>
        <w:rPr>
          <w:color w:val="000000"/>
        </w:rPr>
        <w:t>3.3 Data-Driven Early Warning Systems and Adaptive Environmental Management</w:t>
      </w:r>
    </w:p>
    <w:p>
      <w:pPr>
        <w:spacing w:line="360" w:lineRule="auto" w:after="120"/>
      </w:pPr>
      <w:r>
        <w:rPr>
          <w:rFonts w:ascii="Times New Roman" w:hAnsi="Times New Roman"/>
          <w:b w:val="0"/>
          <w:i w:val="0"/>
          <w:sz w:val="24"/>
        </w:rPr>
        <w:t>Early warning systems (EWS) represent one of the most cost-effective climate adaptation investments, with benefit-cost ratios ranging from 4:1 to 36:1 depending on the hazard and context [83]. Modern multi-hazard early warning systems integrate satellite remote sensing, ground-based observation networks, numerical weather prediction, and AI-enhanced nowcasting to provide actionable warnings with sufficient lead time for protective action [84]. The United Nations Early Warnings for All initiative aims to achieve universal coverage by 2027, recognizing that one-third of the global population—primarily in developing countries—lacks adequate warning coverage [85]. Impact-based forecasting represents a paradigm shift from hazard-centric to consequence-centric warnings, integrating exposure and vulnerability data to communicate expected impacts rather than meteorological parameters, improving public response and decision-maker action [86].</w:t>
      </w:r>
    </w:p>
    <w:p>
      <w:pPr>
        <w:spacing w:line="360" w:lineRule="auto" w:after="120"/>
      </w:pPr>
      <w:r>
        <w:rPr>
          <w:rFonts w:ascii="Times New Roman" w:hAnsi="Times New Roman"/>
          <w:b w:val="0"/>
          <w:i w:val="0"/>
          <w:sz w:val="24"/>
        </w:rPr>
        <w:t>Adaptive environmental management applies iterative, evidence-based approaches to natural resource management under climate uncertainty, continuously updating strategies based on monitoring data and emerging knowledge [87]. Ecosystem-based adaptation (EbA) leverages biodiversity and ecosystem services to reduce climate vulnerability, including mangrove restoration for coastal protection, watershed management for water security, and agroforestry for agricultural resilience [88]. Remote sensing and geospatial analytics enable landscape-scale monitoring of ecosystem health, land use change, and climate impact trajectories, informing adaptive management decisions at multiple scales [89]. The integration of citizen science, indigenous knowledge, and traditional ecological knowledge with technological monitoring systems enhances both the coverage and contextual relevance of environmental data, supporting more inclusive and effective adaptation planning [90]. The intelligent eco-technology framework depicted in Figure 3 demonstrates how these diverse technological components integrate into a coherent platform that enables proactive, data-driven climate adaptation across multiple sectors and scales.</w:t>
      </w:r>
    </w:p>
    <w:p>
      <w:pPr>
        <w:spacing w:line="360" w:lineRule="auto" w:after="120"/>
      </w:pPr>
      <w:r>
        <w:rPr>
          <w:rFonts w:ascii="Times New Roman" w:hAnsi="Times New Roman"/>
          <w:b w:val="0"/>
          <w:i w:val="0"/>
          <w:sz w:val="24"/>
        </w:rPr>
        <w:t>The scalability and sustainability of data-driven climate adaptation systems depend on addressing critical challenges including data interoperability, cybersecurity, energy consumption of digital infrastructure, and equitable access to technological benefits. Standardized data protocols and open-source platforms facilitate the integration of diverse data streams from multiple sensors, agencies, and jurisdictions into unified decision-support systems. Edge computing architectures enable local data processing and rapid response in remote or connectivity-limited settings, reducing dependence on centralized cloud infrastructure while maintaining analytical sophistication. The development of low-power IoT devices powered by energy harvesting technologies extends monitoring capabilities to resource-constrained environments, including rural agricultural landscapes, remote water catchments, and developing-country contexts where grid electricity remains unavailable. Capacity building for data literacy and technological skills within environmental management agencies ensures that advanced analytical tools translate into improved decision outcomes rather than becoming underutilized technological investments.</w:t>
      </w:r>
    </w:p>
    <w:p>
      <w:pPr>
        <w:pStyle w:val="Heading1"/>
      </w:pPr>
      <w:r>
        <w:rPr>
          <w:color w:val="000000"/>
        </w:rPr>
        <w:t>4. Adaptive Strategies for Sustainable and Resilient Economies</w:t>
      </w:r>
    </w:p>
    <w:p>
      <w:pPr>
        <w:spacing w:line="360" w:lineRule="auto" w:after="120"/>
      </w:pPr>
      <w:r>
        <w:rPr>
          <w:rFonts w:ascii="Times New Roman" w:hAnsi="Times New Roman"/>
          <w:b w:val="0"/>
          <w:i w:val="0"/>
          <w:sz w:val="24"/>
        </w:rPr>
        <w:t>Building climate-resilient economies requires fundamental transformation of economic structures, business models, policy frameworks, and financial systems [91]. Adaptive strategies must address both immediate climate risks and long-term structural vulnerabilities while ensuring that adaptation efforts are equitable, inclusive, and aligned with sustainable development objectives [92]. This section examines circular economy approaches, green finance mechanisms, and integrated policy pathways that collectively enable the transition toward intelligent, inclusive, and climate-resilient economies. As illustrated in Figure 4, the choice of adaptive strategy pathway significantly determines economic outcomes over the coming decades, with intelligent eco-technological transformation offering the most favorable long-term trajectory [93].</w:t>
      </w:r>
    </w:p>
    <w:p/>
    <w:p>
      <w:pPr>
        <w:jc w:val="center"/>
      </w:pPr>
      <w:r>
        <w:drawing>
          <wp:inline xmlns:a="http://schemas.openxmlformats.org/drawingml/2006/main" xmlns:pic="http://schemas.openxmlformats.org/drawingml/2006/picture">
            <wp:extent cx="5029200" cy="3505200"/>
            <wp:docPr id="4" name="Picture 4"/>
            <wp:cNvGraphicFramePr>
              <a:graphicFrameLocks noChangeAspect="1"/>
            </wp:cNvGraphicFramePr>
            <a:graphic>
              <a:graphicData uri="http://schemas.openxmlformats.org/drawingml/2006/picture">
                <pic:pic>
                  <pic:nvPicPr>
                    <pic:cNvPr id="0" name="Figure_4_Adaptive_Strategy_Pathways.png"/>
                    <pic:cNvPicPr/>
                  </pic:nvPicPr>
                  <pic:blipFill>
                    <a:blip r:embed="rId12"/>
                    <a:stretch>
                      <a:fillRect/>
                    </a:stretch>
                  </pic:blipFill>
                  <pic:spPr>
                    <a:xfrm>
                      <a:off x="0" y="0"/>
                      <a:ext cx="5029200" cy="3505200"/>
                    </a:xfrm>
                    <a:prstGeom prst="rect"/>
                  </pic:spPr>
                </pic:pic>
              </a:graphicData>
            </a:graphic>
          </wp:inline>
        </w:drawing>
      </w:r>
    </w:p>
    <w:p>
      <w:pPr>
        <w:spacing w:before="120" w:after="240"/>
        <w:jc w:val="center"/>
      </w:pPr>
      <w:r>
        <w:rPr>
          <w:rFonts w:ascii="Times New Roman" w:hAnsi="Times New Roman"/>
          <w:b/>
          <w:sz w:val="20"/>
        </w:rPr>
        <w:t>Figure 4: Adaptive Strategy Pathways and Economic Impact Scenarios (2025–2050), comparing GDP impact trajectories under business-as-usual, moderate adaptation, aggressive adaptation, and intelligent eco-technological transformation scenarios.</w:t>
      </w:r>
    </w:p>
    <w:p>
      <w:pPr>
        <w:pStyle w:val="Heading2"/>
      </w:pPr>
      <w:r>
        <w:rPr>
          <w:color w:val="000000"/>
        </w:rPr>
        <w:t>4.1 Circular Economy and Low-Carbon Business Models</w:t>
      </w:r>
    </w:p>
    <w:p>
      <w:pPr>
        <w:spacing w:line="360" w:lineRule="auto" w:after="120"/>
      </w:pPr>
      <w:r>
        <w:rPr>
          <w:rFonts w:ascii="Times New Roman" w:hAnsi="Times New Roman"/>
          <w:b w:val="0"/>
          <w:i w:val="0"/>
          <w:sz w:val="24"/>
        </w:rPr>
        <w:t>The circular economy paradigm offers a powerful framework for simultaneously addressing climate mitigation, adaptation, and resource security objectives [94]. By designing out waste, keeping materials in use, and regenerating natural systems, circular economy approaches reduce both emissions and resource vulnerability to climate disruption [95]. Studies estimate that circular economy strategies in key sectors—including steel, aluminum, cement, plastics, and food—could reduce global CO2 emissions by 3.7 billion tonnes annually by 2050, representing approximately 40% of the emissions reduction needed beyond renewable energy deployment [96]. Industrial symbiosis, where waste outputs from one process become inputs for another, creates localized resource cycles that reduce supply chain vulnerability while generating cost savings of 15–30% in participating facilities [97].</w:t>
      </w:r>
    </w:p>
    <w:p>
      <w:pPr>
        <w:spacing w:line="360" w:lineRule="auto" w:after="120"/>
      </w:pPr>
      <w:r>
        <w:rPr>
          <w:rFonts w:ascii="Times New Roman" w:hAnsi="Times New Roman"/>
          <w:b w:val="0"/>
          <w:i w:val="0"/>
          <w:sz w:val="24"/>
        </w:rPr>
        <w:t>Low-carbon business models are emerging across sectors, driven by regulatory pressure, investor expectations, consumer preferences, and competitive advantage from resource efficiency [98]. Product-as-a-service models shift ownership from consumers to manufacturers, incentivizing durability, repairability, and end-of-life recovery while reducing material throughput and associated emissions [99]. Digital platforms enable sharing economy applications that increase asset utilization, from vehicle sharing to shared manufacturing capacity, reducing the physical infrastructure needed to deliver economic services [100]. Regenerative agriculture integrates carbon sequestration with food production, offering economic returns through premium pricing, carbon credits, and reduced input costs while building soil health and climate resilience [101]. The transition to circular and low-carbon business models creates both opportunities and challenges for workers and communities dependent on linear, carbon-intensive industries, necessitating just transition policies that ensure equitable distribution of costs and benefits [102].</w:t>
      </w:r>
    </w:p>
    <w:p>
      <w:pPr>
        <w:spacing w:line="360" w:lineRule="auto" w:after="120"/>
      </w:pPr>
      <w:r>
        <w:rPr>
          <w:rFonts w:ascii="Times New Roman" w:hAnsi="Times New Roman"/>
          <w:b w:val="0"/>
          <w:i w:val="0"/>
          <w:sz w:val="24"/>
        </w:rPr>
        <w:t>The economic case for circular and low-carbon transitions is strengthening as resource prices become more volatile, carbon costs increase, and consumer demand shifts toward sustainable products and services. Life cycle assessment methodologies enable businesses to identify hotspots of environmental impact and economic inefficiency within their value chains, guiding targeted interventions that simultaneously reduce costs and emissions. Extended producer responsibility regulations incentivize design for recyclability and material recovery, creating new business opportunities in remanufacturing, refurbishment, and secondary material markets. Blockchain and digital product passport technologies enable transparent tracking of materials through supply chains, facilitating circular flows and providing consumers with verified sustainability information. The financial sector is increasingly developing metrics and frameworks to evaluate circular economy investments, recognizing that circular business models often exhibit greater resilience to supply disruptions, regulatory changes, and resource price volatility than their linear counterparts, thus representing lower risk-adjusted investment opportunities.</w:t>
      </w:r>
    </w:p>
    <w:p>
      <w:pPr>
        <w:pStyle w:val="Heading2"/>
      </w:pPr>
      <w:r>
        <w:rPr>
          <w:color w:val="000000"/>
        </w:rPr>
        <w:t>4.2 Policy, Green Finance, and Climate-Resilient Economic Planning</w:t>
      </w:r>
    </w:p>
    <w:p>
      <w:pPr>
        <w:spacing w:line="360" w:lineRule="auto" w:after="120"/>
      </w:pPr>
      <w:r>
        <w:rPr>
          <w:rFonts w:ascii="Times New Roman" w:hAnsi="Times New Roman"/>
          <w:b w:val="0"/>
          <w:i w:val="0"/>
          <w:sz w:val="24"/>
        </w:rPr>
        <w:t>Effective climate adaptation requires coherent policy frameworks that mainstream climate risk considerations across all sectors of economic planning and governance [103]. National Adaptation Plans (NAPs) provide strategic frameworks for identifying vulnerabilities, prioritizing interventions, and mobilizing resources, though implementation gaps remain significant in many countries [104]. Carbon pricing mechanisms—including emissions trading systems and carbon taxes—generate revenue that can fund adaptation investments while incentivizing emission reductions, with over 70 jurisdictions now implementing some form of carbon pricing covering approximately 23% of global emissions [105]. Regulatory frameworks increasingly require climate risk disclosure from corporations and financial institutions, creating transparency that enables markets to price climate risk more accurately and directing capital toward resilient investments [106].</w:t>
      </w:r>
    </w:p>
    <w:p>
      <w:pPr>
        <w:spacing w:line="360" w:lineRule="auto" w:after="120"/>
      </w:pPr>
      <w:r>
        <w:rPr>
          <w:rFonts w:ascii="Times New Roman" w:hAnsi="Times New Roman"/>
          <w:b w:val="0"/>
          <w:i w:val="0"/>
          <w:sz w:val="24"/>
        </w:rPr>
        <w:t>Green finance has experienced explosive growth, with global sustainable debt issuance exceeding USD 1.6 trillion in 2023, including green bonds, sustainability-linked loans, and climate adaptation finance [107]. However, a significant financing gap persists, with adaptation investment needs in developing countries estimated at USD 300–500 billion annually by 2030, far exceeding current flows of approximately USD 21 billion [108]. Innovative financing mechanisms including catastrophe bonds, resilience bonds, parametric insurance, and blended finance structures are expanding the toolkit for channeling private capital toward adaptation investments [109]. Climate-resilient economic planning integrates climate projections into national development strategies, infrastructure investment decisions, and land use planning, ensuring that development pathways are compatible with both mitigation targets and adaptation needs [110]. Table 4 summarizes the policy instruments and financial mechanisms supporting climate-resilient economic transformation, categorized by type, scale, and current implementation status.</w:t>
      </w:r>
    </w:p>
    <w:p>
      <w:pPr>
        <w:spacing w:before="240" w:after="120"/>
        <w:jc w:val="center"/>
      </w:pPr>
      <w:r>
        <w:rPr>
          <w:rFonts w:ascii="Times New Roman" w:hAnsi="Times New Roman"/>
          <w:b/>
          <w:sz w:val="20"/>
        </w:rPr>
        <w:t>Table 4: Policy Instruments and Financial Mechanisms for Climate-Resilient Economic Transformation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Instrument/Mechanism</w:t>
            </w:r>
          </w:p>
        </w:tc>
        <w:tc>
          <w:tcPr>
            <w:tcW w:type="dxa" w:w="1872"/>
          </w:tcPr>
          <w:p>
            <w:pPr>
              <w:jc w:val="center"/>
            </w:pPr>
            <w:r>
              <w:rPr>
                <w:rFonts w:ascii="Times New Roman" w:hAnsi="Times New Roman"/>
                <w:b/>
                <w:sz w:val="18"/>
              </w:rPr>
              <w:t>Type</w:t>
            </w:r>
          </w:p>
        </w:tc>
        <w:tc>
          <w:tcPr>
            <w:tcW w:type="dxa" w:w="1872"/>
          </w:tcPr>
          <w:p>
            <w:pPr>
              <w:jc w:val="center"/>
            </w:pPr>
            <w:r>
              <w:rPr>
                <w:rFonts w:ascii="Times New Roman" w:hAnsi="Times New Roman"/>
                <w:b/>
                <w:sz w:val="18"/>
              </w:rPr>
              <w:t>Scale of Impact</w:t>
            </w:r>
          </w:p>
        </w:tc>
        <w:tc>
          <w:tcPr>
            <w:tcW w:type="dxa" w:w="1872"/>
          </w:tcPr>
          <w:p>
            <w:pPr>
              <w:jc w:val="center"/>
            </w:pPr>
            <w:r>
              <w:rPr>
                <w:rFonts w:ascii="Times New Roman" w:hAnsi="Times New Roman"/>
                <w:b/>
                <w:sz w:val="18"/>
              </w:rPr>
              <w:t>Implementation Status</w:t>
            </w:r>
          </w:p>
        </w:tc>
        <w:tc>
          <w:tcPr>
            <w:tcW w:type="dxa" w:w="1872"/>
          </w:tcPr>
          <w:p>
            <w:pPr>
              <w:jc w:val="center"/>
            </w:pPr>
            <w:r>
              <w:rPr>
                <w:rFonts w:ascii="Times New Roman" w:hAnsi="Times New Roman"/>
                <w:b/>
                <w:sz w:val="18"/>
              </w:rPr>
              <w:t>Effectiveness Rating</w:t>
            </w:r>
          </w:p>
        </w:tc>
      </w:tr>
      <w:tr>
        <w:tc>
          <w:tcPr>
            <w:tcW w:type="dxa" w:w="1872"/>
          </w:tcPr>
          <w:p>
            <w:pPr>
              <w:jc w:val="center"/>
            </w:pPr>
            <w:r>
              <w:rPr>
                <w:rFonts w:ascii="Times New Roman" w:hAnsi="Times New Roman"/>
                <w:sz w:val="18"/>
              </w:rPr>
              <w:t>Carbon Pricing (ETS/Tax)</w:t>
            </w:r>
          </w:p>
        </w:tc>
        <w:tc>
          <w:tcPr>
            <w:tcW w:type="dxa" w:w="1872"/>
          </w:tcPr>
          <w:p>
            <w:pPr>
              <w:jc w:val="center"/>
            </w:pPr>
            <w:r>
              <w:rPr>
                <w:rFonts w:ascii="Times New Roman" w:hAnsi="Times New Roman"/>
                <w:sz w:val="18"/>
              </w:rPr>
              <w:t>Market-based</w:t>
            </w:r>
          </w:p>
        </w:tc>
        <w:tc>
          <w:tcPr>
            <w:tcW w:type="dxa" w:w="1872"/>
          </w:tcPr>
          <w:p>
            <w:pPr>
              <w:jc w:val="center"/>
            </w:pPr>
            <w:r>
              <w:rPr>
                <w:rFonts w:ascii="Times New Roman" w:hAnsi="Times New Roman"/>
                <w:sz w:val="18"/>
              </w:rPr>
              <w:t>National/Regional</w:t>
            </w:r>
          </w:p>
        </w:tc>
        <w:tc>
          <w:tcPr>
            <w:tcW w:type="dxa" w:w="1872"/>
          </w:tcPr>
          <w:p>
            <w:pPr>
              <w:jc w:val="center"/>
            </w:pPr>
            <w:r>
              <w:rPr>
                <w:rFonts w:ascii="Times New Roman" w:hAnsi="Times New Roman"/>
                <w:sz w:val="18"/>
              </w:rPr>
              <w:t>Widespread (70+ jurisdictions)</w:t>
            </w:r>
          </w:p>
        </w:tc>
        <w:tc>
          <w:tcPr>
            <w:tcW w:type="dxa" w:w="1872"/>
          </w:tcPr>
          <w:p>
            <w:pPr>
              <w:jc w:val="center"/>
            </w:pPr>
            <w:r>
              <w:rPr>
                <w:rFonts w:ascii="Times New Roman" w:hAnsi="Times New Roman"/>
                <w:sz w:val="18"/>
              </w:rPr>
              <w:t>High</w:t>
            </w:r>
          </w:p>
        </w:tc>
      </w:tr>
      <w:tr>
        <w:tc>
          <w:tcPr>
            <w:tcW w:type="dxa" w:w="1872"/>
          </w:tcPr>
          <w:p>
            <w:pPr>
              <w:jc w:val="center"/>
            </w:pPr>
            <w:r>
              <w:rPr>
                <w:rFonts w:ascii="Times New Roman" w:hAnsi="Times New Roman"/>
                <w:sz w:val="18"/>
              </w:rPr>
              <w:t>Green Bonds</w:t>
            </w:r>
          </w:p>
        </w:tc>
        <w:tc>
          <w:tcPr>
            <w:tcW w:type="dxa" w:w="1872"/>
          </w:tcPr>
          <w:p>
            <w:pPr>
              <w:jc w:val="center"/>
            </w:pPr>
            <w:r>
              <w:rPr>
                <w:rFonts w:ascii="Times New Roman" w:hAnsi="Times New Roman"/>
                <w:sz w:val="18"/>
              </w:rPr>
              <w:t>Financial</w:t>
            </w:r>
          </w:p>
        </w:tc>
        <w:tc>
          <w:tcPr>
            <w:tcW w:type="dxa" w:w="1872"/>
          </w:tcPr>
          <w:p>
            <w:pPr>
              <w:jc w:val="center"/>
            </w:pPr>
            <w:r>
              <w:rPr>
                <w:rFonts w:ascii="Times New Roman" w:hAnsi="Times New Roman"/>
                <w:sz w:val="18"/>
              </w:rPr>
              <w:t>Global</w:t>
            </w:r>
          </w:p>
        </w:tc>
        <w:tc>
          <w:tcPr>
            <w:tcW w:type="dxa" w:w="1872"/>
          </w:tcPr>
          <w:p>
            <w:pPr>
              <w:jc w:val="center"/>
            </w:pPr>
            <w:r>
              <w:rPr>
                <w:rFonts w:ascii="Times New Roman" w:hAnsi="Times New Roman"/>
                <w:sz w:val="18"/>
              </w:rPr>
              <w:t>Mature market (&gt;$500B/yr)</w:t>
            </w:r>
          </w:p>
        </w:tc>
        <w:tc>
          <w:tcPr>
            <w:tcW w:type="dxa" w:w="1872"/>
          </w:tcPr>
          <w:p>
            <w:pPr>
              <w:jc w:val="center"/>
            </w:pPr>
            <w:r>
              <w:rPr>
                <w:rFonts w:ascii="Times New Roman" w:hAnsi="Times New Roman"/>
                <w:sz w:val="18"/>
              </w:rPr>
              <w:t>Moderate-High</w:t>
            </w:r>
          </w:p>
        </w:tc>
      </w:tr>
      <w:tr>
        <w:tc>
          <w:tcPr>
            <w:tcW w:type="dxa" w:w="1872"/>
          </w:tcPr>
          <w:p>
            <w:pPr>
              <w:jc w:val="center"/>
            </w:pPr>
            <w:r>
              <w:rPr>
                <w:rFonts w:ascii="Times New Roman" w:hAnsi="Times New Roman"/>
                <w:sz w:val="18"/>
              </w:rPr>
              <w:t>Climate Risk Disclosure</w:t>
            </w:r>
          </w:p>
        </w:tc>
        <w:tc>
          <w:tcPr>
            <w:tcW w:type="dxa" w:w="1872"/>
          </w:tcPr>
          <w:p>
            <w:pPr>
              <w:jc w:val="center"/>
            </w:pPr>
            <w:r>
              <w:rPr>
                <w:rFonts w:ascii="Times New Roman" w:hAnsi="Times New Roman"/>
                <w:sz w:val="18"/>
              </w:rPr>
              <w:t>Regulatory</w:t>
            </w:r>
          </w:p>
        </w:tc>
        <w:tc>
          <w:tcPr>
            <w:tcW w:type="dxa" w:w="1872"/>
          </w:tcPr>
          <w:p>
            <w:pPr>
              <w:jc w:val="center"/>
            </w:pPr>
            <w:r>
              <w:rPr>
                <w:rFonts w:ascii="Times New Roman" w:hAnsi="Times New Roman"/>
                <w:sz w:val="18"/>
              </w:rPr>
              <w:t>Corporate/Financial</w:t>
            </w:r>
          </w:p>
        </w:tc>
        <w:tc>
          <w:tcPr>
            <w:tcW w:type="dxa" w:w="1872"/>
          </w:tcPr>
          <w:p>
            <w:pPr>
              <w:jc w:val="center"/>
            </w:pPr>
            <w:r>
              <w:rPr>
                <w:rFonts w:ascii="Times New Roman" w:hAnsi="Times New Roman"/>
                <w:sz w:val="18"/>
              </w:rPr>
              <w:t>Expanding rapidly</w:t>
            </w:r>
          </w:p>
        </w:tc>
        <w:tc>
          <w:tcPr>
            <w:tcW w:type="dxa" w:w="1872"/>
          </w:tcPr>
          <w:p>
            <w:pPr>
              <w:jc w:val="center"/>
            </w:pPr>
            <w:r>
              <w:rPr>
                <w:rFonts w:ascii="Times New Roman" w:hAnsi="Times New Roman"/>
                <w:sz w:val="18"/>
              </w:rPr>
              <w:t>Moderate</w:t>
            </w:r>
          </w:p>
        </w:tc>
      </w:tr>
      <w:tr>
        <w:tc>
          <w:tcPr>
            <w:tcW w:type="dxa" w:w="1872"/>
          </w:tcPr>
          <w:p>
            <w:pPr>
              <w:jc w:val="center"/>
            </w:pPr>
            <w:r>
              <w:rPr>
                <w:rFonts w:ascii="Times New Roman" w:hAnsi="Times New Roman"/>
                <w:sz w:val="18"/>
              </w:rPr>
              <w:t>National Adaptation Plans</w:t>
            </w:r>
          </w:p>
        </w:tc>
        <w:tc>
          <w:tcPr>
            <w:tcW w:type="dxa" w:w="1872"/>
          </w:tcPr>
          <w:p>
            <w:pPr>
              <w:jc w:val="center"/>
            </w:pPr>
            <w:r>
              <w:rPr>
                <w:rFonts w:ascii="Times New Roman" w:hAnsi="Times New Roman"/>
                <w:sz w:val="18"/>
              </w:rPr>
              <w:t>Strategic Planning</w:t>
            </w:r>
          </w:p>
        </w:tc>
        <w:tc>
          <w:tcPr>
            <w:tcW w:type="dxa" w:w="1872"/>
          </w:tcPr>
          <w:p>
            <w:pPr>
              <w:jc w:val="center"/>
            </w:pPr>
            <w:r>
              <w:rPr>
                <w:rFonts w:ascii="Times New Roman" w:hAnsi="Times New Roman"/>
                <w:sz w:val="18"/>
              </w:rPr>
              <w:t>National</w:t>
            </w:r>
          </w:p>
        </w:tc>
        <w:tc>
          <w:tcPr>
            <w:tcW w:type="dxa" w:w="1872"/>
          </w:tcPr>
          <w:p>
            <w:pPr>
              <w:jc w:val="center"/>
            </w:pPr>
            <w:r>
              <w:rPr>
                <w:rFonts w:ascii="Times New Roman" w:hAnsi="Times New Roman"/>
                <w:sz w:val="18"/>
              </w:rPr>
              <w:t>80+ countries</w:t>
            </w:r>
          </w:p>
        </w:tc>
        <w:tc>
          <w:tcPr>
            <w:tcW w:type="dxa" w:w="1872"/>
          </w:tcPr>
          <w:p>
            <w:pPr>
              <w:jc w:val="center"/>
            </w:pPr>
            <w:r>
              <w:rPr>
                <w:rFonts w:ascii="Times New Roman" w:hAnsi="Times New Roman"/>
                <w:sz w:val="18"/>
              </w:rPr>
              <w:t>Variable</w:t>
            </w:r>
          </w:p>
        </w:tc>
      </w:tr>
      <w:tr>
        <w:tc>
          <w:tcPr>
            <w:tcW w:type="dxa" w:w="1872"/>
          </w:tcPr>
          <w:p>
            <w:pPr>
              <w:jc w:val="center"/>
            </w:pPr>
            <w:r>
              <w:rPr>
                <w:rFonts w:ascii="Times New Roman" w:hAnsi="Times New Roman"/>
                <w:sz w:val="18"/>
              </w:rPr>
              <w:t>Parametric Insurance</w:t>
            </w:r>
          </w:p>
        </w:tc>
        <w:tc>
          <w:tcPr>
            <w:tcW w:type="dxa" w:w="1872"/>
          </w:tcPr>
          <w:p>
            <w:pPr>
              <w:jc w:val="center"/>
            </w:pPr>
            <w:r>
              <w:rPr>
                <w:rFonts w:ascii="Times New Roman" w:hAnsi="Times New Roman"/>
                <w:sz w:val="18"/>
              </w:rPr>
              <w:t>Risk Transfer</w:t>
            </w:r>
          </w:p>
        </w:tc>
        <w:tc>
          <w:tcPr>
            <w:tcW w:type="dxa" w:w="1872"/>
          </w:tcPr>
          <w:p>
            <w:pPr>
              <w:jc w:val="center"/>
            </w:pPr>
            <w:r>
              <w:rPr>
                <w:rFonts w:ascii="Times New Roman" w:hAnsi="Times New Roman"/>
                <w:sz w:val="18"/>
              </w:rPr>
              <w:t>Regional/National</w:t>
            </w:r>
          </w:p>
        </w:tc>
        <w:tc>
          <w:tcPr>
            <w:tcW w:type="dxa" w:w="1872"/>
          </w:tcPr>
          <w:p>
            <w:pPr>
              <w:jc w:val="center"/>
            </w:pPr>
            <w:r>
              <w:rPr>
                <w:rFonts w:ascii="Times New Roman" w:hAnsi="Times New Roman"/>
                <w:sz w:val="18"/>
              </w:rPr>
              <w:t>Growing</w:t>
            </w:r>
          </w:p>
        </w:tc>
        <w:tc>
          <w:tcPr>
            <w:tcW w:type="dxa" w:w="1872"/>
          </w:tcPr>
          <w:p>
            <w:pPr>
              <w:jc w:val="center"/>
            </w:pPr>
            <w:r>
              <w:rPr>
                <w:rFonts w:ascii="Times New Roman" w:hAnsi="Times New Roman"/>
                <w:sz w:val="18"/>
              </w:rPr>
              <w:t>High (where deployed)</w:t>
            </w:r>
          </w:p>
        </w:tc>
      </w:tr>
      <w:tr>
        <w:tc>
          <w:tcPr>
            <w:tcW w:type="dxa" w:w="1872"/>
          </w:tcPr>
          <w:p>
            <w:pPr>
              <w:jc w:val="center"/>
            </w:pPr>
            <w:r>
              <w:rPr>
                <w:rFonts w:ascii="Times New Roman" w:hAnsi="Times New Roman"/>
                <w:sz w:val="18"/>
              </w:rPr>
              <w:t>Blended Finance</w:t>
            </w:r>
          </w:p>
        </w:tc>
        <w:tc>
          <w:tcPr>
            <w:tcW w:type="dxa" w:w="1872"/>
          </w:tcPr>
          <w:p>
            <w:pPr>
              <w:jc w:val="center"/>
            </w:pPr>
            <w:r>
              <w:rPr>
                <w:rFonts w:ascii="Times New Roman" w:hAnsi="Times New Roman"/>
                <w:sz w:val="18"/>
              </w:rPr>
              <w:t>Financial</w:t>
            </w:r>
          </w:p>
        </w:tc>
        <w:tc>
          <w:tcPr>
            <w:tcW w:type="dxa" w:w="1872"/>
          </w:tcPr>
          <w:p>
            <w:pPr>
              <w:jc w:val="center"/>
            </w:pPr>
            <w:r>
              <w:rPr>
                <w:rFonts w:ascii="Times New Roman" w:hAnsi="Times New Roman"/>
                <w:sz w:val="18"/>
              </w:rPr>
              <w:t>Project/Sectoral</w:t>
            </w:r>
          </w:p>
        </w:tc>
        <w:tc>
          <w:tcPr>
            <w:tcW w:type="dxa" w:w="1872"/>
          </w:tcPr>
          <w:p>
            <w:pPr>
              <w:jc w:val="center"/>
            </w:pPr>
            <w:r>
              <w:rPr>
                <w:rFonts w:ascii="Times New Roman" w:hAnsi="Times New Roman"/>
                <w:sz w:val="18"/>
              </w:rPr>
              <w:t>Emerging</w:t>
            </w:r>
          </w:p>
        </w:tc>
        <w:tc>
          <w:tcPr>
            <w:tcW w:type="dxa" w:w="1872"/>
          </w:tcPr>
          <w:p>
            <w:pPr>
              <w:jc w:val="center"/>
            </w:pPr>
            <w:r>
              <w:rPr>
                <w:rFonts w:ascii="Times New Roman" w:hAnsi="Times New Roman"/>
                <w:sz w:val="18"/>
              </w:rPr>
              <w:t>Moderate</w:t>
            </w:r>
          </w:p>
        </w:tc>
      </w:tr>
      <w:tr>
        <w:tc>
          <w:tcPr>
            <w:tcW w:type="dxa" w:w="1872"/>
          </w:tcPr>
          <w:p>
            <w:pPr>
              <w:jc w:val="center"/>
            </w:pPr>
            <w:r>
              <w:rPr>
                <w:rFonts w:ascii="Times New Roman" w:hAnsi="Times New Roman"/>
                <w:sz w:val="18"/>
              </w:rPr>
              <w:t>Nature-Based Solutions Policy</w:t>
            </w:r>
          </w:p>
        </w:tc>
        <w:tc>
          <w:tcPr>
            <w:tcW w:type="dxa" w:w="1872"/>
          </w:tcPr>
          <w:p>
            <w:pPr>
              <w:jc w:val="center"/>
            </w:pPr>
            <w:r>
              <w:rPr>
                <w:rFonts w:ascii="Times New Roman" w:hAnsi="Times New Roman"/>
                <w:sz w:val="18"/>
              </w:rPr>
              <w:t>Regulatory/Incentive</w:t>
            </w:r>
          </w:p>
        </w:tc>
        <w:tc>
          <w:tcPr>
            <w:tcW w:type="dxa" w:w="1872"/>
          </w:tcPr>
          <w:p>
            <w:pPr>
              <w:jc w:val="center"/>
            </w:pPr>
            <w:r>
              <w:rPr>
                <w:rFonts w:ascii="Times New Roman" w:hAnsi="Times New Roman"/>
                <w:sz w:val="18"/>
              </w:rPr>
              <w:t>Local/National</w:t>
            </w:r>
          </w:p>
        </w:tc>
        <w:tc>
          <w:tcPr>
            <w:tcW w:type="dxa" w:w="1872"/>
          </w:tcPr>
          <w:p>
            <w:pPr>
              <w:jc w:val="center"/>
            </w:pPr>
            <w:r>
              <w:rPr>
                <w:rFonts w:ascii="Times New Roman" w:hAnsi="Times New Roman"/>
                <w:sz w:val="18"/>
              </w:rPr>
              <w:t>Increasing</w:t>
            </w:r>
          </w:p>
        </w:tc>
        <w:tc>
          <w:tcPr>
            <w:tcW w:type="dxa" w:w="1872"/>
          </w:tcPr>
          <w:p>
            <w:pPr>
              <w:jc w:val="center"/>
            </w:pPr>
            <w:r>
              <w:rPr>
                <w:rFonts w:ascii="Times New Roman" w:hAnsi="Times New Roman"/>
                <w:sz w:val="18"/>
              </w:rPr>
              <w:t>High</w:t>
            </w:r>
          </w:p>
        </w:tc>
      </w:tr>
      <w:tr>
        <w:tc>
          <w:tcPr>
            <w:tcW w:type="dxa" w:w="1872"/>
          </w:tcPr>
          <w:p>
            <w:pPr>
              <w:jc w:val="center"/>
            </w:pPr>
            <w:r>
              <w:rPr>
                <w:rFonts w:ascii="Times New Roman" w:hAnsi="Times New Roman"/>
                <w:sz w:val="18"/>
              </w:rPr>
              <w:t>Just Transition Frameworks</w:t>
            </w:r>
          </w:p>
        </w:tc>
        <w:tc>
          <w:tcPr>
            <w:tcW w:type="dxa" w:w="1872"/>
          </w:tcPr>
          <w:p>
            <w:pPr>
              <w:jc w:val="center"/>
            </w:pPr>
            <w:r>
              <w:rPr>
                <w:rFonts w:ascii="Times New Roman" w:hAnsi="Times New Roman"/>
                <w:sz w:val="18"/>
              </w:rPr>
              <w:t>Social Policy</w:t>
            </w:r>
          </w:p>
        </w:tc>
        <w:tc>
          <w:tcPr>
            <w:tcW w:type="dxa" w:w="1872"/>
          </w:tcPr>
          <w:p>
            <w:pPr>
              <w:jc w:val="center"/>
            </w:pPr>
            <w:r>
              <w:rPr>
                <w:rFonts w:ascii="Times New Roman" w:hAnsi="Times New Roman"/>
                <w:sz w:val="18"/>
              </w:rPr>
              <w:t>National/Sectoral</w:t>
            </w:r>
          </w:p>
        </w:tc>
        <w:tc>
          <w:tcPr>
            <w:tcW w:type="dxa" w:w="1872"/>
          </w:tcPr>
          <w:p>
            <w:pPr>
              <w:jc w:val="center"/>
            </w:pPr>
            <w:r>
              <w:rPr>
                <w:rFonts w:ascii="Times New Roman" w:hAnsi="Times New Roman"/>
                <w:sz w:val="18"/>
              </w:rPr>
              <w:t>Early stage</w:t>
            </w:r>
          </w:p>
        </w:tc>
        <w:tc>
          <w:tcPr>
            <w:tcW w:type="dxa" w:w="1872"/>
          </w:tcPr>
          <w:p>
            <w:pPr>
              <w:jc w:val="center"/>
            </w:pPr>
            <w:r>
              <w:rPr>
                <w:rFonts w:ascii="Times New Roman" w:hAnsi="Times New Roman"/>
                <w:sz w:val="18"/>
              </w:rPr>
              <w:t>Moderate</w:t>
            </w:r>
          </w:p>
        </w:tc>
      </w:tr>
    </w:tbl>
    <w:p/>
    <w:p>
      <w:pPr>
        <w:pStyle w:val="Heading2"/>
      </w:pPr>
      <w:r>
        <w:rPr>
          <w:color w:val="000000"/>
        </w:rPr>
        <w:t>4.3 Future Pathways for Intelligent, Inclusive, and Climate-Resilient Economies</w:t>
      </w:r>
    </w:p>
    <w:p>
      <w:pPr>
        <w:spacing w:line="360" w:lineRule="auto" w:after="120"/>
      </w:pPr>
      <w:r>
        <w:rPr>
          <w:rFonts w:ascii="Times New Roman" w:hAnsi="Times New Roman"/>
          <w:b w:val="0"/>
          <w:i w:val="0"/>
          <w:sz w:val="24"/>
        </w:rPr>
        <w:t>The transition toward climate-resilient economies requires integrated pathways that simultaneously address technological innovation, institutional transformation, social inclusion, and ecological sustainability [111]. Future economic systems must be designed for adaptability, incorporating modularity, redundancy, and diversity that enable rapid adjustment to changing climatic conditions without systemic failure [112]. The concept of regenerative economics—going beyond sustainability to actively restore ecological and social capital—offers a framework for economic development that builds resilience while addressing climate change root causes [113]. Intelligent eco-technologies serve as enablers of this transition, providing the monitoring, optimization, and coordination capabilities needed to manage complex socio-ecological-economic systems under climate uncertainty [114].</w:t>
      </w:r>
    </w:p>
    <w:p>
      <w:pPr>
        <w:spacing w:line="360" w:lineRule="auto" w:after="120"/>
      </w:pPr>
      <w:r>
        <w:rPr>
          <w:rFonts w:ascii="Times New Roman" w:hAnsi="Times New Roman"/>
          <w:b w:val="0"/>
          <w:i w:val="0"/>
          <w:sz w:val="24"/>
        </w:rPr>
        <w:t>Inclusive adaptation ensures that climate resilience benefits reach all segments of society, particularly marginalized and vulnerable communities who face the greatest climate risks with the least resources [115]. Gender-responsive adaptation recognizes and addresses the differentiated climate impacts on women and girls, who in many contexts bear disproportionate burdens from climate-related resource scarcity and livelihood disruption [116]. Youth engagement in climate adaptation brings innovation, technological literacy, and long-term perspective to resilience building, with young entrepreneurs increasingly driving eco-technology startups and social enterprises [117]. Indigenous and local knowledge systems offer time-tested adaptation strategies that complement technological solutions, and their integration into formal planning processes enriches both the knowledge base and the legitimacy of adaptation decisions [118].</w:t>
      </w:r>
    </w:p>
    <w:p>
      <w:pPr>
        <w:spacing w:line="360" w:lineRule="auto" w:after="120"/>
      </w:pPr>
      <w:r>
        <w:rPr>
          <w:rFonts w:ascii="Times New Roman" w:hAnsi="Times New Roman"/>
          <w:b w:val="0"/>
          <w:i w:val="0"/>
          <w:sz w:val="24"/>
        </w:rPr>
        <w:t>International cooperation remains essential for addressing the global commons dimension of climate change while supporting equitable adaptation across nations with vastly different capacities [119]. Technology transfer mechanisms, capacity building programs, and climate finance commitments under the Paris Agreement and subsequent COP decisions provide frameworks for international support, though delivery has consistently fallen short of pledges [120]. Regional cooperation on shared climate risks—including transboundary water management, coordinated disaster response, and harmonized adaptation standards—creates efficiencies and builds mutual resilience that individual national action cannot achieve [121]. The adaptive strategy pathway analysis presented in Figure 4 demonstrates that economies embracing intelligent eco-technological transformation can achieve net positive economic outcomes even under significant warming, while business-as-usual approaches lead to accelerating economic deterioration [122]. Ultimately, the transition to climate-resilient economies is not merely a defensive response to climate threats but an opportunity to build more equitable, efficient, and sustainable economic systems that deliver improved well-being for all within planetary boundaries [123].</w:t>
      </w:r>
    </w:p>
    <w:p>
      <w:pPr>
        <w:spacing w:line="360" w:lineRule="auto" w:after="120"/>
      </w:pPr>
      <w:r>
        <w:rPr>
          <w:rFonts w:ascii="Times New Roman" w:hAnsi="Times New Roman"/>
          <w:b w:val="0"/>
          <w:i w:val="0"/>
          <w:sz w:val="24"/>
        </w:rPr>
        <w:t>The governance architectures required for climate-resilient economies must operate across multiple scales, from local community-based adaptation initiatives to global frameworks for cooperation and finance. Polycentric governance approaches, which distribute authority across multiple overlapping jurisdictions and stakeholder groups, have shown promise in managing complex environmental challenges by enabling experimentation, learning, and redundancy. The role of cities and subnational governments in climate adaptation is increasingly recognized, with urban areas serving as laboratories for innovative policy approaches and technology deployment that can subsequently scale to national and international levels. Public-private partnerships leverage the respective strengths of government (regulatory authority, public mandate, long-term perspective) and private sector (innovation capacity, capital mobilization, operational efficiency) in delivering climate adaptation outcomes. The integration of climate resilience objectives into trade agreements, development finance institutions, and multilateral economic governance creates systemic incentives for adaptation investment while ensuring that trade and investment flows support rather than undermine climate resilience objectives.</w:t>
      </w:r>
    </w:p>
    <w:p>
      <w:pPr>
        <w:spacing w:line="360" w:lineRule="auto" w:after="120"/>
      </w:pPr>
      <w:r>
        <w:rPr>
          <w:rFonts w:ascii="Times New Roman" w:hAnsi="Times New Roman"/>
          <w:b w:val="0"/>
          <w:i w:val="0"/>
          <w:sz w:val="24"/>
        </w:rPr>
        <w:t>Looking ahead, the trajectory of climate-resilient economic development will be shaped by the interaction of technological innovation, institutional evolution, social mobilization, and geopolitical dynamics. The pace of artificial intelligence advancement, the cost trajectory of clean energy technologies, and the scalability of nature-based solutions will determine the technical feasibility of ambitious adaptation pathways. Equally important are the political economy dynamics that determine whether technological potential translates into deployed solutions at scale, including the management of incumbent industry resistance, the distribution of transition costs and benefits, and the mobilization of public support for transformative change. The window for effective adaptation action narrows with each year of delay, as both the magnitude of required adaptation increases and the residual time for implementation decreases. The choices made in the current decade regarding infrastructure investment, technology deployment, institutional reform, and international cooperation will largely determine whether the mid-century economy is characterized by cascading climate crises or by resilient, sustainable prosperity enabled by intelligent eco-technological transformation.</w:t>
      </w:r>
    </w:p>
    <w:p>
      <w:pPr>
        <w:pStyle w:val="Heading1"/>
      </w:pPr>
      <w:r>
        <w:rPr>
          <w:color w:val="000000"/>
        </w:rPr>
        <w:t>5. Conclusions</w:t>
      </w:r>
    </w:p>
    <w:p>
      <w:pPr>
        <w:spacing w:line="360" w:lineRule="auto" w:after="120"/>
      </w:pPr>
      <w:r>
        <w:rPr>
          <w:rFonts w:ascii="Times New Roman" w:hAnsi="Times New Roman"/>
          <w:b w:val="0"/>
          <w:i w:val="0"/>
          <w:sz w:val="24"/>
        </w:rPr>
        <w:t>This chapter has provided a comprehensive examination of the complex nexus between climate change, economic risk, and adaptive eco-technological strategies, demonstrating that climate change poses fundamental challenges to economic stability while simultaneously creating opportunities for transformative innovation and sustainable development. The analysis reveals several key findings and implications for policy, practice, and research.</w:t>
      </w:r>
    </w:p>
    <w:p>
      <w:pPr>
        <w:spacing w:line="360" w:lineRule="auto" w:after="120"/>
      </w:pPr>
      <w:r>
        <w:rPr>
          <w:rFonts w:ascii="Times New Roman" w:hAnsi="Times New Roman"/>
          <w:b w:val="0"/>
          <w:i w:val="0"/>
          <w:sz w:val="24"/>
        </w:rPr>
        <w:t>First, the economic consequences of climate change are accelerating and broadening, affecting virtually all sectors and regions through both direct physical impacts and indirect systemic risks. The non-linear nature of climate damages, combined with tipping point risks and cascading failures across interconnected systems, means that economic losses will escalate disproportionately under higher warming scenarios. Second, vulnerability assessment reveals stark inequalities in climate risk exposure and adaptive capacity, with developing nations, marginalized communities, and climate-sensitive sectors facing the most severe impacts despite contributing least to the problem. Addressing these inequalities is both a moral imperative and a practical necessity for global stability.</w:t>
      </w:r>
    </w:p>
    <w:p>
      <w:pPr>
        <w:spacing w:line="360" w:lineRule="auto" w:after="120"/>
      </w:pPr>
      <w:r>
        <w:rPr>
          <w:rFonts w:ascii="Times New Roman" w:hAnsi="Times New Roman"/>
          <w:b w:val="0"/>
          <w:i w:val="0"/>
          <w:sz w:val="24"/>
        </w:rPr>
        <w:t>Third, intelligent eco-technologies offer transformative potential for climate adaptation, enabling more precise, proactive, and cost-effective responses to climate risks. The integration of AI, IoT, digital twins, and smart infrastructure creates comprehensive resilience platforms that can anticipate, monitor, and respond to climate hazards in real time. However, technology deployment must be accompanied by institutional capacity, equitable access, and appropriate governance to realize its full potential. Fourth, adaptive economic strategies—including circular economy models, green finance mechanisms, and inclusive policy frameworks—provide the structural foundation for climate-resilient development. The pathway analysis demonstrates that economies pursuing aggressive adaptation combined with intelligent eco-technological transformation can achieve net positive economic outcomes, while those maintaining business-as-usual face accelerating deterioration.</w:t>
      </w:r>
    </w:p>
    <w:p>
      <w:pPr>
        <w:spacing w:line="360" w:lineRule="auto" w:after="120"/>
      </w:pPr>
      <w:r>
        <w:rPr>
          <w:rFonts w:ascii="Times New Roman" w:hAnsi="Times New Roman"/>
          <w:b w:val="0"/>
          <w:i w:val="0"/>
          <w:sz w:val="24"/>
        </w:rPr>
        <w:t>Future research priorities include developing improved models of cascading climate-economic risks, advancing AI applications for climate prediction and adaptation optimization, evaluating the effectiveness of emerging financial instruments for adaptation, and understanding the governance requirements for equitable technology deployment. The urgency of climate change demands immediate action across all fronts—technological, economic, institutional, and social—to build the resilient, sustainable, and inclusive economies that can thrive under the climatic conditions of the coming decades.</w:t>
      </w:r>
    </w:p>
    <w:p>
      <w:pPr>
        <w:spacing w:line="360" w:lineRule="auto" w:after="120"/>
      </w:pPr>
      <w:r>
        <w:rPr>
          <w:rFonts w:ascii="Times New Roman" w:hAnsi="Times New Roman"/>
          <w:b w:val="0"/>
          <w:i w:val="0"/>
          <w:sz w:val="24"/>
        </w:rPr>
        <w:t>The synthesis presented in this chapter underscores several actionable recommendations for policymakers, researchers, and practitioners. Investment in climate-resilient infrastructure should prioritize multi-functional solutions that deliver adaptation, mitigation, and development co-benefits simultaneously. Financial regulatory frameworks must evolve to fully incorporate climate risk into capital allocation decisions, ensuring that market signals direct investment toward resilient and sustainable activities. Technology governance frameworks should balance innovation incentives with equity considerations, ensuring that the benefits of intelligent eco-technologies reach vulnerable communities and developing nations. Cross-sector and cross-border collaboration is essential for addressing the systemic and transboundary nature of climate risks, requiring new institutional arrangements that facilitate information sharing, coordinated planning, and collective action. Education and capacity building must equip current and future workforces with the skills needed to develop, deploy, and maintain intelligent eco-technologies, while fostering the systems thinking and adaptive management capabilities essential for navigating climate uncertainty. The integration of indigenous knowledge with scientific approaches enriches the evidence base for adaptation and enhances the cultural appropriateness and social legitimacy of resilience interventions.</w:t>
      </w:r>
    </w:p>
    <w:p>
      <w:r>
        <w:br w:type="page"/>
      </w:r>
    </w:p>
    <w:p>
      <w:pPr>
        <w:pStyle w:val="Heading1"/>
      </w:pPr>
      <w:r>
        <w:rPr>
          <w:color w:val="000000"/>
        </w:rPr>
        <w:t>References</w:t>
      </w:r>
    </w:p>
    <w:p>
      <w:pPr>
        <w:spacing w:line="276" w:lineRule="auto" w:after="60"/>
      </w:pPr>
      <w:r>
        <w:rPr>
          <w:rFonts w:ascii="Times New Roman" w:hAnsi="Times New Roman"/>
          <w:sz w:val="20"/>
        </w:rPr>
        <w:t>[1] IPCC, Climate Change 2021: The Physical Science Basis. Contribution of Working Group I to the Sixth Assessment Report, Cambridge University Press, Cambridge, 2021.</w:t>
      </w:r>
    </w:p>
    <w:p>
      <w:pPr>
        <w:spacing w:line="276" w:lineRule="auto" w:after="60"/>
      </w:pPr>
      <w:r>
        <w:rPr>
          <w:rFonts w:ascii="Times New Roman" w:hAnsi="Times New Roman"/>
          <w:sz w:val="20"/>
        </w:rPr>
        <w:t>[2] M. Burke, S. Hsiang, E. Miguel, Global non-linear effect of temperature on economic production, Nature, 527 (2015) 235–239.</w:t>
      </w:r>
    </w:p>
    <w:p>
      <w:pPr>
        <w:spacing w:line="276" w:lineRule="auto" w:after="60"/>
      </w:pPr>
      <w:r>
        <w:rPr>
          <w:rFonts w:ascii="Times New Roman" w:hAnsi="Times New Roman"/>
          <w:sz w:val="20"/>
        </w:rPr>
        <w:t>[3] W. Steffen, J. Rockström, K. Richardson, et al., Trajectories of the Earth System in the Anthropocene, Proceedings of the National Academy of Sciences, 115 (2018) 8252–8259.</w:t>
      </w:r>
    </w:p>
    <w:p>
      <w:pPr>
        <w:spacing w:line="276" w:lineRule="auto" w:after="60"/>
      </w:pPr>
      <w:r>
        <w:rPr>
          <w:rFonts w:ascii="Times New Roman" w:hAnsi="Times New Roman"/>
          <w:sz w:val="20"/>
        </w:rPr>
        <w:t>[4] G.C. Nelson, A. Valin, R.D. Sands, et al., Climate change effects on agriculture: Economic responses to biophysical shocks, Proceedings of the National Academy of Sciences, 111 (2014) 3274–3279.</w:t>
      </w:r>
    </w:p>
    <w:p>
      <w:pPr>
        <w:spacing w:line="276" w:lineRule="auto" w:after="60"/>
      </w:pPr>
      <w:r>
        <w:rPr>
          <w:rFonts w:ascii="Times New Roman" w:hAnsi="Times New Roman"/>
          <w:sz w:val="20"/>
        </w:rPr>
        <w:t>[5] P. Friedlingstein, M.W. Jones, M. O'Sullivan, et al., Global Carbon Budget 2023, Earth System Science Data, 15 (2023) 5301–5369.</w:t>
      </w:r>
    </w:p>
    <w:p>
      <w:pPr>
        <w:spacing w:line="276" w:lineRule="auto" w:after="60"/>
      </w:pPr>
      <w:r>
        <w:rPr>
          <w:rFonts w:ascii="Times New Roman" w:hAnsi="Times New Roman"/>
          <w:sz w:val="20"/>
        </w:rPr>
        <w:t>[6] NOAA, Annual Greenhouse Gas Index, National Oceanic and Atmospheric Administration, 2024.</w:t>
      </w:r>
    </w:p>
    <w:p>
      <w:pPr>
        <w:spacing w:line="276" w:lineRule="auto" w:after="60"/>
      </w:pPr>
      <w:r>
        <w:rPr>
          <w:rFonts w:ascii="Times New Roman" w:hAnsi="Times New Roman"/>
          <w:sz w:val="20"/>
        </w:rPr>
        <w:t>[7] T.F. Stocker, D. Qin, G.K. Plattner, et al., Climate Change 2013: The Physical Science Basis, Cambridge University Press, 2013.</w:t>
      </w:r>
    </w:p>
    <w:p>
      <w:pPr>
        <w:spacing w:line="276" w:lineRule="auto" w:after="60"/>
      </w:pPr>
      <w:r>
        <w:rPr>
          <w:rFonts w:ascii="Times New Roman" w:hAnsi="Times New Roman"/>
          <w:sz w:val="20"/>
        </w:rPr>
        <w:t>[8] WCRP Global Sea Level Budget Group, Global sea-level budget 1993–present, Earth System Science Data, 10 (2018) 1551–1590.</w:t>
      </w:r>
    </w:p>
    <w:p>
      <w:pPr>
        <w:spacing w:line="276" w:lineRule="auto" w:after="60"/>
      </w:pPr>
      <w:r>
        <w:rPr>
          <w:rFonts w:ascii="Times New Roman" w:hAnsi="Times New Roman"/>
          <w:sz w:val="20"/>
        </w:rPr>
        <w:t>[9] S.E. Perkins-Kirkpatrick, S.C. Lewis, Increasing trends in regional heatwaves, Nature Communications, 11 (2020) 3357.</w:t>
      </w:r>
    </w:p>
    <w:p>
      <w:pPr>
        <w:spacing w:line="276" w:lineRule="auto" w:after="60"/>
      </w:pPr>
      <w:r>
        <w:rPr>
          <w:rFonts w:ascii="Times New Roman" w:hAnsi="Times New Roman"/>
          <w:sz w:val="20"/>
        </w:rPr>
        <w:t>[10] R. Allan, M. Barlow, M.P. Byrne, et al., Advances in understanding large-scale responses of the water cycle to climate change, Annals of the New York Academy of Sciences, 1472 (2020) 49–75.</w:t>
      </w:r>
    </w:p>
    <w:p>
      <w:pPr>
        <w:spacing w:line="276" w:lineRule="auto" w:after="60"/>
      </w:pPr>
      <w:r>
        <w:rPr>
          <w:rFonts w:ascii="Times New Roman" w:hAnsi="Times New Roman"/>
          <w:sz w:val="20"/>
        </w:rPr>
        <w:t>[11] M.C. Serreze, R.G. Barry, Processes and impacts of Arctic amplification: A research synthesis, Global and Planetary Change, 77 (2011) 85–96.</w:t>
      </w:r>
    </w:p>
    <w:p>
      <w:pPr>
        <w:spacing w:line="276" w:lineRule="auto" w:after="60"/>
      </w:pPr>
      <w:r>
        <w:rPr>
          <w:rFonts w:ascii="Times New Roman" w:hAnsi="Times New Roman"/>
          <w:sz w:val="20"/>
        </w:rPr>
        <w:t>[12] S. Cooley, D. Schoeman, L. Bopp, et al., Oceans and Coastal Ecosystems and Their Services, in: IPCC AR6 WGII, Cambridge University Press, 2022.</w:t>
      </w:r>
    </w:p>
    <w:p>
      <w:pPr>
        <w:spacing w:line="276" w:lineRule="auto" w:after="60"/>
      </w:pPr>
      <w:r>
        <w:rPr>
          <w:rFonts w:ascii="Times New Roman" w:hAnsi="Times New Roman"/>
          <w:sz w:val="20"/>
        </w:rPr>
        <w:t>[13] J. Zscheischler, S. Westra, B.J.J.M. van den Hurk, et al., Future climate risk from compound events, Nature Climate Change, 8 (2018) 469–477.</w:t>
      </w:r>
    </w:p>
    <w:p>
      <w:pPr>
        <w:spacing w:line="276" w:lineRule="auto" w:after="60"/>
      </w:pPr>
      <w:r>
        <w:rPr>
          <w:rFonts w:ascii="Times New Roman" w:hAnsi="Times New Roman"/>
          <w:sz w:val="20"/>
        </w:rPr>
        <w:t>[14] D.I. Armstrong McKay, A. Staal, J.F. Abrams, et al., Exceeding 1.5°C global warming could trigger multiple climate tipping points, Science, 377 (2022) eabn7950.</w:t>
      </w:r>
    </w:p>
    <w:p>
      <w:pPr>
        <w:spacing w:line="276" w:lineRule="auto" w:after="60"/>
      </w:pPr>
      <w:r>
        <w:rPr>
          <w:rFonts w:ascii="Times New Roman" w:hAnsi="Times New Roman"/>
          <w:sz w:val="20"/>
        </w:rPr>
        <w:t>[15] Munich Re, Natural catastrophe review 2023: Record thunderstorm losses, Munich Reinsurance Company, 2024.</w:t>
      </w:r>
    </w:p>
    <w:p>
      <w:pPr>
        <w:spacing w:line="276" w:lineRule="auto" w:after="60"/>
      </w:pPr>
      <w:r>
        <w:rPr>
          <w:rFonts w:ascii="Times New Roman" w:hAnsi="Times New Roman"/>
          <w:sz w:val="20"/>
        </w:rPr>
        <w:t>[16] S. Hallegatte, A. Vogt-Schilb, M. Bangalore, J. Rozenberg, Unbreakable: Building the Resilience of the Poor in the Face of Natural Disasters, World Bank, Washington DC, 2017.</w:t>
      </w:r>
    </w:p>
    <w:p>
      <w:pPr>
        <w:spacing w:line="276" w:lineRule="auto" w:after="60"/>
      </w:pPr>
      <w:r>
        <w:rPr>
          <w:rFonts w:ascii="Times New Roman" w:hAnsi="Times New Roman"/>
          <w:sz w:val="20"/>
        </w:rPr>
        <w:t>[17] Government of Pakistan, Pakistan Floods 2022: Post-Disaster Needs Assessment, Planning Commission, 2022.</w:t>
      </w:r>
    </w:p>
    <w:p>
      <w:pPr>
        <w:spacing w:line="276" w:lineRule="auto" w:after="60"/>
      </w:pPr>
      <w:r>
        <w:rPr>
          <w:rFonts w:ascii="Times New Roman" w:hAnsi="Times New Roman"/>
          <w:sz w:val="20"/>
        </w:rPr>
        <w:t>[18] D.B. Lobell, W. Schlenker, J. Costa-Roberts, Climate trends and global crop production since 1980, Science, 333 (2011) 616–620.</w:t>
      </w:r>
    </w:p>
    <w:p>
      <w:pPr>
        <w:spacing w:line="276" w:lineRule="auto" w:after="60"/>
      </w:pPr>
      <w:r>
        <w:rPr>
          <w:rFonts w:ascii="Times New Roman" w:hAnsi="Times New Roman"/>
          <w:sz w:val="20"/>
        </w:rPr>
        <w:t>[19] Swiss Re Institute, Sigma: Natural catastrophes in 2023, Swiss Re, Zurich, 2024.</w:t>
      </w:r>
    </w:p>
    <w:p>
      <w:pPr>
        <w:spacing w:line="276" w:lineRule="auto" w:after="60"/>
      </w:pPr>
      <w:r>
        <w:rPr>
          <w:rFonts w:ascii="Times New Roman" w:hAnsi="Times New Roman"/>
          <w:sz w:val="20"/>
        </w:rPr>
        <w:t>[20] International Labour Organization, Working on a Warmer Planet: The Impact of Heat Stress on Labour Productivity and Decent Work, ILO, Geneva, 2019.</w:t>
      </w:r>
    </w:p>
    <w:p>
      <w:pPr>
        <w:spacing w:line="276" w:lineRule="auto" w:after="60"/>
      </w:pPr>
      <w:r>
        <w:rPr>
          <w:rFonts w:ascii="Times New Roman" w:hAnsi="Times New Roman"/>
          <w:sz w:val="20"/>
        </w:rPr>
        <w:t>[21] M. van Vliet, J. Sheffield, D. Wiberg, E.F. Wood, Impacts of recent drought and warm years on water resources and electricity supply worldwide, Environmental Research Letters, 11 (2016) 124021.</w:t>
      </w:r>
    </w:p>
    <w:p>
      <w:pPr>
        <w:spacing w:line="276" w:lineRule="auto" w:after="60"/>
      </w:pPr>
      <w:r>
        <w:rPr>
          <w:rFonts w:ascii="Times New Roman" w:hAnsi="Times New Roman"/>
          <w:sz w:val="20"/>
        </w:rPr>
        <w:t>[22] Swiss Re Institute, The economics of climate change: no action not an option, Swiss Re, 2021.</w:t>
      </w:r>
    </w:p>
    <w:p>
      <w:pPr>
        <w:spacing w:line="276" w:lineRule="auto" w:after="60"/>
      </w:pPr>
      <w:r>
        <w:rPr>
          <w:rFonts w:ascii="Times New Roman" w:hAnsi="Times New Roman"/>
          <w:sz w:val="20"/>
        </w:rPr>
        <w:t>[23] S. Diffenbaugh, M. Burke, Global warming has increased global economic inequality, Proceedings of the National Academy of Sciences, 116 (2019) 9808–9813.</w:t>
      </w:r>
    </w:p>
    <w:p>
      <w:pPr>
        <w:spacing w:line="276" w:lineRule="auto" w:after="60"/>
      </w:pPr>
      <w:r>
        <w:rPr>
          <w:rFonts w:ascii="Times New Roman" w:hAnsi="Times New Roman"/>
          <w:sz w:val="20"/>
        </w:rPr>
        <w:t>[24] OECD, Climate-Resilient Infrastructure: Policy Perspectives, OECD Publishing, Paris, 2018.</w:t>
      </w:r>
    </w:p>
    <w:p>
      <w:pPr>
        <w:spacing w:line="276" w:lineRule="auto" w:after="60"/>
      </w:pPr>
      <w:r>
        <w:rPr>
          <w:rFonts w:ascii="Times New Roman" w:hAnsi="Times New Roman"/>
          <w:sz w:val="20"/>
        </w:rPr>
        <w:t>[25] C. Hanson, R. Nicholls, N. Ranger, et al., A global ranking of port cities with high exposure to climate extremes, Climatic Change, 104 (2011) 89–111.</w:t>
      </w:r>
    </w:p>
    <w:p>
      <w:pPr>
        <w:spacing w:line="276" w:lineRule="auto" w:after="60"/>
      </w:pPr>
      <w:r>
        <w:rPr>
          <w:rFonts w:ascii="Times New Roman" w:hAnsi="Times New Roman"/>
          <w:sz w:val="20"/>
        </w:rPr>
        <w:t>[26] Global Commission on Adaptation, Adapt Now: A Global Call for Leadership on Climate Resilience, World Resources Institute, 2019.</w:t>
      </w:r>
    </w:p>
    <w:p>
      <w:pPr>
        <w:spacing w:line="276" w:lineRule="auto" w:after="60"/>
      </w:pPr>
      <w:r>
        <w:rPr>
          <w:rFonts w:ascii="Times New Roman" w:hAnsi="Times New Roman"/>
          <w:sz w:val="20"/>
        </w:rPr>
        <w:t>[27] IEA, Climate Resilience for Energy Security, International Energy Agency, Paris, 2024.</w:t>
      </w:r>
    </w:p>
    <w:p>
      <w:pPr>
        <w:spacing w:line="276" w:lineRule="auto" w:after="60"/>
      </w:pPr>
      <w:r>
        <w:rPr>
          <w:rFonts w:ascii="Times New Roman" w:hAnsi="Times New Roman"/>
          <w:sz w:val="20"/>
        </w:rPr>
        <w:t>[28] Y. Sheffi, The Resilient Enterprise: Overcoming Vulnerability for Competitive Advantage, MIT Press, Cambridge, 2015.</w:t>
      </w:r>
    </w:p>
    <w:p>
      <w:pPr>
        <w:spacing w:line="276" w:lineRule="auto" w:after="60"/>
      </w:pPr>
      <w:r>
        <w:rPr>
          <w:rFonts w:ascii="Times New Roman" w:hAnsi="Times New Roman"/>
          <w:sz w:val="20"/>
        </w:rPr>
        <w:t>[29] P. Pant, F. Heinimann, M. Scholz, Supply chain risk management in a changing climate, Supply Chain Management Review, 28 (2023) 42–58.</w:t>
      </w:r>
    </w:p>
    <w:p>
      <w:pPr>
        <w:spacing w:line="276" w:lineRule="auto" w:after="60"/>
      </w:pPr>
      <w:r>
        <w:rPr>
          <w:rFonts w:ascii="Times New Roman" w:hAnsi="Times New Roman"/>
          <w:sz w:val="20"/>
        </w:rPr>
        <w:t>[30] World Bank, Thai Flood 2011: Rapid Assessment for Resilient Recovery and Reconstruction Planning, World Bank, 2012.</w:t>
      </w:r>
    </w:p>
    <w:p>
      <w:pPr>
        <w:spacing w:line="276" w:lineRule="auto" w:after="60"/>
      </w:pPr>
      <w:r>
        <w:rPr>
          <w:rFonts w:ascii="Times New Roman" w:hAnsi="Times New Roman"/>
          <w:sz w:val="20"/>
        </w:rPr>
        <w:t>[31] K. Kornhuber, D. Coumou, E. Vogel, et al., Amplified Rossby waves enhance risk of concurrent heatwaves in major breadbasket regions, Nature Climate Change, 10 (2020) 48–53.</w:t>
      </w:r>
    </w:p>
    <w:p>
      <w:pPr>
        <w:spacing w:line="276" w:lineRule="auto" w:after="60"/>
      </w:pPr>
      <w:r>
        <w:rPr>
          <w:rFonts w:ascii="Times New Roman" w:hAnsi="Times New Roman"/>
          <w:sz w:val="20"/>
        </w:rPr>
        <w:t>[32] UNDRR, Global Assessment Report on Disaster Risk Reduction 2022, United Nations, Geneva, 2022.</w:t>
      </w:r>
    </w:p>
    <w:p>
      <w:pPr>
        <w:spacing w:line="276" w:lineRule="auto" w:after="60"/>
      </w:pPr>
      <w:r>
        <w:rPr>
          <w:rFonts w:ascii="Times New Roman" w:hAnsi="Times New Roman"/>
          <w:sz w:val="20"/>
        </w:rPr>
        <w:t>[33] W.N. Adger, Vulnerability, Global Environmental Change, 16 (2006) 268–281.</w:t>
      </w:r>
    </w:p>
    <w:p>
      <w:pPr>
        <w:spacing w:line="276" w:lineRule="auto" w:after="60"/>
      </w:pPr>
      <w:r>
        <w:rPr>
          <w:rFonts w:ascii="Times New Roman" w:hAnsi="Times New Roman"/>
          <w:sz w:val="20"/>
        </w:rPr>
        <w:t>[34] R. Lempert, S. Popper, S. Bankes, Shaping the Next One Hundred Years: New Methods for Quantitative, Long-Term Policy Analysis, RAND Corporation, 2003.</w:t>
      </w:r>
    </w:p>
    <w:p>
      <w:pPr>
        <w:spacing w:line="276" w:lineRule="auto" w:after="60"/>
      </w:pPr>
      <w:r>
        <w:rPr>
          <w:rFonts w:ascii="Times New Roman" w:hAnsi="Times New Roman"/>
          <w:sz w:val="20"/>
        </w:rPr>
        <w:t>[35] IPCC, Climate Change 2022: Impacts, Adaptation and Vulnerability, Cambridge University Press, 2022.</w:t>
      </w:r>
    </w:p>
    <w:p>
      <w:pPr>
        <w:spacing w:line="276" w:lineRule="auto" w:after="60"/>
      </w:pPr>
      <w:r>
        <w:rPr>
          <w:rFonts w:ascii="Times New Roman" w:hAnsi="Times New Roman"/>
          <w:sz w:val="20"/>
        </w:rPr>
        <w:t>[36] C. Zhao, B. Liu, S. Piao, et al., Temperature increase reduces global yields of major crops, Proceedings of the National Academy of Sciences, 114 (2017) 9326–9331.</w:t>
      </w:r>
    </w:p>
    <w:p>
      <w:pPr>
        <w:spacing w:line="276" w:lineRule="auto" w:after="60"/>
      </w:pPr>
      <w:r>
        <w:rPr>
          <w:rFonts w:ascii="Times New Roman" w:hAnsi="Times New Roman"/>
          <w:sz w:val="20"/>
        </w:rPr>
        <w:t>[37] P. Gleick, Water, Drought, Climate Change, and Conflict in Syria, Weather, Climate, and Society, 6 (2014) 331–340.</w:t>
      </w:r>
    </w:p>
    <w:p>
      <w:pPr>
        <w:spacing w:line="276" w:lineRule="auto" w:after="60"/>
      </w:pPr>
      <w:r>
        <w:rPr>
          <w:rFonts w:ascii="Times New Roman" w:hAnsi="Times New Roman"/>
          <w:sz w:val="20"/>
        </w:rPr>
        <w:t>[38] D. Scott, C.M. Hall, S. Gössling, Global tourism vulnerability to climate change, Annals of Tourism Research, 77 (2019) 49–61.</w:t>
      </w:r>
    </w:p>
    <w:p>
      <w:pPr>
        <w:spacing w:line="276" w:lineRule="auto" w:after="60"/>
      </w:pPr>
      <w:r>
        <w:rPr>
          <w:rFonts w:ascii="Times New Roman" w:hAnsi="Times New Roman"/>
          <w:sz w:val="20"/>
        </w:rPr>
        <w:t>[39] ND-GAIN, Notre Dame Global Adaptation Initiative Country Index, University of Notre Dame, 2024.</w:t>
      </w:r>
    </w:p>
    <w:p>
      <w:pPr>
        <w:spacing w:line="276" w:lineRule="auto" w:after="60"/>
      </w:pPr>
      <w:r>
        <w:rPr>
          <w:rFonts w:ascii="Times New Roman" w:hAnsi="Times New Roman"/>
          <w:sz w:val="20"/>
        </w:rPr>
        <w:t>[40] World Bank, Turn Down the Heat: Confronting the New Climate Normal, World Bank, Washington DC, 2014.</w:t>
      </w:r>
    </w:p>
    <w:p>
      <w:pPr>
        <w:spacing w:line="276" w:lineRule="auto" w:after="60"/>
      </w:pPr>
      <w:r>
        <w:rPr>
          <w:rFonts w:ascii="Times New Roman" w:hAnsi="Times New Roman"/>
          <w:sz w:val="20"/>
        </w:rPr>
        <w:t>[41] UNFCCC, Adaptation in Small Island Developing States, United Nations Framework Convention on Climate Change, 2023.</w:t>
      </w:r>
    </w:p>
    <w:p>
      <w:pPr>
        <w:spacing w:line="276" w:lineRule="auto" w:after="60"/>
      </w:pPr>
      <w:r>
        <w:rPr>
          <w:rFonts w:ascii="Times New Roman" w:hAnsi="Times New Roman"/>
          <w:sz w:val="20"/>
        </w:rPr>
        <w:t>[42] R. Mendelsohn, A. Dinar, L. Williams, The distributional impact of climate change on rich and poor countries, Environment and Development Economics, 11 (2006) 159–178.</w:t>
      </w:r>
    </w:p>
    <w:p>
      <w:pPr>
        <w:spacing w:line="276" w:lineRule="auto" w:after="60"/>
      </w:pPr>
      <w:r>
        <w:rPr>
          <w:rFonts w:ascii="Times New Roman" w:hAnsi="Times New Roman"/>
          <w:sz w:val="20"/>
        </w:rPr>
        <w:t>[43] C. Rosenzweig, W. Solecki, P. Romero-Lankao, et al., Climate Change and Cities: Second Assessment Report of the Urban Climate Change Research Network, Cambridge University Press, 2018.</w:t>
      </w:r>
    </w:p>
    <w:p>
      <w:pPr>
        <w:spacing w:line="276" w:lineRule="auto" w:after="60"/>
      </w:pPr>
      <w:r>
        <w:rPr>
          <w:rFonts w:ascii="Times New Roman" w:hAnsi="Times New Roman"/>
          <w:sz w:val="20"/>
        </w:rPr>
        <w:t>[44] H. Fuss, J. Canadell, G. Peters, et al., Betting on negative emissions, Nature Climate Change, 4 (2014) 850–853.</w:t>
      </w:r>
    </w:p>
    <w:p>
      <w:pPr>
        <w:spacing w:line="276" w:lineRule="auto" w:after="60"/>
      </w:pPr>
      <w:r>
        <w:rPr>
          <w:rFonts w:ascii="Times New Roman" w:hAnsi="Times New Roman"/>
          <w:sz w:val="20"/>
        </w:rPr>
        <w:t>[45] M. Carney, Breaking the Tragedy of the Horizon—climate change and financial stability, Bank of England Speech, 2015.</w:t>
      </w:r>
    </w:p>
    <w:p>
      <w:pPr>
        <w:spacing w:line="276" w:lineRule="auto" w:after="60"/>
      </w:pPr>
      <w:r>
        <w:rPr>
          <w:rFonts w:ascii="Times New Roman" w:hAnsi="Times New Roman"/>
          <w:sz w:val="20"/>
        </w:rPr>
        <w:t>[46] TCFD, Recommendations of the Task Force on Climate-related Financial Disclosures, Financial Stability Board, 2017.</w:t>
      </w:r>
    </w:p>
    <w:p>
      <w:pPr>
        <w:spacing w:line="276" w:lineRule="auto" w:after="60"/>
      </w:pPr>
      <w:r>
        <w:rPr>
          <w:rFonts w:ascii="Times New Roman" w:hAnsi="Times New Roman"/>
          <w:sz w:val="20"/>
        </w:rPr>
        <w:t>[47] S. Battiston, A. Mandel, I. Monasterolo, et al., A climate stress-test of the financial system, Nature Climate Change, 7 (2017) 283–288.</w:t>
      </w:r>
    </w:p>
    <w:p>
      <w:pPr>
        <w:spacing w:line="276" w:lineRule="auto" w:after="60"/>
      </w:pPr>
      <w:r>
        <w:rPr>
          <w:rFonts w:ascii="Times New Roman" w:hAnsi="Times New Roman"/>
          <w:sz w:val="20"/>
        </w:rPr>
        <w:t>[48] Carbon Tracker Initiative, Unburnable Carbon: Are the World's Financial Markets Carrying a Carbon Bubble?, Carbon Tracker, London, 2022.</w:t>
      </w:r>
    </w:p>
    <w:p>
      <w:pPr>
        <w:spacing w:line="276" w:lineRule="auto" w:after="60"/>
      </w:pPr>
      <w:r>
        <w:rPr>
          <w:rFonts w:ascii="Times New Roman" w:hAnsi="Times New Roman"/>
          <w:sz w:val="20"/>
        </w:rPr>
        <w:t>[49] S. Hallegatte, Strategies to adapt to an uncertain climate change, Global Environmental Change, 19 (2009) 240–247.</w:t>
      </w:r>
    </w:p>
    <w:p>
      <w:pPr>
        <w:spacing w:line="276" w:lineRule="auto" w:after="60"/>
      </w:pPr>
      <w:r>
        <w:rPr>
          <w:rFonts w:ascii="Times New Roman" w:hAnsi="Times New Roman"/>
          <w:sz w:val="20"/>
        </w:rPr>
        <w:t>[50] NGFS, Climate Scenarios for Central Banks and Supervisors, Network for Greening the Financial System, 2023.</w:t>
      </w:r>
    </w:p>
    <w:p>
      <w:pPr>
        <w:spacing w:line="276" w:lineRule="auto" w:after="60"/>
      </w:pPr>
      <w:r>
        <w:rPr>
          <w:rFonts w:ascii="Times New Roman" w:hAnsi="Times New Roman"/>
          <w:sz w:val="20"/>
        </w:rPr>
        <w:t>[51] ECB, Climate risk stress test results, European Central Bank, Frankfurt, 2022.</w:t>
      </w:r>
    </w:p>
    <w:p>
      <w:pPr>
        <w:spacing w:line="276" w:lineRule="auto" w:after="60"/>
      </w:pPr>
      <w:r>
        <w:rPr>
          <w:rFonts w:ascii="Times New Roman" w:hAnsi="Times New Roman"/>
          <w:sz w:val="20"/>
        </w:rPr>
        <w:t>[52] I. Monasterolo, Climate change and the financial system, Annual Review of Resource Economics, 12 (2020) 299–320.</w:t>
      </w:r>
    </w:p>
    <w:p>
      <w:pPr>
        <w:spacing w:line="276" w:lineRule="auto" w:after="60"/>
      </w:pPr>
      <w:r>
        <w:rPr>
          <w:rFonts w:ascii="Times New Roman" w:hAnsi="Times New Roman"/>
          <w:sz w:val="20"/>
        </w:rPr>
        <w:t>[53] W. Nordhaus, Revisiting the social cost of carbon, Proceedings of the National Academy of Sciences, 114 (2017) 1518–1523.</w:t>
      </w:r>
    </w:p>
    <w:p>
      <w:pPr>
        <w:spacing w:line="276" w:lineRule="auto" w:after="60"/>
      </w:pPr>
      <w:r>
        <w:rPr>
          <w:rFonts w:ascii="Times New Roman" w:hAnsi="Times New Roman"/>
          <w:sz w:val="20"/>
        </w:rPr>
        <w:t>[54] N. Stern, The Economics of Climate Change: The Stern Review, Cambridge University Press, 2007.</w:t>
      </w:r>
    </w:p>
    <w:p>
      <w:pPr>
        <w:spacing w:line="276" w:lineRule="auto" w:after="60"/>
      </w:pPr>
      <w:r>
        <w:rPr>
          <w:rFonts w:ascii="Times New Roman" w:hAnsi="Times New Roman"/>
          <w:sz w:val="20"/>
        </w:rPr>
        <w:t>[55] B.C. O'Neill, E. Kriegler, K.L. Ebi, et al., The roads ahead: Narratives for shared socioeconomic pathways, Global Environmental Change, 42 (2017) 169–180.</w:t>
      </w:r>
    </w:p>
    <w:p>
      <w:pPr>
        <w:spacing w:line="276" w:lineRule="auto" w:after="60"/>
      </w:pPr>
      <w:r>
        <w:rPr>
          <w:rFonts w:ascii="Times New Roman" w:hAnsi="Times New Roman"/>
          <w:sz w:val="20"/>
        </w:rPr>
        <w:t>[56] S. Dietz, A. Bowen, C. Dixon, P. Gradwell, Climate value at risk of global financial assets, Nature Climate Change, 6 (2016) 676–679.</w:t>
      </w:r>
    </w:p>
    <w:p>
      <w:pPr>
        <w:spacing w:line="276" w:lineRule="auto" w:after="60"/>
      </w:pPr>
      <w:r>
        <w:rPr>
          <w:rFonts w:ascii="Times New Roman" w:hAnsi="Times New Roman"/>
          <w:sz w:val="20"/>
        </w:rPr>
        <w:t>[57] R.J. Lempert, D.G. Groves, Identifying and evaluating robust adaptive policy responses to climate change, Technological Forecasting and Social Change, 77 (2010) 960–974.</w:t>
      </w:r>
    </w:p>
    <w:p>
      <w:pPr>
        <w:spacing w:line="276" w:lineRule="auto" w:after="60"/>
      </w:pPr>
      <w:r>
        <w:rPr>
          <w:rFonts w:ascii="Times New Roman" w:hAnsi="Times New Roman"/>
          <w:sz w:val="20"/>
        </w:rPr>
        <w:t>[58] M. Haasnoot, J.H. Kwakkel, W.E. Walker, J. ter Maat, Dynamic adaptive policy pathways: A method for crafting robust decisions for a deeply uncertain world, Global Environmental Change, 23 (2013) 485–498.</w:t>
      </w:r>
    </w:p>
    <w:p>
      <w:pPr>
        <w:spacing w:line="276" w:lineRule="auto" w:after="60"/>
      </w:pPr>
      <w:r>
        <w:rPr>
          <w:rFonts w:ascii="Times New Roman" w:hAnsi="Times New Roman"/>
          <w:sz w:val="20"/>
        </w:rPr>
        <w:t>[59] B. Ranger, T. Reeder, J. Lowe, Addressing the value of information for adaptation under uncertainty, Global Environmental Change, 23 (2013) 1–6.</w:t>
      </w:r>
    </w:p>
    <w:p>
      <w:pPr>
        <w:spacing w:line="276" w:lineRule="auto" w:after="60"/>
      </w:pPr>
      <w:r>
        <w:rPr>
          <w:rFonts w:ascii="Times New Roman" w:hAnsi="Times New Roman"/>
          <w:sz w:val="20"/>
        </w:rPr>
        <w:t>[60] P. Watkiss, A. Hunt, Projection of economic impacts of climate change in sectors of Europe based on bottom up analysis, Climatic Change, 112 (2012) 741–758.</w:t>
      </w:r>
    </w:p>
    <w:p>
      <w:pPr>
        <w:spacing w:line="276" w:lineRule="auto" w:after="60"/>
      </w:pPr>
      <w:r>
        <w:rPr>
          <w:rFonts w:ascii="Times New Roman" w:hAnsi="Times New Roman"/>
          <w:sz w:val="20"/>
        </w:rPr>
        <w:t>[61] D. Rolnick, P.L. Donti, L.H. Kaack, et al., Tackling climate change with machine learning, ACM Computing Surveys, 55 (2022) 1–96.</w:t>
      </w:r>
    </w:p>
    <w:p>
      <w:pPr>
        <w:spacing w:line="276" w:lineRule="auto" w:after="60"/>
      </w:pPr>
      <w:r>
        <w:rPr>
          <w:rFonts w:ascii="Times New Roman" w:hAnsi="Times New Roman"/>
          <w:sz w:val="20"/>
        </w:rPr>
        <w:t>[62] R. Vinuesa, H. Azizpour, I. Leite, et al., The role of artificial intelligence in achieving the Sustainable Development Goals, Nature Communications, 11 (2020) 233.</w:t>
      </w:r>
    </w:p>
    <w:p>
      <w:pPr>
        <w:spacing w:line="276" w:lineRule="auto" w:after="60"/>
      </w:pPr>
      <w:r>
        <w:rPr>
          <w:rFonts w:ascii="Times New Roman" w:hAnsi="Times New Roman"/>
          <w:sz w:val="20"/>
        </w:rPr>
        <w:t>[63] A. Creutzig, J. Hilaire, G. Nemet, et al., The mutual dependence of negative emission technologies and energy systems, Energy &amp; Environmental Science, 12 (2019) 1805–1817.</w:t>
      </w:r>
    </w:p>
    <w:p>
      <w:pPr>
        <w:spacing w:line="276" w:lineRule="auto" w:after="60"/>
      </w:pPr>
      <w:r>
        <w:rPr>
          <w:rFonts w:ascii="Times New Roman" w:hAnsi="Times New Roman"/>
          <w:sz w:val="20"/>
        </w:rPr>
        <w:t>[64] ITU, Frontier Technologies to Protect the Environment and Tackle Climate Change, International Telecommunication Union, Geneva, 2023.</w:t>
      </w:r>
    </w:p>
    <w:p>
      <w:pPr>
        <w:spacing w:line="276" w:lineRule="auto" w:after="60"/>
      </w:pPr>
      <w:r>
        <w:rPr>
          <w:rFonts w:ascii="Times New Roman" w:hAnsi="Times New Roman"/>
          <w:sz w:val="20"/>
        </w:rPr>
        <w:t>[65] Y. LeCun, Y. Bengio, G. Hinton, Deep learning, Nature, 521 (2015) 436–444.</w:t>
      </w:r>
    </w:p>
    <w:p>
      <w:pPr>
        <w:spacing w:line="276" w:lineRule="auto" w:after="60"/>
      </w:pPr>
      <w:r>
        <w:rPr>
          <w:rFonts w:ascii="Times New Roman" w:hAnsi="Times New Roman"/>
          <w:sz w:val="20"/>
        </w:rPr>
        <w:t>[66] R. Lam, A. Sanchez-Gonzalez, M. Willson, et al., Learning skillful medium-range global weather forecasting, Science, 382 (2023) 1416–1421.</w:t>
      </w:r>
    </w:p>
    <w:p>
      <w:pPr>
        <w:spacing w:line="276" w:lineRule="auto" w:after="60"/>
      </w:pPr>
      <w:r>
        <w:rPr>
          <w:rFonts w:ascii="Times New Roman" w:hAnsi="Times New Roman"/>
          <w:sz w:val="20"/>
        </w:rPr>
        <w:t>[67] T. Vandal, E. Kodra, S. Ganguly, et al., DeepSD: Generating high fidelity daily climate projections, in: Proceedings of the 23rd ACM SIGKDD International Conference, 2017.</w:t>
      </w:r>
    </w:p>
    <w:p>
      <w:pPr>
        <w:spacing w:line="276" w:lineRule="auto" w:after="60"/>
      </w:pPr>
      <w:r>
        <w:rPr>
          <w:rFonts w:ascii="Times New Roman" w:hAnsi="Times New Roman"/>
          <w:sz w:val="20"/>
        </w:rPr>
        <w:t>[68] A. Rolf, J. Proctor, T. Carleton, et al., A generalizable and accessible approach to machine learning with global satellite imagery, Nature Communications, 12 (2021) 4392.</w:t>
      </w:r>
    </w:p>
    <w:p>
      <w:pPr>
        <w:spacing w:line="276" w:lineRule="auto" w:after="60"/>
      </w:pPr>
      <w:r>
        <w:rPr>
          <w:rFonts w:ascii="Times New Roman" w:hAnsi="Times New Roman"/>
          <w:sz w:val="20"/>
        </w:rPr>
        <w:t>[69] V. Mnih, K. Kavukcuoglu, D. Silver, et al., Human-level control through deep reinforcement learning, Nature, 518 (2015) 529–533.</w:t>
      </w:r>
    </w:p>
    <w:p>
      <w:pPr>
        <w:spacing w:line="276" w:lineRule="auto" w:after="60"/>
      </w:pPr>
      <w:r>
        <w:rPr>
          <w:rFonts w:ascii="Times New Roman" w:hAnsi="Times New Roman"/>
          <w:sz w:val="20"/>
        </w:rPr>
        <w:t>[70] L. Atzori, A. Iera, G. Morabito, The Internet of Things: A survey, Computer Networks, 54 (2010) 2787–2805.</w:t>
      </w:r>
    </w:p>
    <w:p>
      <w:pPr>
        <w:spacing w:line="276" w:lineRule="auto" w:after="60"/>
      </w:pPr>
      <w:r>
        <w:rPr>
          <w:rFonts w:ascii="Times New Roman" w:hAnsi="Times New Roman"/>
          <w:sz w:val="20"/>
        </w:rPr>
        <w:t>[71] M. Oberascher, J. Zischg, S.T. Palermo, et al., Smart water management using IoT: A review, Water Research, 189 (2021) 116609.</w:t>
      </w:r>
    </w:p>
    <w:p>
      <w:pPr>
        <w:spacing w:line="276" w:lineRule="auto" w:after="60"/>
      </w:pPr>
      <w:r>
        <w:rPr>
          <w:rFonts w:ascii="Times New Roman" w:hAnsi="Times New Roman"/>
          <w:sz w:val="20"/>
        </w:rPr>
        <w:t>[72] R. Gebbers, V.I. Adamchuk, Precision agriculture and food security, Science, 327 (2010) 828–831.</w:t>
      </w:r>
    </w:p>
    <w:p>
      <w:pPr>
        <w:spacing w:line="276" w:lineRule="auto" w:after="60"/>
      </w:pPr>
      <w:r>
        <w:rPr>
          <w:rFonts w:ascii="Times New Roman" w:hAnsi="Times New Roman"/>
          <w:sz w:val="20"/>
        </w:rPr>
        <w:t>[73] M. Grieves, J. Vickers, Digital twin: Mitigating unpredictable, undesirable emergent behavior in complex systems, in: Transdisciplinary Perspectives on Complex Systems, Springer, 2017.</w:t>
      </w:r>
    </w:p>
    <w:p>
      <w:pPr>
        <w:spacing w:line="276" w:lineRule="auto" w:after="60"/>
      </w:pPr>
      <w:r>
        <w:rPr>
          <w:rFonts w:ascii="Times New Roman" w:hAnsi="Times New Roman"/>
          <w:sz w:val="20"/>
        </w:rPr>
        <w:t>[74] F. Dembski, U. Wössner, M. Letzgus, et al., Urban Digital Twins for Smart Cities and Citizens, Sustainability, 12 (2020) 2612.</w:t>
      </w:r>
    </w:p>
    <w:p>
      <w:pPr>
        <w:spacing w:line="276" w:lineRule="auto" w:after="60"/>
      </w:pPr>
      <w:r>
        <w:rPr>
          <w:rFonts w:ascii="Times New Roman" w:hAnsi="Times New Roman"/>
          <w:sz w:val="20"/>
        </w:rPr>
        <w:t>[75] J.M. Sussman, Perspectives on Intelligent Transportation Systems (ITS), Springer, New York, 2005.</w:t>
      </w:r>
    </w:p>
    <w:p>
      <w:pPr>
        <w:spacing w:line="276" w:lineRule="auto" w:after="60"/>
      </w:pPr>
      <w:r>
        <w:rPr>
          <w:rFonts w:ascii="Times New Roman" w:hAnsi="Times New Roman"/>
          <w:sz w:val="20"/>
        </w:rPr>
        <w:t>[76] IEA, The Future of Cooling: Opportunities for energy-efficient air conditioning, International Energy Agency, Paris, 2018.</w:t>
      </w:r>
    </w:p>
    <w:p>
      <w:pPr>
        <w:spacing w:line="276" w:lineRule="auto" w:after="60"/>
      </w:pPr>
      <w:r>
        <w:rPr>
          <w:rFonts w:ascii="Times New Roman" w:hAnsi="Times New Roman"/>
          <w:sz w:val="20"/>
        </w:rPr>
        <w:t>[77] M.Z. Jacobson, M.A. Delucchi, Z.A.F. Bauer, et al., 100% clean and renewable wind, water, and sunlight all-sector energy roadmaps for 139 countries, Joule, 1 (2017) 108–121.</w:t>
      </w:r>
    </w:p>
    <w:p>
      <w:pPr>
        <w:spacing w:line="276" w:lineRule="auto" w:after="60"/>
      </w:pPr>
      <w:r>
        <w:rPr>
          <w:rFonts w:ascii="Times New Roman" w:hAnsi="Times New Roman"/>
          <w:sz w:val="20"/>
        </w:rPr>
        <w:t>[78] IUCN, Nature-based Solutions to Address Global Societal Challenges, International Union for Conservation of Nature, Gland, 2016.</w:t>
      </w:r>
    </w:p>
    <w:p>
      <w:pPr>
        <w:spacing w:line="276" w:lineRule="auto" w:after="60"/>
      </w:pPr>
      <w:r>
        <w:rPr>
          <w:rFonts w:ascii="Times New Roman" w:hAnsi="Times New Roman"/>
          <w:sz w:val="20"/>
        </w:rPr>
        <w:t>[79] IRENA, Renewable Power Generation Costs in 2023, International Renewable Energy Agency, Abu Dhabi, 2024.</w:t>
      </w:r>
    </w:p>
    <w:p>
      <w:pPr>
        <w:spacing w:line="276" w:lineRule="auto" w:after="60"/>
      </w:pPr>
      <w:r>
        <w:rPr>
          <w:rFonts w:ascii="Times New Roman" w:hAnsi="Times New Roman"/>
          <w:sz w:val="20"/>
        </w:rPr>
        <w:t>[80] IRENA, Future of Solar Photovoltaic: Deployment, Investment, Technology, Grid Integration and Socio-Economic Aspects, IRENA, Abu Dhabi, 2019.</w:t>
      </w:r>
    </w:p>
    <w:p>
      <w:pPr>
        <w:spacing w:line="276" w:lineRule="auto" w:after="60"/>
      </w:pPr>
      <w:r>
        <w:rPr>
          <w:rFonts w:ascii="Times New Roman" w:hAnsi="Times New Roman"/>
          <w:sz w:val="20"/>
        </w:rPr>
        <w:t>[81] O. Schmidt, A. Hawkes, A. Gambhir, I. Staffell, The future cost of electrical energy storage based on experience rates, Nature Energy, 2 (2017) 17110.</w:t>
      </w:r>
    </w:p>
    <w:p>
      <w:pPr>
        <w:spacing w:line="276" w:lineRule="auto" w:after="60"/>
      </w:pPr>
      <w:r>
        <w:rPr>
          <w:rFonts w:ascii="Times New Roman" w:hAnsi="Times New Roman"/>
          <w:sz w:val="20"/>
        </w:rPr>
        <w:t>[82] Ellen MacArthur Foundation, Completing the Picture: How the Circular Economy Tackles Climate Change, 2021.</w:t>
      </w:r>
    </w:p>
    <w:p>
      <w:pPr>
        <w:spacing w:line="276" w:lineRule="auto" w:after="60"/>
      </w:pPr>
      <w:r>
        <w:rPr>
          <w:rFonts w:ascii="Times New Roman" w:hAnsi="Times New Roman"/>
          <w:sz w:val="20"/>
        </w:rPr>
        <w:t>[83] S. Hallegatte, Benefits of investing in early warning systems, World Bank Background Report, 2012.</w:t>
      </w:r>
    </w:p>
    <w:p>
      <w:pPr>
        <w:spacing w:line="276" w:lineRule="auto" w:after="60"/>
      </w:pPr>
      <w:r>
        <w:rPr>
          <w:rFonts w:ascii="Times New Roman" w:hAnsi="Times New Roman"/>
          <w:sz w:val="20"/>
        </w:rPr>
        <w:t>[84] WMO, Multi-hazard Early Warning Systems: A Checklist, World Meteorological Organization, Geneva, 2018.</w:t>
      </w:r>
    </w:p>
    <w:p>
      <w:pPr>
        <w:spacing w:line="276" w:lineRule="auto" w:after="60"/>
      </w:pPr>
      <w:r>
        <w:rPr>
          <w:rFonts w:ascii="Times New Roman" w:hAnsi="Times New Roman"/>
          <w:sz w:val="20"/>
        </w:rPr>
        <w:t>[85] United Nations, Early Warnings for All: The UN Global Early Warning Initiative for the Implementation of Climate Adaptation, UN, 2022.</w:t>
      </w:r>
    </w:p>
    <w:p>
      <w:pPr>
        <w:spacing w:line="276" w:lineRule="auto" w:after="60"/>
      </w:pPr>
      <w:r>
        <w:rPr>
          <w:rFonts w:ascii="Times New Roman" w:hAnsi="Times New Roman"/>
          <w:sz w:val="20"/>
        </w:rPr>
        <w:t>[86] M. Merz, F. Kuhlicke, V. Kunz, et al., Impact forecasting to support emergency management of natural hazards, Reviews of Geophysics, 58 (2020) e2020RG000704.</w:t>
      </w:r>
    </w:p>
    <w:p>
      <w:pPr>
        <w:spacing w:line="276" w:lineRule="auto" w:after="60"/>
      </w:pPr>
      <w:r>
        <w:rPr>
          <w:rFonts w:ascii="Times New Roman" w:hAnsi="Times New Roman"/>
          <w:sz w:val="20"/>
        </w:rPr>
        <w:t>[87] C.S. Holling, Adaptive Environmental Assessment and Management, John Wiley &amp; Sons, 1978.</w:t>
      </w:r>
    </w:p>
    <w:p>
      <w:pPr>
        <w:spacing w:line="276" w:lineRule="auto" w:after="60"/>
      </w:pPr>
      <w:r>
        <w:rPr>
          <w:rFonts w:ascii="Times New Roman" w:hAnsi="Times New Roman"/>
          <w:sz w:val="20"/>
        </w:rPr>
        <w:t>[88] R. Munang, I. Thiaw, K. Alverson, et al., The role of ecosystem services in climate change adaptation and disaster risk reduction, Current Opinion in Environmental Sustainability, 5 (2013) 47–52.</w:t>
      </w:r>
    </w:p>
    <w:p>
      <w:pPr>
        <w:spacing w:line="276" w:lineRule="auto" w:after="60"/>
      </w:pPr>
      <w:r>
        <w:rPr>
          <w:rFonts w:ascii="Times New Roman" w:hAnsi="Times New Roman"/>
          <w:sz w:val="20"/>
        </w:rPr>
        <w:t>[89] G.J. Asner, R.E. Martin, R. Anderson, D.E. Knapp, Quantifying forest canopy traits: Imaging spectroscopy versus field survey, Remote Sensing of Environment, 158 (2015) 15–27.</w:t>
      </w:r>
    </w:p>
    <w:p>
      <w:pPr>
        <w:spacing w:line="276" w:lineRule="auto" w:after="60"/>
      </w:pPr>
      <w:r>
        <w:rPr>
          <w:rFonts w:ascii="Times New Roman" w:hAnsi="Times New Roman"/>
          <w:sz w:val="20"/>
        </w:rPr>
        <w:t>[90] D. Tengö, E.S. Brondizio, T. Elmqvist, et al., Connecting diverse knowledge systems for enhanced ecosystem governance, Ambio, 43 (2014) 579–591.</w:t>
      </w:r>
    </w:p>
    <w:p>
      <w:pPr>
        <w:spacing w:line="276" w:lineRule="auto" w:after="60"/>
      </w:pPr>
      <w:r>
        <w:rPr>
          <w:rFonts w:ascii="Times New Roman" w:hAnsi="Times New Roman"/>
          <w:sz w:val="20"/>
        </w:rPr>
        <w:t>[91] Global Commission on the Economy and Climate, The New Climate Economy Report, World Resources Institute, 2018.</w:t>
      </w:r>
    </w:p>
    <w:p>
      <w:pPr>
        <w:spacing w:line="276" w:lineRule="auto" w:after="60"/>
      </w:pPr>
      <w:r>
        <w:rPr>
          <w:rFonts w:ascii="Times New Roman" w:hAnsi="Times New Roman"/>
          <w:sz w:val="20"/>
        </w:rPr>
        <w:t>[92] IPCC, Climate Change 2022: Mitigation of Climate Change, Cambridge University Press, 2022.</w:t>
      </w:r>
    </w:p>
    <w:p>
      <w:pPr>
        <w:spacing w:line="276" w:lineRule="auto" w:after="60"/>
      </w:pPr>
      <w:r>
        <w:rPr>
          <w:rFonts w:ascii="Times New Roman" w:hAnsi="Times New Roman"/>
          <w:sz w:val="20"/>
        </w:rPr>
        <w:t>[93] S. Fankhauser, S.M. Smith, M. Allen, et al., The meaning of net zero and how to get it right, Nature Climate Change, 12 (2022) 15–21.</w:t>
      </w:r>
    </w:p>
    <w:p>
      <w:pPr>
        <w:spacing w:line="276" w:lineRule="auto" w:after="60"/>
      </w:pPr>
      <w:r>
        <w:rPr>
          <w:rFonts w:ascii="Times New Roman" w:hAnsi="Times New Roman"/>
          <w:sz w:val="20"/>
        </w:rPr>
        <w:t>[94] M. Geissdoerfer, P. Savaget, N.M.P. Bocken, E.J. Hultink, The Circular Economy—A new sustainability paradigm?, Journal of Cleaner Production, 143 (2017) 757–768.</w:t>
      </w:r>
    </w:p>
    <w:p>
      <w:pPr>
        <w:spacing w:line="276" w:lineRule="auto" w:after="60"/>
      </w:pPr>
      <w:r>
        <w:rPr>
          <w:rFonts w:ascii="Times New Roman" w:hAnsi="Times New Roman"/>
          <w:sz w:val="20"/>
        </w:rPr>
        <w:t>[95] P. Ghisellini, C. Cialani, S. Ulgiati, A review on circular economy: The expected transition to a balanced interplay of environmental and economic systems, Journal of Cleaner Production, 114 (2016) 11–32.</w:t>
      </w:r>
    </w:p>
    <w:p>
      <w:pPr>
        <w:spacing w:line="276" w:lineRule="auto" w:after="60"/>
      </w:pPr>
      <w:r>
        <w:rPr>
          <w:rFonts w:ascii="Times New Roman" w:hAnsi="Times New Roman"/>
          <w:sz w:val="20"/>
        </w:rPr>
        <w:t>[96] Material Economics, The Circular Economy—A Powerful Force for Climate Mitigation, Material Economics, Stockholm, 2018.</w:t>
      </w:r>
    </w:p>
    <w:p>
      <w:pPr>
        <w:spacing w:line="276" w:lineRule="auto" w:after="60"/>
      </w:pPr>
      <w:r>
        <w:rPr>
          <w:rFonts w:ascii="Times New Roman" w:hAnsi="Times New Roman"/>
          <w:sz w:val="20"/>
        </w:rPr>
        <w:t>[97] M. Chertow, Industrial symbiosis: Literature and taxonomy, Annual Review of Energy and the Environment, 25 (2000) 313–337.</w:t>
      </w:r>
    </w:p>
    <w:p>
      <w:pPr>
        <w:spacing w:line="276" w:lineRule="auto" w:after="60"/>
      </w:pPr>
      <w:r>
        <w:rPr>
          <w:rFonts w:ascii="Times New Roman" w:hAnsi="Times New Roman"/>
          <w:sz w:val="20"/>
        </w:rPr>
        <w:t>[98] A. Bocken, S. Short, P. Rana, S. Evans, A literature and practice review to develop sustainable business model archetypes, Journal of Cleaner Production, 65 (2014) 42–56.</w:t>
      </w:r>
    </w:p>
    <w:p>
      <w:pPr>
        <w:spacing w:line="276" w:lineRule="auto" w:after="60"/>
      </w:pPr>
      <w:r>
        <w:rPr>
          <w:rFonts w:ascii="Times New Roman" w:hAnsi="Times New Roman"/>
          <w:sz w:val="20"/>
        </w:rPr>
        <w:t>[99] A. Tukker, Eight types of product-service system: Eight ways to sustainability?, Business Strategy and the Environment, 13 (2004) 246–260.</w:t>
      </w:r>
    </w:p>
    <w:p>
      <w:pPr>
        <w:spacing w:line="276" w:lineRule="auto" w:after="60"/>
      </w:pPr>
      <w:r>
        <w:rPr>
          <w:rFonts w:ascii="Times New Roman" w:hAnsi="Times New Roman"/>
          <w:sz w:val="20"/>
        </w:rPr>
        <w:t>[100] J. Hamari, M. Sjöklint, A. Ukkonen, The sharing economy: Why people participate in collaborative consumption, Journal of the Association for Information Science and Technology, 67 (2016) 2047–2059.</w:t>
      </w:r>
    </w:p>
    <w:p>
      <w:pPr>
        <w:spacing w:line="276" w:lineRule="auto" w:after="60"/>
      </w:pPr>
      <w:r>
        <w:rPr>
          <w:rFonts w:ascii="Times New Roman" w:hAnsi="Times New Roman"/>
          <w:sz w:val="20"/>
        </w:rPr>
        <w:t>[101] T. LaCanne, J. Lundgren, Regenerative agriculture: Merging farming and natural resource conservation profitably, PeerJ, 6 (2018) e4428.</w:t>
      </w:r>
    </w:p>
    <w:p>
      <w:pPr>
        <w:spacing w:line="276" w:lineRule="auto" w:after="60"/>
      </w:pPr>
      <w:r>
        <w:rPr>
          <w:rFonts w:ascii="Times New Roman" w:hAnsi="Times New Roman"/>
          <w:sz w:val="20"/>
        </w:rPr>
        <w:t>[102] ILO, Guidelines for a Just Transition Towards Environmentally Sustainable Economies and Societies for All, International Labour Organization, Geneva, 2015.</w:t>
      </w:r>
    </w:p>
    <w:p>
      <w:pPr>
        <w:spacing w:line="276" w:lineRule="auto" w:after="60"/>
      </w:pPr>
      <w:r>
        <w:rPr>
          <w:rFonts w:ascii="Times New Roman" w:hAnsi="Times New Roman"/>
          <w:sz w:val="20"/>
        </w:rPr>
        <w:t>[103] UNFCCC, The Paris Agreement, United Nations Framework Convention on Climate Change, 2015.</w:t>
      </w:r>
    </w:p>
    <w:p>
      <w:pPr>
        <w:spacing w:line="276" w:lineRule="auto" w:after="60"/>
      </w:pPr>
      <w:r>
        <w:rPr>
          <w:rFonts w:ascii="Times New Roman" w:hAnsi="Times New Roman"/>
          <w:sz w:val="20"/>
        </w:rPr>
        <w:t>[104] UNEP, Adaptation Gap Report 2023: Underfinanced. Underprepared, United Nations Environment Programme, Nairobi, 2023.</w:t>
      </w:r>
    </w:p>
    <w:p>
      <w:pPr>
        <w:spacing w:line="276" w:lineRule="auto" w:after="60"/>
      </w:pPr>
      <w:r>
        <w:rPr>
          <w:rFonts w:ascii="Times New Roman" w:hAnsi="Times New Roman"/>
          <w:sz w:val="20"/>
        </w:rPr>
        <w:t>[105] World Bank, State and Trends of Carbon Pricing 2024, World Bank Group, Washington DC, 2024.</w:t>
      </w:r>
    </w:p>
    <w:p>
      <w:pPr>
        <w:spacing w:line="276" w:lineRule="auto" w:after="60"/>
      </w:pPr>
      <w:r>
        <w:rPr>
          <w:rFonts w:ascii="Times New Roman" w:hAnsi="Times New Roman"/>
          <w:sz w:val="20"/>
        </w:rPr>
        <w:t>[106] ISSB, IFRS S2 Climate-related Disclosures, International Sustainability Standards Board, 2023.</w:t>
      </w:r>
    </w:p>
    <w:p>
      <w:pPr>
        <w:spacing w:line="276" w:lineRule="auto" w:after="60"/>
      </w:pPr>
      <w:r>
        <w:rPr>
          <w:rFonts w:ascii="Times New Roman" w:hAnsi="Times New Roman"/>
          <w:sz w:val="20"/>
        </w:rPr>
        <w:t>[107] Climate Bonds Initiative, Global State of the Market Report 2023, Climate Bonds Initiative, London, 2024.</w:t>
      </w:r>
    </w:p>
    <w:p>
      <w:pPr>
        <w:spacing w:line="276" w:lineRule="auto" w:after="60"/>
      </w:pPr>
      <w:r>
        <w:rPr>
          <w:rFonts w:ascii="Times New Roman" w:hAnsi="Times New Roman"/>
          <w:sz w:val="20"/>
        </w:rPr>
        <w:t>[108] UNEP, Adaptation Finance Gap Update 2023, United Nations Environment Programme, 2023.</w:t>
      </w:r>
    </w:p>
    <w:p>
      <w:pPr>
        <w:spacing w:line="276" w:lineRule="auto" w:after="60"/>
      </w:pPr>
      <w:r>
        <w:rPr>
          <w:rFonts w:ascii="Times New Roman" w:hAnsi="Times New Roman"/>
          <w:sz w:val="20"/>
        </w:rPr>
        <w:t>[109] A. Surminski, L.M. Bouwer, J. Linnerooth-Bayer, How insurance can support climate resilience, Nature Climate Change, 6 (2016) 333–334.</w:t>
      </w:r>
    </w:p>
    <w:p>
      <w:pPr>
        <w:spacing w:line="276" w:lineRule="auto" w:after="60"/>
      </w:pPr>
      <w:r>
        <w:rPr>
          <w:rFonts w:ascii="Times New Roman" w:hAnsi="Times New Roman"/>
          <w:sz w:val="20"/>
        </w:rPr>
        <w:t>[110] OECD, Investing in Climate, Investing in Growth, OECD Publishing, Paris, 2017.</w:t>
      </w:r>
    </w:p>
    <w:p>
      <w:pPr>
        <w:spacing w:line="276" w:lineRule="auto" w:after="60"/>
      </w:pPr>
      <w:r>
        <w:rPr>
          <w:rFonts w:ascii="Times New Roman" w:hAnsi="Times New Roman"/>
          <w:sz w:val="20"/>
        </w:rPr>
        <w:t>[111] K. Raworth, Doughnut Economics: Seven Ways to Think Like a 21st-Century Economist, Random House, 2017.</w:t>
      </w:r>
    </w:p>
    <w:p>
      <w:pPr>
        <w:spacing w:line="276" w:lineRule="auto" w:after="60"/>
      </w:pPr>
      <w:r>
        <w:rPr>
          <w:rFonts w:ascii="Times New Roman" w:hAnsi="Times New Roman"/>
          <w:sz w:val="20"/>
        </w:rPr>
        <w:t>[112] C. Folke, S.R. Carpenter, B. Walker, et al., Resilience thinking: Integrating resilience, adaptability and transformability, Ecology and Society, 15 (2010) 20.</w:t>
      </w:r>
    </w:p>
    <w:p>
      <w:pPr>
        <w:spacing w:line="276" w:lineRule="auto" w:after="60"/>
      </w:pPr>
      <w:r>
        <w:rPr>
          <w:rFonts w:ascii="Times New Roman" w:hAnsi="Times New Roman"/>
          <w:sz w:val="20"/>
        </w:rPr>
        <w:t>[113] J. Fullerton, Regenerative Capitalism: How Universal Principles and Patterns Will Shape Our New Economy, Capital Institute, 2015.</w:t>
      </w:r>
    </w:p>
    <w:p>
      <w:pPr>
        <w:spacing w:line="276" w:lineRule="auto" w:after="60"/>
      </w:pPr>
      <w:r>
        <w:rPr>
          <w:rFonts w:ascii="Times New Roman" w:hAnsi="Times New Roman"/>
          <w:sz w:val="20"/>
        </w:rPr>
        <w:t>[114] D. Acemoglu, P. Aghion, L. Bursztyn, D. Hemous, The environment and directed technical change, American Economic Review, 102 (2012) 131–166.</w:t>
      </w:r>
    </w:p>
    <w:p>
      <w:pPr>
        <w:spacing w:line="276" w:lineRule="auto" w:after="60"/>
      </w:pPr>
      <w:r>
        <w:rPr>
          <w:rFonts w:ascii="Times New Roman" w:hAnsi="Times New Roman"/>
          <w:sz w:val="20"/>
        </w:rPr>
        <w:t>[115] W.N. Adger, J. Barnett, K. Brown, N. Marshall, K. O'Brien, Cultural dimensions of climate change impacts and adaptation, Nature Climate Change, 3 (2013) 112–117.</w:t>
      </w:r>
    </w:p>
    <w:p>
      <w:pPr>
        <w:spacing w:line="276" w:lineRule="auto" w:after="60"/>
      </w:pPr>
      <w:r>
        <w:rPr>
          <w:rFonts w:ascii="Times New Roman" w:hAnsi="Times New Roman"/>
          <w:sz w:val="20"/>
        </w:rPr>
        <w:t>[116] M. Alston, Gender mainstreaming and climate change, Women's Studies International Forum, 47 (2014) 287–294.</w:t>
      </w:r>
    </w:p>
    <w:p>
      <w:pPr>
        <w:spacing w:line="276" w:lineRule="auto" w:after="60"/>
      </w:pPr>
      <w:r>
        <w:rPr>
          <w:rFonts w:ascii="Times New Roman" w:hAnsi="Times New Roman"/>
          <w:sz w:val="20"/>
        </w:rPr>
        <w:t>[117] UNEP, Global Environment Outlook 6: Healthy Planet, Healthy People, United Nations Environment Programme, 2019.</w:t>
      </w:r>
    </w:p>
    <w:p>
      <w:pPr>
        <w:spacing w:line="276" w:lineRule="auto" w:after="60"/>
      </w:pPr>
      <w:r>
        <w:rPr>
          <w:rFonts w:ascii="Times New Roman" w:hAnsi="Times New Roman"/>
          <w:sz w:val="20"/>
        </w:rPr>
        <w:t>[118] D. Nakashima, K. Galloway McLean, H.D. Thulstrup, et al., Weathering Uncertainty: Traditional Knowledge for Climate Change Assessment and Adaptation, UNESCO, Paris, 2012.</w:t>
      </w:r>
    </w:p>
    <w:p>
      <w:pPr>
        <w:spacing w:line="276" w:lineRule="auto" w:after="60"/>
      </w:pPr>
      <w:r>
        <w:rPr>
          <w:rFonts w:ascii="Times New Roman" w:hAnsi="Times New Roman"/>
          <w:sz w:val="20"/>
        </w:rPr>
        <w:t>[119] V. Ciplet, J.T. Roberts, M.H. Khan, Power in a Warming World: The New Global Politics of Climate Change and the Remaking of Environmental Inequality, MIT Press, 2015.</w:t>
      </w:r>
    </w:p>
    <w:p>
      <w:pPr>
        <w:spacing w:line="276" w:lineRule="auto" w:after="60"/>
      </w:pPr>
      <w:r>
        <w:rPr>
          <w:rFonts w:ascii="Times New Roman" w:hAnsi="Times New Roman"/>
          <w:sz w:val="20"/>
        </w:rPr>
        <w:t>[120] OECD, Climate Finance Provided and Mobilised by Developed Countries in 2013–2022, OECD Publishing, 2024.</w:t>
      </w:r>
    </w:p>
    <w:p>
      <w:pPr>
        <w:spacing w:line="276" w:lineRule="auto" w:after="60"/>
      </w:pPr>
      <w:r>
        <w:rPr>
          <w:rFonts w:ascii="Times New Roman" w:hAnsi="Times New Roman"/>
          <w:sz w:val="20"/>
        </w:rPr>
        <w:t>[121] ADB, Asian Development Outlook 2023: Climate Change and Development in Asia and the Pacific, Asian Development Bank, Manila, 2023.</w:t>
      </w:r>
    </w:p>
    <w:p>
      <w:pPr>
        <w:spacing w:line="276" w:lineRule="auto" w:after="60"/>
      </w:pPr>
      <w:r>
        <w:rPr>
          <w:rFonts w:ascii="Times New Roman" w:hAnsi="Times New Roman"/>
          <w:sz w:val="20"/>
        </w:rPr>
        <w:t>[122] H. Waisman, C. Bataille, H. Winkler, et al., A pathway design framework for national low greenhouse gas emission development strategies, Nature Climate Change, 9 (2019) 261–268.</w:t>
      </w:r>
    </w:p>
    <w:p>
      <w:pPr>
        <w:spacing w:line="276" w:lineRule="auto" w:after="60"/>
      </w:pPr>
      <w:r>
        <w:rPr>
          <w:rFonts w:ascii="Times New Roman" w:hAnsi="Times New Roman"/>
          <w:sz w:val="20"/>
        </w:rPr>
        <w:t>[123] J. Rockström, O. Gaffney, J. Rogelj, et al., A roadmap for rapid decarbonization, Science, 355 (2017) 1269–1271.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