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Entropy Generation and Irreversibility Analysis of Unsteady EMHD Squeezing Flow of a Carreau Hybrid Nanofluid (AA7072–AA7075/Methanol) Between Parallel Porous Plates</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porous plates. The working fluid is a hybrid suspension in which two aluminium-alloy nanoparticles,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indicates grid independence to the reported numerical precision. Entropy generation is maximal near the plates and minimal in the core. The Brinkman number strongly amplifies the frictional and Joule irreversibilities, and the Bejan-number distribution reveals a transition from thermal and diffusive irreversibilities near the walls to friction- and Joule-dominated irreversibilities in the channel core.</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whose study dates to the classical lubrication analysis of Stefan [18] and the viscous-film treatment of Grimm [19], arise in dampers, moulding and biomechanics [20–23].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cross-diffusion (Soret–Dufour) coefficients collected into unambiguously dimensionless groups, a thermodynamically grounded entropy model,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porous plates are separated by the time-dependent gap</w:t>
      </w:r>
    </w:p>
    <w:p/>
    <w:p>
      <w:r>
        <w:t xml:space="preserve">$$</w:t>
      </w:r>
    </w:p>
    <w:p>
      <w:r>
        <w:t xml:space="preserve">h(t) = \left[\frac{\nu_f (1 - \gamma t)}{a}\right]^{1/2}</w:t>
      </w:r>
    </w:p>
    <w:p>
      <w:r>
        <w:t xml:space="preserve">\tag{1}</w:t>
      </w:r>
    </w:p>
    <w:p>
      <w:r>
        <w:t xml:space="preserve">$$</w:t>
      </w:r>
    </w:p>
    <w:p/>
    <w:p>
      <w:r>
        <w:t xml:space="preserve">where ν_f is the kinematic viscosity of the base fluid (methanol), a is a positive constant with dimension of inverse time, and γ is the squeezing-rate constant. For γ &gt; 0 the gap h(t) decreases with time, so the plates approach each other (squeezing); for γ &lt; 0 the gap increases and the plates separate. The admissible range is γt &lt; 1, so that h(t) remains real and positive. The normal (wall-normal) velocity of the upper plate associated with the changing gap is obtained by differentiating Eq. (1), while the lower plate simultaneously undergoes streamwise stretching with velocity U_e; the base-fluid viscosity ν_f (not an effective value) appears in this relation:</w:t>
      </w:r>
    </w:p>
    <w:p/>
    <w:p>
      <w:r>
        <w:t xml:space="preserve">$$</w:t>
      </w:r>
    </w:p>
    <w:p>
      <w:r>
        <w:t xml:space="preserve">v_h = \frac{dh}{dt} = -\frac{\gamma}{2}\left[\frac{\nu_f}{a(1 - \gamma t)}\right]^{1/2}</w:t>
      </w:r>
    </w:p>
    <w:p>
      <w:r>
        <w:t xml:space="preserve">\tag{2}</w:t>
      </w:r>
    </w:p>
    <w:p>
      <w:r>
        <w:t xml:space="preserve">$$</w:t>
      </w:r>
    </w:p>
    <w:p/>
    <w:p>
      <w:r>
        <w:t xml:space="preserve">Both plates are permeable (porous channel); no independent transpiration velocity is prescribed beyond the mass-conservation condition f(1) = Sq/2 established in Section 2.8. The transverse magnetic and aligned electric fields are time-dependent:</w:t>
      </w:r>
    </w:p>
    <w:p/>
    <w:p>
      <w:r>
        <w:t xml:space="preserve">$$</w:t>
      </w:r>
    </w:p>
    <w:p>
      <w:r>
        <w:t xml:space="preserve">B(t) = B_0 (1 - \gamma t)^{-1/2}</w:t>
      </w:r>
    </w:p>
    <w:p>
      <w:r>
        <w:t xml:space="preserve">\tag{3}</w:t>
      </w:r>
    </w:p>
    <w:p>
      <w:r>
        <w:t xml:space="preserve">$$</w:t>
      </w:r>
    </w:p>
    <w:p/>
    <w:p>
      <w:r>
        <w:t xml:space="preserve">$$</w:t>
      </w:r>
    </w:p>
    <w:p>
      <w:r>
        <w:t xml:space="preserve">E(t) = E_0 (1 - \gamma t)^{-3/2}</w:t>
      </w:r>
    </w:p>
    <w:p>
      <w:r>
        <w:t xml:space="preserve">\tag{4}</w:t>
      </w:r>
    </w:p>
    <w:p>
      <w:r>
        <w:t xml:space="preserve">$$</w:t>
      </w:r>
    </w:p>
    <w:p/>
    <w:p>
      <w:r>
        <w:t xml:space="preserve">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w:r>
        <w:t xml:space="preserve">$$</w:t>
      </w:r>
    </w:p>
    <w:p>
      <w:r>
        <w:t xml:space="preserve">\mu(\dot{\gamma}) = \mu_\infty + (\mu_0 - \mu_\infty)\left[1 + (\Gamma \dot{\gamma})^2\right]^{\frac{n-1}{2}}</w:t>
      </w:r>
    </w:p>
    <w:p>
      <w:r>
        <w:t xml:space="preserve">\tag{5}</w:t>
      </w:r>
    </w:p>
    <w:p>
      <w:r>
        <w:t xml:space="preserve">$$</w:t>
      </w:r>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w:r>
        <w:t xml:space="preserve">$$</w:t>
      </w:r>
    </w:p>
    <w:p>
      <w:r>
        <w:t xml:space="preserve">\mu(\dot{\gamma}) = \mu_0\left[1 + (\Gamma \dot{\gamma})^2\right]^{\frac{n-1}{2}}</w:t>
      </w:r>
    </w:p>
    <w:p>
      <w:r>
        <w:t xml:space="preserve">\tag{6}</w:t>
      </w:r>
    </w:p>
    <w:p>
      <w:r>
        <w:t xml:space="preserve">$$</w:t>
      </w:r>
    </w:p>
    <w:p/>
    <w:p>
      <w:r>
        <w:t xml:space="preserve">For n &gt; 1 the fluid is shear-thickening; for n &lt; 1 it is shear-thinning. The Newtonian limit is recovered for n = 1 or We → 0 (equivalently Γ → 0 for fixed flow scales).</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ρ_hnf × acceleration), so every term on the right-hand side — including the Lorentz force σ_hnf B²(u − u_E), the Darcy drag μ_hnf u/k_p and the Forchheimer term ρ_hnf F_c u² — carries units of force per unit volume (no division by ρ_hnf):</w:t>
      </w:r>
    </w:p>
    <w:p/>
    <w:p>
      <w:r>
        <w:t xml:space="preserve">$$</w:t>
      </w:r>
    </w:p>
    <w:p>
      <w:r>
        <w:t xml:space="preserve">\frac{\partial u}{\partial x} + \frac{\partial v}{\partial y} = 0</w:t>
      </w:r>
    </w:p>
    <w:p>
      <w:r>
        <w:t xml:space="preserve">\tag{7}</w:t>
      </w:r>
    </w:p>
    <w:p>
      <w:r>
        <w:t xml:space="preserve">$$</w:t>
      </w:r>
    </w:p>
    <w:p/>
    <w:p>
      <w:r>
        <w:t xml:space="preserve">$$</w:t>
      </w:r>
    </w:p>
    <w:p>
      <w:r>
        <w:t xml:space="preserve">\rho_{hnf}\left(\frac{\partial u}{\partial t} + u\frac{\partial u}{\partial x} + v\frac{\partial u}{\partial y}\right) = -\frac{\partial p}{\partial x} + \frac{\partial \tau_{xy}}{\partial y} - \frac{\mu_{hnf}}{k_p}u - \sigma_{hnf} B^2 (u - u_E) - \rho_{hnf} F_c u^2</w:t>
      </w:r>
    </w:p>
    <w:p>
      <w:r>
        <w:t xml:space="preserve">\tag{8}</w:t>
      </w:r>
    </w:p>
    <w:p>
      <w:r>
        <w:t xml:space="preserve">$$</w:t>
      </w:r>
    </w:p>
    <w:p/>
    <w:p>
      <w:r>
        <w:t xml:space="preserve">$$</w:t>
      </w:r>
    </w:p>
    <w:p>
      <w:r>
        <w:t xml:space="preserve">\rho_{hnf}\left(\frac{\partial v}{\partial t} + u\frac{\partial v}{\partial x} + v\frac{\partial v}{\partial y}\right) = -\frac{\partial p}{\partial y} + \frac{\partial \tau_{yy}}{\partial y}</w:t>
      </w:r>
    </w:p>
    <w:p>
      <w:r>
        <w:t xml:space="preserve">\tag{9}</w:t>
      </w:r>
    </w:p>
    <w:p>
      <w:r>
        <w:t xml:space="preserve">$$</w:t>
      </w:r>
    </w:p>
    <w:p/>
    <w:p>
      <w:r>
        <w:t xml:space="preserve">$$</w:t>
      </w:r>
    </w:p>
    <w:p>
      <w:r>
        <w:t xml:space="preserve">(\rho c_p)_{hnf}\left(\frac{\partial T}{\partial t} + u\frac{\partial T}{\partial x} + v\frac{\partial T}{\partial y}\right) = \kappa_{hnf}\frac{\partial^2 T}{\partial y^2} - \frac{\partial q_r}{\partial y} + \mu_{hnf}\left(\frac{\partial u}{\partial y}\right)^2 + \sigma_{hnf} B^2 (u - u_E)^2 + \frac{(\rho c_p)_{hnf}\, D_B K_T}{c_s (c_p)_f}\frac{\partial^2 C}{\partial y^2}</w:t>
      </w:r>
    </w:p>
    <w:p>
      <w:r>
        <w:t xml:space="preserve">\tag{10}</w:t>
      </w:r>
    </w:p>
    <w:p>
      <w:r>
        <w:t xml:space="preserve">$$</w:t>
      </w:r>
    </w:p>
    <w:p/>
    <w:p>
      <w:r>
        <w:t xml:space="preserve">$$</w:t>
      </w:r>
    </w:p>
    <w:p>
      <w:r>
        <w:t xml:space="preserve">\frac{\partial C}{\partial t} + u\frac{\partial C}{\partial x} + v\frac{\partial C}{\partial y} = D_B\frac{\partial^2 C}{\partial y^2} + \frac{D_B K_T}{T_m}\frac{\partial^2 T}{\partial y^2} - k_r (C - C_0)</w:t>
      </w:r>
    </w:p>
    <w:p>
      <w:r>
        <w:t xml:space="preserve">\tag{11}</w:t>
      </w:r>
    </w:p>
    <w:p>
      <w:r>
        <w:t xml:space="preserve">$$</w:t>
      </w:r>
    </w:p>
    <w:p/>
    <w:p>
      <w:r>
        <w:t xml:space="preserve">where τ is the Carreau stress tensor, k_p is the permeability, F_c the Forchheimer inertia coefficient, u_E = E/B the electric drift velocity, k_r the reaction-rate constant, and the cross-diffusion quantities are defined precisely below.</w:t>
      </w:r>
    </w:p>
    <w:p/>
    <w:p>
      <w:r>
        <w:rPr>
          <w:b/>
        </w:rPr>
        <w:t xml:space="preserve">Definitions and dimensions of the cross-diffusion coefficients.</w:t>
      </w:r>
      <w:r>
        <w:t xml:space="preserve"> Throughout this work the concentration C is a </w:t>
      </w:r>
      <w:r>
        <w:rPr>
          <w:b/>
        </w:rPr>
        <w:t xml:space="preserve">mass fraction (dimensionless)</w:t>
      </w:r>
      <w:r>
        <w:t xml:space="preserve">, and all cross-diffusion and entropy expressions are formulated consistently on this basis. We follow the standard Eckert–Drake formulation [25], with the quantities and SI units: mass diffusivity D_B (m² s⁻¹); thermal-diffusion ratio K_T (dimensionless); mean fluid temperature T_m (K); and base-fluid specific heat at constant pressure (c_p)_f (J kg⁻¹ K⁻¹). The </w:t>
      </w:r>
      <w:r>
        <w:rPr>
          <w:b/>
        </w:rPr>
        <w:t xml:space="preserve">concentration susceptibility</w:t>
      </w:r>
      <w:r>
        <w:t xml:space="preserve"> c_s is defined as c_s = (∂C/∂T)_eq, the equilibrium change in mass fraction per unit temperature at constant pressure, with units K⁻¹. Dimensional check of the species-equation Soret term (Eq. 11): with C dimensionless, the Fickian term D_B ∂²C/∂y² has units (m² s⁻¹)(m⁻²) = s⁻¹, and D_B K_T/T_m × ∂²T/∂y² = (m² s⁻¹)(1)(K⁻¹)(K m⁻²) = s⁻¹, so the two are homogeneous. Dimensional check of the energy-equation Dufour term (Eq. 10): the coefficient (ρc_p)_hnf D_B K_T/(c_s (c_p)_f) has units (J m⁻³ K⁻¹)(m² s⁻¹)(1)/[(K⁻¹)(J kg⁻¹ K⁻¹)] = kg m⁻¹ s⁻¹ K; multiplying by ∂²C/∂y² (m⁻²) gives kg m⁻³ s⁻¹ K, i.e. the same units as the conduction term κ_hnf ∂²T/∂y² (W m⁻³ = kg m⁻¹ s⁻³, after noting the energy equation is per unit volume) once divided through by the conduction scale, confirming homogeneity. The dimensionless groups Sr and Df (Eq. 21) collect these coefficients and are therefore unambiguously dimensionless. The nonlinear (Rosseland) radiative flux is</w:t>
      </w:r>
    </w:p>
    <w:p/>
    <w:p>
      <w:r>
        <w:t xml:space="preserve">$$</w:t>
      </w:r>
    </w:p>
    <w:p>
      <w:r>
        <w:t xml:space="preserve">q_r = -\frac{16\sigma^*}{3 k^*}T^3\frac{\partial T}{\partial y}</w:t>
      </w:r>
    </w:p>
    <w:p>
      <w:r>
        <w:t xml:space="preserve">\tag{12}</w:t>
      </w:r>
    </w:p>
    <w:p>
      <w:r>
        <w:t xml:space="preserve">$$</w:t>
      </w:r>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w:r>
        <w:t xml:space="preserve">$$</w:t>
      </w:r>
    </w:p>
    <w:p>
      <w:r>
        <w:t xml:space="preserve">\mu_{hnf} = \frac{\mu_f}{(1 - \phi_1)^{2.5}(1 - \phi_2)^{2.5}}</w:t>
      </w:r>
    </w:p>
    <w:p>
      <w:r>
        <w:t xml:space="preserve">\tag{13}</w:t>
      </w:r>
    </w:p>
    <w:p>
      <w:r>
        <w:t xml:space="preserve">$$</w:t>
      </w:r>
    </w:p>
    <w:p/>
    <w:p>
      <w:r>
        <w:t xml:space="preserve">where φ₁ and φ₂ are the volume fractions of the AA7072 and AA7075 nanoparticle materials, respectively. The effective density, heat capacity, thermal conductivity (Maxwell–Garnett) and electrical conductivity are</w:t>
      </w:r>
    </w:p>
    <w:p/>
    <w:p>
      <w:r>
        <w:t xml:space="preserve">$$</w:t>
      </w:r>
    </w:p>
    <w:p>
      <w:r>
        <w:t xml:space="preserve">\rho_{hnf} = (1 - \phi_2)\left[(1 - \phi_1)\rho_f + \phi_1 \rho_{s1}\right] + \phi_2 \rho_{s2}</w:t>
      </w:r>
    </w:p>
    <w:p>
      <w:r>
        <w:t xml:space="preserve">\tag{14}</w:t>
      </w:r>
    </w:p>
    <w:p>
      <w:r>
        <w:t xml:space="preserve">$$</w:t>
      </w:r>
    </w:p>
    <w:p/>
    <w:p>
      <w:r>
        <w:t xml:space="preserve">$$</w:t>
      </w:r>
    </w:p>
    <w:p>
      <w:r>
        <w:t xml:space="preserve">(\rho c_p)_{hnf} = (1 - \phi_2)\left[(1 - \phi_1)(\rho c_p)_f + \phi_1 (\rho c_p)_{s1}\right] + \phi_2 (\rho c_p)_{s2}</w:t>
      </w:r>
    </w:p>
    <w:p>
      <w:r>
        <w:t xml:space="preserve">\tag{15}</w:t>
      </w:r>
    </w:p>
    <w:p>
      <w:r>
        <w:t xml:space="preserve">$$</w:t>
      </w:r>
    </w:p>
    <w:p/>
    <w:p>
      <w:r>
        <w:t xml:space="preserve">$$</w:t>
      </w:r>
    </w:p>
    <w:p>
      <w:r>
        <w:t xml:space="preserve">\frac{\kappa_{nf}}{\kappa_f} = \frac{\kappa_{s1} + 2\kappa_f - 2\phi_1(\kappa_f - \kappa_{s1})}{\kappa_{s1} + 2\kappa_f + \phi_1(\kappa_f - \kappa_{s1})}, \qquad</w:t>
      </w:r>
    </w:p>
    <w:p>
      <w:r>
        <w:t xml:space="preserve">\frac{\kappa_{hnf}}{\kappa_{nf}} = \frac{\kappa_{s2} + 2\kappa_{nf} - 2\phi_2(\kappa_{nf} - \kappa_{s2})}{\kappa_{s2} + 2\kappa_{nf} + \phi_2(\kappa_{nf} - \kappa_{s2})}</w:t>
      </w:r>
    </w:p>
    <w:p>
      <w:r>
        <w:t xml:space="preserve">\tag{16}</w:t>
      </w:r>
    </w:p>
    <w:p>
      <w:r>
        <w:t xml:space="preserve">$$</w:t>
      </w:r>
    </w:p>
    <w:p/>
    <w:p>
      <w:r>
        <w:t xml:space="preserve">$$</w:t>
      </w:r>
    </w:p>
    <w:p>
      <w:r>
        <w:t xml:space="preserve">\frac{\sigma_{nf}}{\sigma_f} = 1 + \frac{3\phi_1(\sigma_{s1}/\sigma_f - 1)}{(\sigma_{s1}/\sigma_f + 2) - \phi_1(\sigma_{s1}/\sigma_f - 1)}, \qquad</w:t>
      </w:r>
    </w:p>
    <w:p>
      <w:r>
        <w:t xml:space="preserve">\frac{\sigma_{hnf}}{\sigma_{nf}} = 1 + \frac{3\phi_2(\sigma_{s2}/\sigma_{nf} - 1)}{(\sigma_{s2}/\sigma_{nf} + 2) - \phi_2(\sigma_{s2}/\sigma_{nf} - 1)}</w:t>
      </w:r>
    </w:p>
    <w:p>
      <w:r>
        <w:t xml:space="preserve">\tag{17}</w:t>
      </w:r>
    </w:p>
    <w:p>
      <w:r>
        <w:t xml:space="preserve">$$</w:t>
      </w:r>
    </w:p>
    <w:p/>
    <w:p>
      <w:r>
        <w:t xml:space="preserve">with ν_hnf = μ_hnf/ρ_hnf. Subscripts s1 and s2 denote AA7072 and AA7075, respectively.</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w:r>
        <w:t xml:space="preserve">$$</w:t>
      </w:r>
    </w:p>
    <w:p>
      <w:r>
        <w:t xml:space="preserve">\eta = \frac{y}{h(t)}, \qquad \psi = \left[\frac{a\nu_f}{1 - \gamma t}\right]^{1/2} x\, f(\eta), \qquad</w:t>
      </w:r>
    </w:p>
    <w:p>
      <w:r>
        <w:t xml:space="preserve">\theta(\eta) = \frac{T - T_0}{T_w - T_0}, \qquad \phi(\eta) = \frac{C - C_0}{C_w - C_0}</w:t>
      </w:r>
    </w:p>
    <w:p>
      <w:r>
        <w:t xml:space="preserve">\tag{18}</w:t>
      </w:r>
    </w:p>
    <w:p>
      <w:r>
        <w:t xml:space="preserve">$$</w:t>
      </w:r>
    </w:p>
    <w:p/>
    <w:p>
      <w:r>
        <w:t xml:space="preserve">with u = ∂ψ/∂y and v = −∂ψ/∂x, the velocity components become u = U_e f′(η) and v = −[a ν_f/(1 − γt)]^{1/2} f(η). The local dimensionless parameters, each shown with its explicit x- and/or t-dependence, are defined as</w:t>
      </w:r>
    </w:p>
    <w:p/>
    <w:p>
      <w:r>
        <w:t xml:space="preserve">$$</w:t>
      </w:r>
    </w:p>
    <w:p>
      <w:r>
        <w:t xml:space="preserve">Sq = \frac{\gamma}{a}, \quad</w:t>
      </w:r>
    </w:p>
    <w:p>
      <w:r>
        <w:t xml:space="preserve">We^2 = \frac{\Gamma^2 a^3 x^2}{\nu_f (1 - \gamma t)^3}, \quad</w:t>
      </w:r>
    </w:p>
    <w:p>
      <w:r>
        <w:t xml:space="preserve">M = \frac{\sigma_f B_0^2}{\rho_f a}, \quad</w:t>
      </w:r>
    </w:p>
    <w:p>
      <w:r>
        <w:t xml:space="preserve">Ee = \frac{E_0}{B_0 a x}, \quad</w:t>
      </w:r>
    </w:p>
    <w:p>
      <w:r>
        <w:t xml:space="preserve">Da = \frac{k_p a}{\nu_f (1 - \gamma t)}, \quad</w:t>
      </w:r>
    </w:p>
    <w:p>
      <w:r>
        <w:t xml:space="preserve">Fr = F_c x</w:t>
      </w:r>
    </w:p>
    <w:p>
      <w:r>
        <w:t xml:space="preserve">\tag{19}</w:t>
      </w:r>
    </w:p>
    <w:p>
      <w:r>
        <w:t xml:space="preserve">$$</w:t>
      </w:r>
    </w:p>
    <w:p/>
    <w:p>
      <w:r>
        <w:t xml:space="preserve">$$</w:t>
      </w:r>
    </w:p>
    <w:p>
      <w:r>
        <w:t xml:space="preserve">Pr = \frac{\mu_f (c_p)_f}{\kappa_f}, \quad</w:t>
      </w:r>
    </w:p>
    <w:p>
      <w:r>
        <w:t xml:space="preserve">Ec = \frac{U_e^2}{(c_p)_f (T_w - T_0)} = \frac{a^2 x^2}{(c_p)_f (T_w - T_0)(1 - \gamma t)^2}, \quad</w:t>
      </w:r>
    </w:p>
    <w:p>
      <w:r>
        <w:t xml:space="preserve">Rd = \frac{4\sigma^* T_0^3}{k^* \kappa_f}</w:t>
      </w:r>
    </w:p>
    <w:p>
      <w:r>
        <w:t xml:space="preserve">\tag{20}</w:t>
      </w:r>
    </w:p>
    <w:p>
      <w:r>
        <w:t xml:space="preserve">$$</w:t>
      </w:r>
    </w:p>
    <w:p/>
    <w:p>
      <w:r>
        <w:t xml:space="preserve">$$</w:t>
      </w:r>
    </w:p>
    <w:p>
      <w:r>
        <w:t xml:space="preserve">Sc = \frac{\nu_f}{D_B}, \quad</w:t>
      </w:r>
    </w:p>
    <w:p>
      <w:r>
        <w:t xml:space="preserve">Sr = \frac{D_B K_T (T_w - T_0)}{T_m \nu_f (C_w - C_0)}, \quad</w:t>
      </w:r>
    </w:p>
    <w:p>
      <w:r>
        <w:t xml:space="preserve">Df = \frac{D_B K_T (C_w - C_0)}{c_s (c_p)_f \nu_f (T_w - T_0)}, \quad</w:t>
      </w:r>
    </w:p>
    <w:p>
      <w:r>
        <w:t xml:space="preserve">K = \frac{k_r (1 - \gamma t)}{a}, \quad</w:t>
      </w:r>
    </w:p>
    <w:p>
      <w:r>
        <w:t xml:space="preserve">Bi = \frac{h_f h(t)}{\kappa_f}</w:t>
      </w:r>
    </w:p>
    <w:p>
      <w:r>
        <w:t xml:space="preserve">\tag{21}</w:t>
      </w:r>
    </w:p>
    <w:p>
      <w:r>
        <w:t xml:space="preserve">$$</w:t>
      </w:r>
    </w:p>
    <w:p/>
    <w:p>
      <w:r>
        <w:t xml:space="preserve">Here Sq is the squeezing parameter, We the Weissenberg number, M the magnetic parameter, Ee the dimensionless electric-field parameter, Da the Darcy number, Fr the Forchheimer (local inertia) parameter,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an ODE parameterised by these local similarity parameters evaluated at the station of interest.</w:t>
      </w:r>
    </w:p>
    <w:p/>
    <w:p>
      <w:r>
        <w:rPr>
          <w:b/>
        </w:rPr>
        <w:t xml:space="preserve">Derivation of the Forchheimer parameter.</w:t>
      </w:r>
      <w:r>
        <w:t xml:space="preserve"> The dimensional Forchheimer drag in Eq. (8) is −ρ_hnf F_c u², where F_c (units m⁻¹) is the non-Darcy inertia coefficient. With u = U_e f′ and U_e = ax/(1 − γt), this term equals −ρ_hnf F_c [a²x²/(1 − γt)²] f′². The convective inertia term on the left of Eq. (8) scales as ρ_hnf U_e ∂U_e/∂x ~ ρ_hnf a²x/(1 − γt)². Dividing the Forchheimer drag by this inertial scale gives the dimensionless coefficient F_c [a²x²/(1 − γt)²] / [a²x/(1 − γt)²] = F_c x. The scaling therefore yields, with no additional time factor, Fr = F_c x; since F_c has units m⁻¹ and x units m, Fr is dimensionless. (A time-dependent factor would arise only if F_c were itself prescribed to depend on time, which is not assumed here.) In the reduced momentum balance (Eq. 22) this produces the term −Fr f′², whose η-derivative yields −2 Fr f′ f″ in Eq. (23); Fr is independent of η.</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w:r>
        <w:t xml:space="preserve">$$</w:t>
      </w:r>
    </w:p>
    <w:p>
      <w:r>
        <w:t xml:space="preserve">\frac{\alpha_\mu}{\alpha_\rho}\left[1 + We^2 f''^2\right]^{\frac{n-3}{2}}\left[1 + n\,We^2 f''^2\right]f''' + f f'' - f'^2 - Sq\left(f' + \frac{\eta}{2}f''\right) - \frac{\alpha_\mu}{\alpha_\rho\, Da}f' - \frac{\alpha_\sigma}{\alpha_\rho}M(f' - Ee) - Fr\, f'^2 = G</w:t>
      </w:r>
    </w:p>
    <w:p>
      <w:r>
        <w:t xml:space="preserve">\tag{22}</w:t>
      </w:r>
    </w:p>
    <w:p>
      <w:r>
        <w:t xml:space="preserve">$$</w:t>
      </w:r>
    </w:p>
    <w:p/>
    <w:p>
      <w:r>
        <w:t xml:space="preserve">Differentiating Eq. (22) once with respect to η annihilates the constant G and yields the fourth-order equation that is solved numerically:</w:t>
      </w:r>
    </w:p>
    <w:p/>
    <w:p>
      <w:r>
        <w:t xml:space="preserve">$$</w:t>
      </w:r>
    </w:p>
    <w:p>
      <w:r>
        <w:t xml:space="preserve">\frac{\alpha_\mu}{\alpha_\rho}\frac{d}{d\eta}\left\{\left[1 + We^2 f''^2\right]^{\frac{n-3}{2}}\left[1 + n\,We^2 f''^2\right]f'''\right\} + f f''' - f' f'' - Sq\left(\frac{3}{2}f'' + \frac{\eta}{2}f'''\right) - \frac{\alpha_\mu}{\alpha_\rho\, Da}f'' - \frac{\alpha_\sigma}{\alpha_\rho}M f'' - 2 Fr\, f' f'' = 0</w:t>
      </w:r>
    </w:p>
    <w:p>
      <w:r>
        <w:t xml:space="preserve">\tag{23}</w:t>
      </w:r>
    </w:p>
    <w:p>
      <w:r>
        <w:t xml:space="preserve">$$</w:t>
      </w:r>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G. The information carried by G (the x-wise pressure gradient) is recovered implicitly through the fourth boundary condition: whereas the third-order equation (22) requires three conditions plus a known value of G, the fourth-order equation (23) requires four boundary conditions and determines G a posteriori by back-substituting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Applying the transformation (18) to Eqs. (10) and (11) and using the Rosseland linearisation gives (the radiation parameter is Rd = 4σ*T₀³/(k*κ_f) as defined in Eq. 20, which produces the coefficients 4/3 and 4 below)</w:t>
      </w:r>
    </w:p>
    <w:p/>
    <w:p>
      <w:r>
        <w:t xml:space="preserve">$$</w:t>
      </w:r>
    </w:p>
    <w:p>
      <w:r>
        <w:t xml:space="preserve">\left[\alpha_\kappa + \frac{4}{3}Rd\, F^3\right]\theta'' + 4 Rd\,(\theta_r - 1)F^2\theta'^2 + \alpha_c \Pr\left(f\theta' - f'\theta - Sq\,\theta - \frac{Sq}{2}\eta\theta'\right) + \Pr\,\Xi = 0</w:t>
      </w:r>
    </w:p>
    <w:p>
      <w:r>
        <w:t xml:space="preserve">\tag{24}</w:t>
      </w:r>
    </w:p>
    <w:p>
      <w:r>
        <w:t xml:space="preserve">$$</w:t>
      </w:r>
    </w:p>
    <w:p/>
    <w:p>
      <w:r>
        <w:t xml:space="preserve">$$</w:t>
      </w:r>
    </w:p>
    <w:p>
      <w:r>
        <w:t xml:space="preserve">\phi'' + Sc\left(f\phi' - f'\phi - Sq\,\phi - \frac{Sq}{2}\eta\phi'\right) + Sc\,Sr\,\theta'' - K\,Sc\,\phi = 0</w:t>
      </w:r>
    </w:p>
    <w:p>
      <w:r>
        <w:t xml:space="preserve">\tag{25}</w:t>
      </w:r>
    </w:p>
    <w:p>
      <w:r>
        <w:t xml:space="preserve">$$</w:t>
      </w:r>
    </w:p>
    <w:p/>
    <w:p>
      <w:r>
        <w:t xml:space="preserve">Here θ_r = T_w/T₀ is the wall-to-ambient temperature ratio, and the dimensionless temperature function appearing in the radiative group is defined as</w:t>
      </w:r>
    </w:p>
    <w:p/>
    <w:p>
      <w:r>
        <w:t xml:space="preserve">$$</w:t>
      </w:r>
    </w:p>
    <w:p>
      <w:r>
        <w:t xml:space="preserve">F(\eta) = 1 + (\theta_r - 1)\theta(\eta)</w:t>
      </w:r>
    </w:p>
    <w:p>
      <w:r>
        <w:t xml:space="preserve">\tag{26}</w:t>
      </w:r>
    </w:p>
    <w:p>
      <w:r>
        <w:t xml:space="preserve">$$</w:t>
      </w:r>
    </w:p>
    <w:p/>
    <w:p>
      <w:r>
        <w:t xml:space="preserve">so that F = T/T₀ is dimensionless and ranges continuously from F(1) = 1 at the (ambient) upper plate to F(0) = θ_r at the heated lower plate. The combined viscous-dissipation and Joule-heating source is</w:t>
      </w:r>
    </w:p>
    <w:p/>
    <w:p>
      <w:r>
        <w:t xml:space="preserve">$$</w:t>
      </w:r>
    </w:p>
    <w:p>
      <w:r>
        <w:t xml:space="preserve">\Xi = \alpha_\mu Ec\, f''^2 + \alpha_\sigma M\, Ec\,(f' - Ee)^2 + \alpha_c Df\, \phi''</w:t>
      </w:r>
    </w:p>
    <w:p>
      <w:r>
        <w:t xml:space="preserve">\tag{27}</w:t>
      </w:r>
    </w:p>
    <w:p>
      <w:r>
        <w:t xml:space="preserve">$$</w:t>
      </w:r>
    </w:p>
    <w:p/>
    <w:p>
      <w:r>
        <w:rPr>
          <w:b/>
        </w:rPr>
        <w:t xml:space="preserve">Radiation-coefficient reduction.</w:t>
      </w:r>
      <w:r>
        <w:t xml:space="preserve"> Differentiating the Rosseland flux (12) gives −∂q_r/∂y = (16σ*/3k*)[T³ ∂²T/∂y² + 3T²(∂T/∂y)²]. Writing T = T₀F with F from Eq. (26) and normalising the energy equation by κ_f(T_w − T₀)/h² yields the radiative contribution (16σ*T₀³/3k*κ_f)[F³θ″ + 3(θ_r − 1)F²θ′²]. Defining the radiation parameter as Rd = 4σ*T₀³/(k*κ_f) (Eq. 20), the prefactor 16σ*T₀³/(3k*κ_f) equals (4/3)Rd, so the two radiative terms become exactly (4/3)Rd F³θ″ and 3 × (4/3)Rd (θ_r − 1)F²θ′² = 4Rd (θ_r − 1)F²θ′², as written in Eq. (24).</w:t>
      </w:r>
    </w:p>
    <w:p/>
    <w:p>
      <w:r>
        <w:rPr>
          <w:b/>
        </w:rPr>
        <w:t xml:space="preserve">Dufour term normalisation.</w:t>
      </w:r>
      <w:r>
        <w:t xml:space="preserve"> The dimensional Dufour contribution in Eq. (10) is [(ρc_p)_hnf D_B K_T/(c_s (c_p)_f)] ∂²C/∂y², with c_s the concentration susceptibility of Section 2.3. Non-dimensionalising with C − C₀ = (C_w − C₀)φ, T − T₀ = (T_w − T₀)θ and y = h(t)η, this term becomes</w:t>
      </w:r>
    </w:p>
    <w:p/>
    <w:p>
      <w:r>
        <w:t xml:space="preserve">(ρc_p)_hnf [D_B K_T (C_w − C₀)/(c_s (c_p)_f h²)] φ″.</w:t>
      </w:r>
    </w:p>
    <w:p/>
    <w:p>
      <w:r>
        <w:t xml:space="preserve">The energy equation is reduced to the form of Eq. (24) by dividing every term by the conduction scale κ_f(T_w − T₀)/h². Applying this to the Dufour term and using (ρc_p)_hnf = α_c (ρc_p)_f together with the identity (ρc_p)_f/κ_f = Pr/ν_f gives</w:t>
      </w:r>
    </w:p>
    <w:p/>
    <w:p>
      <w:r>
        <w:t xml:space="preserve">[(ρc_p)_hnf/κ_f] × D_B K_T (C_w − C₀)/[c_s (c_p)_f (T_w − T₀)]</w:t>
      </w:r>
    </w:p>
    <w:p>
      <w:r>
        <w:t xml:space="preserve">= α_c (Pr/ν_f) × D_B K_T (C_w − C₀)/[c_s (c_p)_f (T_w − T₀)]</w:t>
      </w:r>
    </w:p>
    <w:p>
      <w:r>
        <w:t xml:space="preserve">= α_c Pr Df,</w:t>
      </w:r>
    </w:p>
    <w:p/>
    <w:p>
      <w:r>
        <w:t xml:space="preserve">where</w:t>
      </w:r>
    </w:p>
    <w:p/>
    <w:p>
      <w:r>
        <w:t xml:space="preserve">Df = D_B K_T (C_w − C₀)/[c_s (c_p)_f ν_f (T_w − T₀)]</w:t>
      </w:r>
    </w:p>
    <w:p/>
    <w:p>
      <w:r>
        <w:t xml:space="preserve">is the dimensionless Dufour number of Eq. (21). Hence the normalised Dufour term is α_c Pr Df φ″; factoring the common Pr that multiplies the dissipation source Ξ in Eq. (24), the Dufour contribution appearing inside Ξ is α_c Df φ″, exactly as written in Eq. (27). (There is no density ratio α_ρ in this coefficient; the relevant property ratio is the heat-capacity ratio α_c.) All dimensionless groups entering Eqs. (24)–(25) — namely Pr, Rd, Ec, Sc, Sr, Df, K and the ratios α_κ, α_c, α_μ, α_σ, α_ρ — are defined in Section 2.5.</w:t>
      </w:r>
    </w:p>
    <w:p/>
    <w:p>
      <w:pPr>
        <w:pStyle w:val="Heading2"/>
      </w:pPr>
      <w:r>
        <w:t xml:space="preserve">2.8 Boundary conditions</w:t>
      </w:r>
    </w:p>
    <w:p/>
    <w:p>
      <w:r>
        <w:t xml:space="preserve">The velocity-slip, convective thermal (Biot-type) and solutal-slip conditions are</w:t>
      </w:r>
    </w:p>
    <w:p/>
    <w:p>
      <w:r>
        <w:t xml:space="preserve">$$</w:t>
      </w:r>
    </w:p>
    <w:p>
      <w:r>
        <w:t xml:space="preserve">f(0) = 0, \quad f'(0) = 1 + S_1 f''(0), \quad f(1) = \frac{Sq}{2}, \quad f'(1) = 0</w:t>
      </w:r>
    </w:p>
    <w:p>
      <w:r>
        <w:t xml:space="preserve">\tag{28}</w:t>
      </w:r>
    </w:p>
    <w:p>
      <w:r>
        <w:t xml:space="preserve">$$</w:t>
      </w:r>
    </w:p>
    <w:p/>
    <w:p>
      <w:r>
        <w:t xml:space="preserve">$$</w:t>
      </w:r>
    </w:p>
    <w:p>
      <w:r>
        <w:t xml:space="preserve">\theta'(0) = -Bi\left[1 - \theta(0)\right], \quad \theta(1) = 0, \quad \phi(0) = 1 + S_3 \phi'(0), \quad \phi(1) = 0</w:t>
      </w:r>
    </w:p>
    <w:p>
      <w:r>
        <w:t xml:space="preserve">\tag{29}</w:t>
      </w:r>
    </w:p>
    <w:p>
      <w:r>
        <w:t xml:space="preserve">$$</w:t>
      </w:r>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U_e and the streamwise coordinate x:</w:t>
      </w:r>
    </w:p>
    <w:p/>
    <w:p>
      <w:r>
        <w:t xml:space="preserve">$$</w:t>
      </w:r>
    </w:p>
    <w:p>
      <w:r>
        <w:t xml:space="preserve">Re_x = \frac{U_e x}{\nu_f} = \frac{a x^2}{\nu_f (1 - \gamma t)}</w:t>
      </w:r>
    </w:p>
    <w:p>
      <w:r>
        <w:t xml:space="preserve">\tag{30}</w:t>
      </w:r>
    </w:p>
    <w:p>
      <w:r>
        <w:t xml:space="preserve">$$</w:t>
      </w:r>
    </w:p>
    <w:p/>
    <w:p>
      <w:r>
        <w:t xml:space="preserve">The positive wall-normal coordinate is taken in the +y direction (from the lower plate at η = 0 to the upper plate at η = 1); hence the sign of f″(1) determines the reported sign of the upper-wall shear stress. The skin-friction coefficient is defined here with the single-sided dynamic pressure, C_f = τ_w/(ρ_f U_e²), from the Carreau wall shear stress τ_w = μ_hnf (∂u/∂y)[1 + (Γ ∂u/∂y)²]^{(n−1)/2} evaluated at the upper plate. With this convention (no factor of 1/2 in the reference pressure), the reduced form is</w:t>
      </w:r>
    </w:p>
    <w:p/>
    <w:p>
      <w:r>
        <w:t xml:space="preserve">$$</w:t>
      </w:r>
    </w:p>
    <w:p>
      <w:r>
        <w:t xml:space="preserve">Re_x^{1/2} C_f = \alpha_\mu f''(1)\left[1 + We^2 f''(1)^2\right]^{\frac{n-1}{2}}</w:t>
      </w:r>
    </w:p>
    <w:p>
      <w:r>
        <w:t xml:space="preserve">\tag{31}</w:t>
      </w:r>
    </w:p>
    <w:p>
      <w:r>
        <w:t xml:space="preserve">$$</w:t>
      </w:r>
    </w:p>
    <w:p/>
    <w:p>
      <w:r>
        <w:t xml:space="preserve">so that the property ratio α_μ and the Carreau exponent (n − 1)/2 appear exactly as in the constitutive law (6). Had the half-dynamic-pressure convention C_f = τ_w/(½ρ_f U_e²) been adopted, a leading factor of 2 would appear in Eq. (31); the reported C_f values follow the convention stated above. The reduced Nusselt and Sherwood numbers are</w:t>
      </w:r>
    </w:p>
    <w:p/>
    <w:p>
      <w:r>
        <w:t xml:space="preserve">$$</w:t>
      </w:r>
    </w:p>
    <w:p>
      <w:r>
        <w:t xml:space="preserve">Re_x^{-1/2} Nu = -\left[\alpha_\kappa + \frac{4}{3}Rd\, F(1)^3\right]\theta'(1)</w:t>
      </w:r>
    </w:p>
    <w:p>
      <w:r>
        <w:t xml:space="preserve">\tag{32}</w:t>
      </w:r>
    </w:p>
    <w:p>
      <w:r>
        <w:t xml:space="preserve">$$</w:t>
      </w:r>
    </w:p>
    <w:p/>
    <w:p>
      <w:r>
        <w:t xml:space="preserve">$$</w:t>
      </w:r>
    </w:p>
    <w:p>
      <w:r>
        <w:t xml:space="preserve">Re_x^{-1/2} Sh = -\phi'(1)</w:t>
      </w:r>
    </w:p>
    <w:p>
      <w:r>
        <w:t xml:space="preserve">\tag{33}</w:t>
      </w:r>
    </w:p>
    <w:p>
      <w:r>
        <w:t xml:space="preserve">$$</w:t>
      </w:r>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w:r>
        <w:t xml:space="preserve">$$</w:t>
      </w:r>
    </w:p>
    <w:p>
      <w:r>
        <w:t xml:space="preserve">S'''_0 = \frac{k_f (T_w - T_0)^2}{T_0^2 h^2}</w:t>
      </w:r>
    </w:p>
    <w:p>
      <w:r>
        <w:t xml:space="preserve">\tag{34}</w:t>
      </w:r>
    </w:p>
    <w:p>
      <w:r>
        <w:t xml:space="preserve">$$</w:t>
      </w:r>
    </w:p>
    <w:p/>
    <w:p>
      <w:r>
        <w:t xml:space="preserve">The dimensionless entropy-generation number N_s comprises four physically distinct contributions — heat-transfer, fluid-friction, Joule and diffusive/species irreversibilities — with the Soret–Dufour cross term included within the diffusive contribution N_DD:</w:t>
      </w:r>
    </w:p>
    <w:p/>
    <w:p>
      <w:r>
        <w:t xml:space="preserve">$$</w:t>
      </w:r>
    </w:p>
    <w:p>
      <w:r>
        <w:t xml:space="preserve">N_s = \underbrace{\left[\alpha_\kappa + \frac{4}{3}Rd\, F^3\right]\theta'^2}_{N_{HT}} + \underbrace{\frac{\alpha_\mu Br}{\Omega}f''^2}_{N_{FF}} + \underbrace{\frac{\alpha_\sigma Br\, M}{\Omega}(f' - Ee)^2}_{N_J} + \underbrace{\Lambda\left(\frac{\zeta}{\Omega}\right)^2\phi'^2 + \Lambda\frac{\zeta}{\Omega}\theta'\phi'}_{N_{DD}}</w:t>
      </w:r>
    </w:p>
    <w:p>
      <w:r>
        <w:t xml:space="preserve">\tag{35}</w:t>
      </w:r>
    </w:p>
    <w:p>
      <w:r>
        <w:t xml:space="preserve">$$</w:t>
      </w:r>
    </w:p>
    <w:p/>
    <w:p>
      <w:r>
        <w:t xml:space="preserve">The dimensionless groups are defined as</w:t>
      </w:r>
    </w:p>
    <w:p/>
    <w:p>
      <w:r>
        <w:t xml:space="preserve">$$</w:t>
      </w:r>
    </w:p>
    <w:p>
      <w:r>
        <w:t xml:space="preserve">Br = \frac{\mu_f U_e^2}{\kappa_f (T_w - T_0)}, \quad</w:t>
      </w:r>
    </w:p>
    <w:p>
      <w:r>
        <w:t xml:space="preserve">\Omega = \frac{T_w - T_0}{T_0}, \quad</w:t>
      </w:r>
    </w:p>
    <w:p>
      <w:r>
        <w:t xml:space="preserve">\Lambda = \frac{R_s\, \rho_f D_B\, (C_w - C_0)}{\kappa_f}, \quad</w:t>
      </w:r>
    </w:p>
    <w:p>
      <w:r>
        <w:t xml:space="preserve">\zeta = \frac{C_w - C_0}{C_0}</w:t>
      </w:r>
    </w:p>
    <w:p>
      <w:r>
        <w:t xml:space="preserve">\tag{36}</w:t>
      </w:r>
    </w:p>
    <w:p>
      <w:r>
        <w:t xml:space="preserve">$$</w:t>
      </w:r>
    </w:p>
    <w:p/>
    <w:p>
      <w:r>
        <w:t xml:space="preserve">where Br is the Brinkman number, Ω the dimensionless temperature difference, Λ the diffusive-irreversibility parameter, ζ the dimensionless concentration difference, and R_s is the specific (mass-basis) gas constant of the diffusing species (units J kg⁻¹ K⁻¹), consistent with the mass-fraction definition of C adopted throughout. The product R_s ρ_f D_B (C_w − C₀)/κ_f is dimensionless. The four labelled groups satisfy, by construction,</w:t>
      </w:r>
    </w:p>
    <w:p/>
    <w:p>
      <w:r>
        <w:t xml:space="preserve">$$</w:t>
      </w:r>
    </w:p>
    <w:p>
      <w:r>
        <w:t xml:space="preserve">N_s = N_{HT} + N_{FF} + N_J + N_{DD}</w:t>
      </w:r>
    </w:p>
    <w:p>
      <w:r>
        <w:t xml:space="preserve">\tag{37}</w:t>
      </w:r>
    </w:p>
    <w:p>
      <w:r>
        <w:t xml:space="preserve">$$</w:t>
      </w:r>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σ_s is non-negative (second law), the local entropy production is σ_s = </w:t>
      </w:r>
      <w:r>
        <w:rPr>
          <w:b/>
        </w:rPr>
        <w:t xml:space="preserve">J</w:t>
      </w:r>
      <w:r>
        <w:t xml:space="preserve">_q · ∇(1/T) − (1/T) </w:t>
      </w:r>
      <w:r>
        <w:rPr>
          <w:b/>
        </w:rPr>
        <w:t xml:space="preserve">J</w:t>
      </w:r>
      <w:r>
        <w:t xml:space="preserve">_s · ∇μ_c ≥ 0, where </w:t>
      </w:r>
      <w:r>
        <w:rPr>
          <w:b/>
        </w:rPr>
        <w:t xml:space="preserve">J</w:t>
      </w:r>
      <w:r>
        <w:t xml:space="preserve">_q and </w:t>
      </w:r>
      <w:r>
        <w:rPr>
          <w:b/>
        </w:rPr>
        <w:t xml:space="preserve">J</w:t>
      </w:r>
      <w:r>
        <w:t xml:space="preserve">_s are the heat- and species-diffusion fluxes and μ_c is the chemical potential; the second term carries the explicit minus sign so that the dissipation associated with down-gradient species diffusion is positive. Expanding to first order about the reference state (T₀, C₀) with Fourier–Fick–Soret/Dufour closure yields a quadratic form in (∂T/∂y, ∂C/∂y). On the mass basis adopted here (C a mass fraction), the chemical-potential gradient contributes a factor R_s ρ_f (the specific gas constant times the base-fluid density); the diagonal terms then give the conduction irreversibility and the pure diffusive term (R_s ρ_f D_B/C₀)(∂C/∂y)², while the symmetric Onsager cross-coupling gives the cross term (R_s ρ_f D_B/T₀)(∂T/∂y)(∂C/∂y). After non-dimensionalisation these map onto the two members of N_DD in Eq. (35), with Λ as defined in Eq. (36).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w:r>
        <w:t xml:space="preserve">$$</w:t>
      </w:r>
    </w:p>
    <w:p>
      <w:r>
        <w:t xml:space="preserve">Be = \frac{N_{HT} + N_{DD}}{N_s} = \frac{N_{HT} + N_{DD}}{N_{HT} + N_{FF} + N_J + N_{DD}}</w:t>
      </w:r>
    </w:p>
    <w:p>
      <w:r>
        <w:t xml:space="preserve">\tag{38}</w:t>
      </w:r>
    </w:p>
    <w:p>
      <w:r>
        <w:t xml:space="preserve">$$</w:t>
      </w:r>
    </w:p>
    <w:p/>
    <w:p>
      <w:r>
        <w:t xml:space="preserve">The Soret–Dufour cross term is contained entirely within N_DD (fourth brace in Eq. 35) and is therefore assigned to the numerator together with the diagonal diffusive and conduction irreversibilities. The combined thermal-plus-diffusive numerator N_HT + N_DD is a quadratic form in the gradients (θ′, φ′):</w:t>
      </w:r>
    </w:p>
    <w:p/>
    <w:p>
      <w:r>
        <w:t xml:space="preserve">$$</w:t>
      </w:r>
    </w:p>
    <w:p>
      <w:r>
        <w:t xml:space="preserve">N_{HT} + N_{DD} = A\,\theta'^2 + 2B\,\theta'\phi' + C\,\phi'^2</w:t>
      </w:r>
    </w:p>
    <w:p>
      <w:r>
        <w:t xml:space="preserve">\tag{39}</w:t>
      </w:r>
    </w:p>
    <w:p>
      <w:r>
        <w:t xml:space="preserve">$$</w:t>
      </w:r>
    </w:p>
    <w:p/>
    <w:p>
      <w:r>
        <w:t xml:space="preserve">with coefficients</w:t>
      </w:r>
    </w:p>
    <w:p/>
    <w:p>
      <w:r>
        <w:t xml:space="preserve">$$</w:t>
      </w:r>
    </w:p>
    <w:p>
      <w:r>
        <w:t xml:space="preserve">A = \alpha_\kappa + \frac{4}{3}Rd\, F^3, \qquad</w:t>
      </w:r>
    </w:p>
    <w:p>
      <w:r>
        <w:t xml:space="preserve">B = \frac{1}{2}\Lambda\frac{\zeta}{\Omega}, \qquad</w:t>
      </w:r>
    </w:p>
    <w:p>
      <w:r>
        <w:t xml:space="preserve">C = \Lambda\left(\frac{\zeta}{\Omega}\right)^2</w:t>
      </w:r>
    </w:p>
    <w:p>
      <w:r>
        <w:t xml:space="preserve">\tag{40}</w:t>
      </w:r>
    </w:p>
    <w:p>
      <w:r>
        <w:t xml:space="preserve">$$</w:t>
      </w:r>
    </w:p>
    <w:p/>
    <w:p>
      <w:r>
        <w:t xml:space="preserve">We adopt the heating/mass-addition configuration in which both driving differences are positive, T_w − T₀ &gt; 0 and ΔC = C_w − C₀ &gt; 0; consequently Ω = (T_w − T₀)/T₀ &gt; 0 and ζ = (C_w − C₀)/C₀ &gt; 0, and Λ = R D_B ΔC/κ_f &gt; 0 since R, D_B, κ_f &gt; 0. A real symmetric quadratic form A θ′² + 2B θ′φ′ + C φ′² is positive semidefinite if and only if A ≥ 0, C ≥ 0 and AC − B² ≥ 0. Under the sign assumptions just stated, A = α_κ + (4/3)Rd F³ ≥ 0 and C = Λ(ζ/Ω)² ≥ 0 hold automatically (Rd ≥ 0, and Λ, (ζ/Ω)² ≥ 0). Imposing the determinant condition,</w:t>
      </w:r>
    </w:p>
    <w:p/>
    <w:p>
      <w:r>
        <w:t xml:space="preserve">$$</w:t>
      </w:r>
    </w:p>
    <w:p>
      <w:r>
        <w:t xml:space="preserve">AC - B^2 = \Lambda\left(\frac{\zeta}{\Omega}\right)^2\left[\alpha_\kappa + \frac{4}{3}Rd\, F^3\right] - \frac{1}{4}\Lambda^2\left(\frac{\zeta}{\Omega}\right)^2 = \Lambda\left(\frac{\zeta}{\Omega}\right)^2\left\{\left[\alpha_\kappa + \frac{4}{3}Rd\, F^3\right] - \frac{\Lambda}{4}\right\} \ge 0,</w:t>
      </w:r>
    </w:p>
    <w:p>
      <w:r>
        <w:t xml:space="preserve">\tag{41}</w:t>
      </w:r>
    </w:p>
    <w:p>
      <w:r>
        <w:t xml:space="preserve">$$</w:t>
      </w:r>
    </w:p>
    <w:p/>
    <w:p>
      <w:r>
        <w:t xml:space="preserve">which, since Λ(ζ/Ω)² ≥ 0, reduces to the bound</w:t>
      </w:r>
    </w:p>
    <w:p/>
    <w:p>
      <w:r>
        <w:t xml:space="preserve">$$</w:t>
      </w:r>
    </w:p>
    <w:p>
      <w:r>
        <w:t xml:space="preserve">\Lambda \le 4\left[\alpha_\kappa + \frac{4}{3}Rd\, F^3\right].</w:t>
      </w:r>
    </w:p>
    <w:p>
      <w:r>
        <w:t xml:space="preserve">\tag{42}</w:t>
      </w:r>
    </w:p>
    <w:p>
      <w:r>
        <w:t xml:space="preserve">$$</w:t>
      </w:r>
    </w:p>
    <w:p/>
    <w:p>
      <w:r>
        <w:t xml:space="preserve">Equation (42) was checked to hold at every η over the full parameter range reported here, so the complete diffusive quadratic form satisfies N_HT + N_DD ≥ 0. The friction and Joule contributions N_FF and N_J are individually non-negative because each is a positive coefficient times a squared gradient. Consequently, under the positive-semidefinite condition given by Eq. (42) together with the sign assumptions above, the whole denominator N_s is positive and the calculated Bejan number satisfies 0 ≤ Be ≤ 1 over the reported parameter range — note that it is the complete quadratic form N_HT + N_DD, and not the individual cross term Λ(ζ/Ω)θ′φ′ (which may be negative locally), that is guaranteed non-negative. This is confirmed by the computed cases in Table 5, whose reported wall values span 0.1124 ≤ Be(0) ≤ 0.2918.</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values of f″(1) change by less than 1 × 10⁻⁶ in relative terms as the mesh is refined from N = 100 through 200 to 400 collocation intervals (Table 1, reported to eight significant figures). We therefore consider the solution to be grid-independent to the reported numerical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Relative change, Δf″(1)/f″(1)</w:t>
            </w:r>
          </w:p>
        </w:tc>
      </w:tr>
      <w:tr>
        <w:tc>
          <w:tcPr>
            <w:tcBorders>
              <w:top w:val="single" w:sz="4" w:color="000000"/>
              <w:bottom w:val="single" w:sz="4" w:color="000000"/>
              <w:left w:val="single" w:sz="4" w:color="000000"/>
              <w:right w:val="single" w:sz="4" w:color="000000"/>
            </w:tcBorders>
          </w:tcPr>
          <w:p>
            <w:pPr>
              <w:spacing w:after="0"/>
            </w:pPr>
            <w:r>
              <w:t xml:space="preserve">100</w:t>
            </w:r>
          </w:p>
        </w:tc>
        <w:tc>
          <w:tcPr>
            <w:tcBorders>
              <w:top w:val="single" w:sz="4" w:color="000000"/>
              <w:bottom w:val="single" w:sz="4" w:color="000000"/>
              <w:left w:val="single" w:sz="4" w:color="000000"/>
              <w:right w:val="single" w:sz="4" w:color="000000"/>
            </w:tcBorders>
          </w:tcPr>
          <w:p>
            <w:pPr>
              <w:spacing w:after="0"/>
            </w:pPr>
            <w:r>
              <w:t xml:space="preserve">0.07587814</w:t>
            </w:r>
          </w:p>
        </w:tc>
        <w:tc>
          <w:tcPr>
            <w:tcBorders>
              <w:top w:val="single" w:sz="4" w:color="000000"/>
              <w:bottom w:val="single" w:sz="4" w:color="000000"/>
              <w:left w:val="single" w:sz="4" w:color="000000"/>
              <w:right w:val="single" w:sz="4" w:color="000000"/>
            </w:tcBorders>
          </w:tcPr>
          <w:p>
            <w:pPr>
              <w:spacing w:after="0"/>
            </w:pPr>
            <w:r>
              <w:t xml:space="preserve">—</w:t>
            </w:r>
          </w:p>
        </w:tc>
      </w:tr>
      <w:tr>
        <w:tc>
          <w:tcPr>
            <w:tcBorders>
              <w:top w:val="single" w:sz="4" w:color="000000"/>
              <w:bottom w:val="single" w:sz="4" w:color="000000"/>
              <w:left w:val="single" w:sz="4" w:color="000000"/>
              <w:right w:val="single" w:sz="4" w:color="000000"/>
            </w:tcBorders>
          </w:tcPr>
          <w:p>
            <w:pPr>
              <w:spacing w:after="0"/>
            </w:pPr>
            <w:r>
              <w:t xml:space="preserve">200</w:t>
            </w:r>
          </w:p>
        </w:tc>
        <w:tc>
          <w:tcPr>
            <w:tcBorders>
              <w:top w:val="single" w:sz="4" w:color="000000"/>
              <w:bottom w:val="single" w:sz="4" w:color="000000"/>
              <w:left w:val="single" w:sz="4" w:color="000000"/>
              <w:right w:val="single" w:sz="4" w:color="000000"/>
            </w:tcBorders>
          </w:tcPr>
          <w:p>
            <w:pPr>
              <w:spacing w:after="0"/>
            </w:pPr>
            <w:r>
              <w:t xml:space="preserve">0.07587810</w:t>
            </w:r>
          </w:p>
        </w:tc>
        <w:tc>
          <w:tcPr>
            <w:tcBorders>
              <w:top w:val="single" w:sz="4" w:color="000000"/>
              <w:bottom w:val="single" w:sz="4" w:color="000000"/>
              <w:left w:val="single" w:sz="4" w:color="000000"/>
              <w:right w:val="single" w:sz="4" w:color="000000"/>
            </w:tcBorders>
          </w:tcPr>
          <w:p>
            <w:pPr>
              <w:spacing w:after="0"/>
            </w:pPr>
            <w:r>
              <w:t xml:space="preserve">5.3 × 10⁻⁷</w:t>
            </w:r>
          </w:p>
        </w:tc>
      </w:tr>
      <w:tr>
        <w:tc>
          <w:tcPr>
            <w:tcBorders>
              <w:top w:val="single" w:sz="4" w:color="000000"/>
              <w:bottom w:val="single" w:sz="4" w:color="000000"/>
              <w:left w:val="single" w:sz="4" w:color="000000"/>
              <w:right w:val="single" w:sz="4" w:color="000000"/>
            </w:tcBorders>
          </w:tcPr>
          <w:p>
            <w:pPr>
              <w:spacing w:after="0"/>
            </w:pPr>
            <w:r>
              <w:t xml:space="preserve">400</w:t>
            </w:r>
          </w:p>
        </w:tc>
        <w:tc>
          <w:tcPr>
            <w:tcBorders>
              <w:top w:val="single" w:sz="4" w:color="000000"/>
              <w:bottom w:val="single" w:sz="4" w:color="000000"/>
              <w:left w:val="single" w:sz="4" w:color="000000"/>
              <w:right w:val="single" w:sz="4" w:color="000000"/>
            </w:tcBorders>
          </w:tcPr>
          <w:p>
            <w:pPr>
              <w:spacing w:after="0"/>
            </w:pPr>
            <w:r>
              <w:t xml:space="preserve">0.07587809</w:t>
            </w:r>
          </w:p>
        </w:tc>
        <w:tc>
          <w:tcPr>
            <w:tcBorders>
              <w:top w:val="single" w:sz="4" w:color="000000"/>
              <w:bottom w:val="single" w:sz="4" w:color="000000"/>
              <w:left w:val="single" w:sz="4" w:color="000000"/>
              <w:right w:val="single" w:sz="4" w:color="000000"/>
            </w:tcBorders>
          </w:tcPr>
          <w:p>
            <w:pPr>
              <w:spacing w:after="0"/>
            </w:pPr>
            <w:r>
              <w:t xml:space="preserve">1.3 × 10⁻⁷</w:t>
            </w:r>
          </w:p>
        </w:tc>
      </w:tr>
    </w:tbl>
    <w:p/>
    <w:p>
      <w:r>
        <w:rPr>
          <w:b/>
        </w:rPr>
        <w:t xml:space="preserve">Table 2. Newtonian clear-fluid limit</w:t>
      </w:r>
      <w:r>
        <w:t xml:space="preserve"> (Pr = 6.2, Bi = 0.5; radiation, dissipation, Joule, Soret and Dufour effects switched off so that the energy equation reduces to θ″ + Pr(fθ′ − f′θ − Sq θ − (Sq/2)ηθ′) = 0 with θ′(0) = −Bi[1 − θ(0)], θ(1) = 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−θ′(1)</w:t>
            </w:r>
          </w:p>
        </w:tc>
      </w:tr>
      <w:tr>
        <w:tc>
          <w:tcPr>
            <w:tcBorders>
              <w:top w:val="single" w:sz="4" w:color="000000"/>
              <w:bottom w:val="single" w:sz="4" w:color="000000"/>
              <w:left w:val="single" w:sz="4" w:color="000000"/>
              <w:right w:val="single" w:sz="4" w:color="000000"/>
            </w:tcBorders>
          </w:tcPr>
          <w:p>
            <w:pPr>
              <w:spacing w:after="0"/>
            </w:pPr>
            <w:r>
              <w:t xml:space="preserve">0.1</w:t>
            </w:r>
          </w:p>
        </w:tc>
        <w:tc>
          <w:tcPr>
            <w:tcBorders>
              <w:top w:val="single" w:sz="4" w:color="000000"/>
              <w:bottom w:val="single" w:sz="4" w:color="000000"/>
              <w:left w:val="single" w:sz="4" w:color="000000"/>
              <w:right w:val="single" w:sz="4" w:color="000000"/>
            </w:tcBorders>
          </w:tcPr>
          <w:p>
            <w:pPr>
              <w:spacing w:after="0"/>
            </w:pPr>
            <w:r>
              <w:t xml:space="preserve">1.650489</w:t>
            </w:r>
          </w:p>
        </w:tc>
        <w:tc>
          <w:tcPr>
            <w:tcBorders>
              <w:top w:val="single" w:sz="4" w:color="000000"/>
              <w:bottom w:val="single" w:sz="4" w:color="000000"/>
              <w:left w:val="single" w:sz="4" w:color="000000"/>
              <w:right w:val="single" w:sz="4" w:color="000000"/>
            </w:tcBorders>
          </w:tcPr>
          <w:p>
            <w:pPr>
              <w:spacing w:after="0"/>
            </w:pPr>
            <w:r>
              <w:t xml:space="preserve">0.716418</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w:t>
            </w:r>
          </w:p>
        </w:tc>
        <w:tc>
          <w:tcPr>
            <w:tcBorders>
              <w:top w:val="single" w:sz="4" w:color="000000"/>
              <w:bottom w:val="single" w:sz="4" w:color="000000"/>
              <w:left w:val="single" w:sz="4" w:color="000000"/>
              <w:right w:val="single" w:sz="4" w:color="000000"/>
            </w:tcBorders>
          </w:tcPr>
          <w:p>
            <w:pPr>
              <w:spacing w:after="0"/>
            </w:pPr>
            <w:r>
              <w:t xml:space="preserve">0.352009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w:t>
            </w:r>
          </w:p>
        </w:tc>
        <w:tc>
          <w:tcPr>
            <w:tcBorders>
              <w:top w:val="single" w:sz="4" w:color="000000"/>
              <w:bottom w:val="single" w:sz="4" w:color="000000"/>
              <w:left w:val="single" w:sz="4" w:color="000000"/>
              <w:right w:val="single" w:sz="4" w:color="000000"/>
            </w:tcBorders>
          </w:tcPr>
          <w:p>
            <w:pPr>
              <w:spacing w:after="0"/>
            </w:pPr>
            <w:r>
              <w:t xml:space="preserve">0.176000</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−2.768838</w:t>
            </w:r>
          </w:p>
        </w:tc>
        <w:tc>
          <w:tcPr>
            <w:tcBorders>
              <w:top w:val="single" w:sz="4" w:color="000000"/>
              <w:bottom w:val="single" w:sz="4" w:color="000000"/>
              <w:left w:val="single" w:sz="4" w:color="000000"/>
              <w:right w:val="single" w:sz="4" w:color="000000"/>
            </w:tcBorders>
          </w:tcPr>
          <w:p>
            <w:pPr>
              <w:spacing w:after="0"/>
            </w:pPr>
            <w:r>
              <w:t xml:space="preserve">0.098720</w:t>
            </w:r>
          </w:p>
        </w:tc>
      </w:tr>
    </w:tbl>
    <w:p/>
    <w:p/>
    <w:p>
      <w:pPr>
        <w:pStyle w:val="Heading1"/>
      </w:pPr>
      <w:r>
        <w:t xml:space="preserve">5. Validation</w:t>
      </w:r>
    </w:p>
    <w:p/>
    <w:p>
      <w:r>
        <w:t xml:space="preserve">Grid convergence (Table 1) confirms mesh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Wang squeezing-film equation</w:t>
      </w:r>
    </w:p>
    <w:p/>
    <w:p>
      <w:r>
        <w:t xml:space="preserve">$$</w:t>
      </w:r>
    </w:p>
    <w:p>
      <w:r>
        <w:t xml:space="preserve">f^{(4)} + f f''' - f' f'' - Sq\left(\frac{3}{2}f'' + \frac{\eta}{2}f'''\right) = 0</w:t>
      </w:r>
    </w:p>
    <w:p>
      <w:r>
        <w:t xml:space="preserve">$$</w:t>
      </w:r>
    </w:p>
    <w:p/>
    <w:p>
      <w:r>
        <w:t xml:space="preserve">with f(0) = 0, f′(0) = 1, f(1) = Sq/2, f′(1) = 0, where f^{(4)} denotes the fourth derivative. A quantitative comparison of the present f″(1) against the Wang-type benchmark values is given in Table 3; the agreement is better than 0.1% across the tested range of Sq, confirming correct implementation. Because the present model is Carreau-based rather than Casson-based, direct comparison with the Casson model of [23] is not appropriate; any comparison is therefore restricted to quantities evaluated under a common Newtonian limiting configuration.</w:t>
      </w:r>
    </w:p>
    <w:p/>
    <w:p>
      <w:r>
        <w:rPr>
          <w:b/>
        </w:rPr>
        <w:t xml:space="preserve">Table 3. Validation against the Wang squeezing-film benchmark (Newtonian clear-fluid limit).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2250"/>
        <w:gridCol w:w="2250"/>
        <w:gridCol w:w="2250"/>
        <w:gridCol w:w="225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Present 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Benchmark 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Relative error (%)</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0.4221590</w:t>
            </w:r>
          </w:p>
        </w:tc>
        <w:tc>
          <w:tcPr>
            <w:tcBorders>
              <w:top w:val="single" w:sz="4" w:color="000000"/>
              <w:bottom w:val="single" w:sz="4" w:color="000000"/>
              <w:left w:val="single" w:sz="4" w:color="000000"/>
              <w:right w:val="single" w:sz="4" w:color="000000"/>
            </w:tcBorders>
          </w:tcPr>
          <w:p>
            <w:pPr>
              <w:spacing w:after="0"/>
            </w:pPr>
            <w:r>
              <w:t xml:space="preserve">0.4219680</w:t>
            </w:r>
          </w:p>
        </w:tc>
        <w:tc>
          <w:tcPr>
            <w:tcBorders>
              <w:top w:val="single" w:sz="4" w:color="000000"/>
              <w:bottom w:val="single" w:sz="4" w:color="000000"/>
              <w:left w:val="single" w:sz="4" w:color="000000"/>
              <w:right w:val="single" w:sz="4" w:color="000000"/>
            </w:tcBorders>
          </w:tcPr>
          <w:p>
            <w:pPr>
              <w:spacing w:after="0"/>
            </w:pPr>
            <w:r>
              <w:t xml:space="preserve">0.045</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−1.1521740</w:t>
            </w:r>
          </w:p>
        </w:tc>
        <w:tc>
          <w:tcPr>
            <w:tcBorders>
              <w:top w:val="single" w:sz="4" w:color="000000"/>
              <w:bottom w:val="single" w:sz="4" w:color="000000"/>
              <w:left w:val="single" w:sz="4" w:color="000000"/>
              <w:right w:val="single" w:sz="4" w:color="000000"/>
            </w:tcBorders>
          </w:tcPr>
          <w:p>
            <w:pPr>
              <w:spacing w:after="0"/>
            </w:pPr>
            <w:r>
              <w:t xml:space="preserve">−1.1530300</w:t>
            </w:r>
          </w:p>
        </w:tc>
        <w:tc>
          <w:tcPr>
            <w:tcBorders>
              <w:top w:val="single" w:sz="4" w:color="000000"/>
              <w:bottom w:val="single" w:sz="4" w:color="000000"/>
              <w:left w:val="single" w:sz="4" w:color="000000"/>
              <w:right w:val="single" w:sz="4" w:color="000000"/>
            </w:tcBorders>
          </w:tcPr>
          <w:p>
            <w:pPr>
              <w:spacing w:after="0"/>
            </w:pPr>
            <w:r>
              <w:t xml:space="preserve">0.074</w:t>
            </w:r>
          </w:p>
        </w:tc>
      </w:tr>
    </w:tbl>
    <w:p/>
    <w:p/>
    <w:p>
      <w:pPr>
        <w:pStyle w:val="Heading1"/>
      </w:pPr>
      <w:r>
        <w:t xml:space="preserve">6. Results and Discussion</w:t>
      </w:r>
    </w:p>
    <w:p/>
    <w:p>
      <w:r>
        <w:t xml:space="preserve">Throughout this section, the "core" denotes the central region of the channel away from both walls (approximately 0.3 ≤ η ≤ 0.7), as distinct from the near-wall layers where gradients are steepest.</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porous plates under aligned electric and transverse magnetic fields.</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upper plate moves with the squeezing velocity v_h of Eq. (2). The gap is filled with a Carreau hybrid nanofluid in a Darcy–Forchheimer porous medium.</w:t>
      </w:r>
    </w:p>
    <w:p/>
    <w:p>
      <w:r>
        <w:t xml:space="preserve">[Figure placeholder: figures_emhd/Figure_2_Velocity_Sq.png]</w:t>
      </w:r>
    </w:p>
    <w:p/>
    <w:p>
      <w:r>
        <w:rPr>
          <w:b/>
        </w:rPr>
        <w:t xml:space="preserve">Figure 2.</w:t>
      </w:r>
      <w:r>
        <w:t xml:space="preserve"> Effect of the squeezing parameter Sq on the velocity profile f′(η). Data computed by the present solver.</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This behaviour reflects the redistribution of the axial velocity induced by the changing channel gap and the associated squeezing motion, and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 Data computed by the present solver.</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near-wall shear is simultaneously increased (reflected in the larger C_f at We = 2.0 in Table 4).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 Data computed by the present solver.</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4, Re^(−1/2) Nu increases from 1.3509 at Rd = 0.2 to 2.3466 at Rd = 1.0 (about a 74% radiative enhancement).</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term couples the temperature gradient to species transport, whereas the Dufour term couples the concentration gradient to the energy equation, producing two-way cross-diffusion between the temperature and concentration fields [26–28].</w:t>
      </w:r>
    </w:p>
    <w:p/>
    <w:p>
      <w:pPr>
        <w:pStyle w:val="Heading2"/>
      </w:pPr>
      <w:r>
        <w:t xml:space="preserve">6.4 Entropy generation</w:t>
      </w:r>
    </w:p>
    <w:p/>
    <w:p>
      <w:r>
        <w:t xml:space="preserve">[Figure placeholder: figures_emhd/Figure_5_Entropy_Br_M.png]</w:t>
      </w:r>
    </w:p>
    <w:p/>
    <w:p>
      <w:r>
        <w:rPr>
          <w:b/>
        </w:rPr>
        <w:t xml:space="preserve">Figure 5.</w:t>
      </w:r>
      <w:r>
        <w:t xml:space="preserve"> Entropy generation number N_s(η) versus Br and M. Data computed by the present solver.</w:t>
      </w:r>
    </w:p>
    <w:p/>
    <w:p>
      <w:r>
        <w:t xml:space="preserve">Figure 5 shows the entropy-generation profiles. N_s(η) peaks at the walls, where the velocity and temperature gradients are largest, and falls toward the core — the near-wall-dominated distribution characteristic of wall-bounded irreversibility [34, 35]. Increasing Br amplifies N_s strongly: N_s(0) rises from 4.4484 (Br = 0.5) to 10.7492 (Br = 1.5), an increase of about 142%. Stronger M adds Joule irreversibility (N_s(0) = 8.2714 at M = 2.0 versus 7.5988 at M = 1.0). A larger dimensionless temperature difference reduces N_s(0) to 3.5495 at Ω = 2.0, consistent with Table 5.</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 Data computed by the present solver.</w:t>
      </w:r>
    </w:p>
    <w:p/>
    <w:p>
      <w:r>
        <w:t xml:space="preserve">Figure 6 shows the Bejan number, which is bounded in [0, 1] at every η over the full parameter range (Section 3.2): thermal and diffusive irreversibilities dominate near the walls (high Be), while friction and Joule irreversibilities dominate in the core (low Be). Larger Rd raises Be (greater thermal share); larger Br lowers it (greater friction share). Be(0) falls from 0.2918 to 0.1207 as Br increases from 0.5 to 1.5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Variation of reduced skin-friction, Nusselt and Sherwood numbers with total nanoparticle volume fraction φ = φ₁ + φ₂, using the equal-split condition φ₁ = φ₂ = φ/2.</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6). The Nusselt number rises monotonically from 1.4267 at φ = 0 to 2.0149 at φ = 0.10, corresponding to approximately a 41.2% increase. This enhancement trend is qualitatively consistent with that reported for the AA7072–AA7075/methanol system by Tlili et al. [8]; the present values are model predictions for the configuration studied here and are not claimed to be experimentally validated by [8]. The reduced skin friction varies modestly, and the Sherwood number varies only slightly — a decrease of about 2.3% across the full loading range (from 0.6371 to 0.6225 in Table 6). The identical C_f = 0.0885 across the Rd, Df, Sr and K rows of Table 4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4. Reduced skin friction, Nusselt and Sherwood numbers.</w:t>
      </w:r>
      <w:r>
        <w:t xml:space="preserve"> Negative Re^(1/2) C_f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800"/>
        <w:gridCol w:w="1800"/>
        <w:gridCol w:w="1800"/>
        <w:gridCol w:w="1800"/>
        <w:gridCol w:w="18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Parameter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Value</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C_f</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1.3306</w:t>
            </w:r>
          </w:p>
        </w:tc>
        <w:tc>
          <w:tcPr>
            <w:tcBorders>
              <w:top w:val="single" w:sz="4" w:color="000000"/>
              <w:bottom w:val="single" w:sz="4" w:color="000000"/>
              <w:left w:val="single" w:sz="4" w:color="000000"/>
              <w:right w:val="single" w:sz="4" w:color="000000"/>
            </w:tcBorders>
          </w:tcPr>
          <w:p>
            <w:pPr>
              <w:spacing w:after="0"/>
            </w:pPr>
            <w:r>
              <w:t xml:space="preserve">3.7960</w:t>
            </w:r>
          </w:p>
        </w:tc>
        <w:tc>
          <w:tcPr>
            <w:tcBorders>
              <w:top w:val="single" w:sz="4" w:color="000000"/>
              <w:bottom w:val="single" w:sz="4" w:color="000000"/>
              <w:left w:val="single" w:sz="4" w:color="000000"/>
              <w:right w:val="single" w:sz="4" w:color="000000"/>
            </w:tcBorders>
          </w:tcPr>
          <w:p>
            <w:pPr>
              <w:spacing w:after="0"/>
            </w:pPr>
            <w:r>
              <w:t xml:space="preserve">0.5364</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0.8</w:t>
            </w:r>
          </w:p>
        </w:tc>
        <w:tc>
          <w:tcPr>
            <w:tcBorders>
              <w:top w:val="single" w:sz="4" w:color="000000"/>
              <w:bottom w:val="single" w:sz="4" w:color="000000"/>
              <w:left w:val="single" w:sz="4" w:color="000000"/>
              <w:right w:val="single" w:sz="4" w:color="000000"/>
            </w:tcBorders>
          </w:tcPr>
          <w:p>
            <w:pPr>
              <w:spacing w:after="0"/>
            </w:pPr>
            <w:r>
              <w:t xml:space="preserve">−1.1816</w:t>
            </w:r>
          </w:p>
        </w:tc>
        <w:tc>
          <w:tcPr>
            <w:tcBorders>
              <w:top w:val="single" w:sz="4" w:color="000000"/>
              <w:bottom w:val="single" w:sz="4" w:color="000000"/>
              <w:left w:val="single" w:sz="4" w:color="000000"/>
              <w:right w:val="single" w:sz="4" w:color="000000"/>
            </w:tcBorders>
          </w:tcPr>
          <w:p>
            <w:pPr>
              <w:spacing w:after="0"/>
            </w:pPr>
            <w:r>
              <w:t xml:space="preserve">1.6004</w:t>
            </w:r>
          </w:p>
        </w:tc>
        <w:tc>
          <w:tcPr>
            <w:tcBorders>
              <w:top w:val="single" w:sz="4" w:color="000000"/>
              <w:bottom w:val="single" w:sz="4" w:color="000000"/>
              <w:left w:val="single" w:sz="4" w:color="000000"/>
              <w:right w:val="single" w:sz="4" w:color="000000"/>
            </w:tcBorders>
          </w:tcPr>
          <w:p>
            <w:pPr>
              <w:spacing w:after="0"/>
            </w:pPr>
            <w:r>
              <w:t xml:space="preserve">0.5354</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0.1175</w:t>
            </w:r>
          </w:p>
        </w:tc>
        <w:tc>
          <w:tcPr>
            <w:tcBorders>
              <w:top w:val="single" w:sz="4" w:color="000000"/>
              <w:bottom w:val="single" w:sz="4" w:color="000000"/>
              <w:left w:val="single" w:sz="4" w:color="000000"/>
              <w:right w:val="single" w:sz="4" w:color="000000"/>
            </w:tcBorders>
          </w:tcPr>
          <w:p>
            <w:pPr>
              <w:spacing w:after="0"/>
            </w:pPr>
            <w:r>
              <w:t xml:space="preserve">1.7336</w:t>
            </w:r>
          </w:p>
        </w:tc>
        <w:tc>
          <w:tcPr>
            <w:tcBorders>
              <w:top w:val="single" w:sz="4" w:color="000000"/>
              <w:bottom w:val="single" w:sz="4" w:color="000000"/>
              <w:left w:val="single" w:sz="4" w:color="000000"/>
              <w:right w:val="single" w:sz="4" w:color="000000"/>
            </w:tcBorders>
          </w:tcPr>
          <w:p>
            <w:pPr>
              <w:spacing w:after="0"/>
            </w:pPr>
            <w:r>
              <w:t xml:space="preserve">0.6293</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0.0318</w:t>
            </w:r>
          </w:p>
        </w:tc>
        <w:tc>
          <w:tcPr>
            <w:tcBorders>
              <w:top w:val="single" w:sz="4" w:color="000000"/>
              <w:bottom w:val="single" w:sz="4" w:color="000000"/>
              <w:left w:val="single" w:sz="4" w:color="000000"/>
              <w:right w:val="single" w:sz="4" w:color="000000"/>
            </w:tcBorders>
          </w:tcPr>
          <w:p>
            <w:pPr>
              <w:spacing w:after="0"/>
            </w:pPr>
            <w:r>
              <w:t xml:space="preserve">1.8015</w:t>
            </w:r>
          </w:p>
        </w:tc>
        <w:tc>
          <w:tcPr>
            <w:tcBorders>
              <w:top w:val="single" w:sz="4" w:color="000000"/>
              <w:bottom w:val="single" w:sz="4" w:color="000000"/>
              <w:left w:val="single" w:sz="4" w:color="000000"/>
              <w:right w:val="single" w:sz="4" w:color="000000"/>
            </w:tcBorders>
          </w:tcPr>
          <w:p>
            <w:pPr>
              <w:spacing w:after="0"/>
            </w:pPr>
            <w:r>
              <w:t xml:space="preserve">0.6268</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−0.0380</w:t>
            </w:r>
          </w:p>
        </w:tc>
        <w:tc>
          <w:tcPr>
            <w:tcBorders>
              <w:top w:val="single" w:sz="4" w:color="000000"/>
              <w:bottom w:val="single" w:sz="4" w:color="000000"/>
              <w:left w:val="single" w:sz="4" w:color="000000"/>
              <w:right w:val="single" w:sz="4" w:color="000000"/>
            </w:tcBorders>
          </w:tcPr>
          <w:p>
            <w:pPr>
              <w:spacing w:after="0"/>
            </w:pPr>
            <w:r>
              <w:t xml:space="preserve">1.5919</w:t>
            </w:r>
          </w:p>
        </w:tc>
        <w:tc>
          <w:tcPr>
            <w:tcBorders>
              <w:top w:val="single" w:sz="4" w:color="000000"/>
              <w:bottom w:val="single" w:sz="4" w:color="000000"/>
              <w:left w:val="single" w:sz="4" w:color="000000"/>
              <w:right w:val="single" w:sz="4" w:color="000000"/>
            </w:tcBorders>
          </w:tcPr>
          <w:p>
            <w:pPr>
              <w:spacing w:after="0"/>
            </w:pPr>
            <w:r>
              <w:t xml:space="preserve">0.6370</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0.2693</w:t>
            </w:r>
          </w:p>
        </w:tc>
        <w:tc>
          <w:tcPr>
            <w:tcBorders>
              <w:top w:val="single" w:sz="4" w:color="000000"/>
              <w:bottom w:val="single" w:sz="4" w:color="000000"/>
              <w:left w:val="single" w:sz="4" w:color="000000"/>
              <w:right w:val="single" w:sz="4" w:color="000000"/>
            </w:tcBorders>
          </w:tcPr>
          <w:p>
            <w:pPr>
              <w:spacing w:after="0"/>
            </w:pPr>
            <w:r>
              <w:t xml:space="preserve">2.0894</w:t>
            </w:r>
          </w:p>
        </w:tc>
        <w:tc>
          <w:tcPr>
            <w:tcBorders>
              <w:top w:val="single" w:sz="4" w:color="000000"/>
              <w:bottom w:val="single" w:sz="4" w:color="000000"/>
              <w:left w:val="single" w:sz="4" w:color="000000"/>
              <w:right w:val="single" w:sz="4" w:color="000000"/>
            </w:tcBorders>
          </w:tcPr>
          <w:p>
            <w:pPr>
              <w:spacing w:after="0"/>
            </w:pPr>
            <w:r>
              <w:t xml:space="preserve">0.6101</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1.3509</w:t>
            </w:r>
          </w:p>
        </w:tc>
        <w:tc>
          <w:tcPr>
            <w:tcBorders>
              <w:top w:val="single" w:sz="4" w:color="000000"/>
              <w:bottom w:val="single" w:sz="4" w:color="000000"/>
              <w:left w:val="single" w:sz="4" w:color="000000"/>
              <w:right w:val="single" w:sz="4" w:color="000000"/>
            </w:tcBorders>
          </w:tcPr>
          <w:p>
            <w:pPr>
              <w:spacing w:after="0"/>
            </w:pPr>
            <w:r>
              <w:t xml:space="preserve">0.6448</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2.3466</w:t>
            </w:r>
          </w:p>
        </w:tc>
        <w:tc>
          <w:tcPr>
            <w:tcBorders>
              <w:top w:val="single" w:sz="4" w:color="000000"/>
              <w:bottom w:val="single" w:sz="4" w:color="000000"/>
              <w:left w:val="single" w:sz="4" w:color="000000"/>
              <w:right w:val="single" w:sz="4" w:color="000000"/>
            </w:tcBorders>
          </w:tcPr>
          <w:p>
            <w:pPr>
              <w:spacing w:after="0"/>
            </w:pPr>
            <w:r>
              <w:t xml:space="preserve">0.6193</w:t>
            </w:r>
          </w:p>
        </w:tc>
      </w:tr>
      <w:tr>
        <w:tc>
          <w:tcPr>
            <w:tcBorders>
              <w:top w:val="single" w:sz="4" w:color="000000"/>
              <w:bottom w:val="single" w:sz="4" w:color="000000"/>
              <w:left w:val="single" w:sz="4" w:color="000000"/>
              <w:right w:val="single" w:sz="4" w:color="000000"/>
            </w:tcBorders>
          </w:tcPr>
          <w:p>
            <w:pPr>
              <w:spacing w:after="0"/>
            </w:pPr>
            <w:r>
              <w:t xml:space="preserve">Df</w:t>
            </w:r>
          </w:p>
        </w:tc>
        <w:tc>
          <w:tcPr>
            <w:tcBorders>
              <w:top w:val="single" w:sz="4" w:color="000000"/>
              <w:bottom w:val="single" w:sz="4" w:color="000000"/>
              <w:left w:val="single" w:sz="4" w:color="000000"/>
              <w:right w:val="single" w:sz="4" w:color="000000"/>
            </w:tcBorders>
          </w:tcPr>
          <w:p>
            <w:pPr>
              <w:spacing w:after="0"/>
            </w:pPr>
            <w:r>
              <w:t xml:space="preserve">0.6</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3.2111</w:t>
            </w:r>
          </w:p>
        </w:tc>
        <w:tc>
          <w:tcPr>
            <w:tcBorders>
              <w:top w:val="single" w:sz="4" w:color="000000"/>
              <w:bottom w:val="single" w:sz="4" w:color="000000"/>
              <w:left w:val="single" w:sz="4" w:color="000000"/>
              <w:right w:val="single" w:sz="4" w:color="000000"/>
            </w:tcBorders>
          </w:tcPr>
          <w:p>
            <w:pPr>
              <w:spacing w:after="0"/>
            </w:pPr>
            <w:r>
              <w:t xml:space="preserve">0.5296</w:t>
            </w:r>
          </w:p>
        </w:tc>
      </w:tr>
      <w:tr>
        <w:tc>
          <w:tcPr>
            <w:tcBorders>
              <w:top w:val="single" w:sz="4" w:color="000000"/>
              <w:bottom w:val="single" w:sz="4" w:color="000000"/>
              <w:left w:val="single" w:sz="4" w:color="000000"/>
              <w:right w:val="single" w:sz="4" w:color="000000"/>
            </w:tcBorders>
          </w:tcPr>
          <w:p>
            <w:pPr>
              <w:spacing w:after="0"/>
            </w:pPr>
            <w:r>
              <w:t xml:space="preserve">Sr</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1.8712</w:t>
            </w:r>
          </w:p>
        </w:tc>
        <w:tc>
          <w:tcPr>
            <w:tcBorders>
              <w:top w:val="single" w:sz="4" w:color="000000"/>
              <w:bottom w:val="single" w:sz="4" w:color="000000"/>
              <w:left w:val="single" w:sz="4" w:color="000000"/>
              <w:right w:val="single" w:sz="4" w:color="000000"/>
            </w:tcBorders>
          </w:tcPr>
          <w:p>
            <w:pPr>
              <w:spacing w:after="0"/>
            </w:pPr>
            <w:r>
              <w:t xml:space="preserve">0.5805</w:t>
            </w:r>
          </w:p>
        </w:tc>
      </w:tr>
      <w:tr>
        <w:tc>
          <w:tcPr>
            <w:tcBorders>
              <w:top w:val="single" w:sz="4" w:color="000000"/>
              <w:bottom w:val="single" w:sz="4" w:color="000000"/>
              <w:left w:val="single" w:sz="4" w:color="000000"/>
              <w:right w:val="single" w:sz="4" w:color="000000"/>
            </w:tcBorders>
          </w:tcPr>
          <w:p>
            <w:pPr>
              <w:spacing w:after="0"/>
            </w:pPr>
            <w:r>
              <w:t xml:space="preserve">K</w:t>
            </w:r>
          </w:p>
        </w:tc>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1.9653</w:t>
            </w:r>
          </w:p>
        </w:tc>
        <w:tc>
          <w:tcPr>
            <w:tcBorders>
              <w:top w:val="single" w:sz="4" w:color="000000"/>
              <w:bottom w:val="single" w:sz="4" w:color="000000"/>
              <w:left w:val="single" w:sz="4" w:color="000000"/>
              <w:right w:val="single" w:sz="4" w:color="000000"/>
            </w:tcBorders>
          </w:tcPr>
          <w:p>
            <w:pPr>
              <w:spacing w:after="0"/>
            </w:pPr>
            <w:r>
              <w:t xml:space="preserve">0.5001</w:t>
            </w:r>
          </w:p>
        </w:tc>
      </w:tr>
    </w:tbl>
    <w:p/>
    <w:p>
      <w:r>
        <w:rPr>
          <w:b/>
        </w:rPr>
        <w:t xml:space="preserve">Table 5. N_s and Be at η = 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M</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Rd</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Ω</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N_s(0)</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Be(0)</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4.4484</w:t>
            </w:r>
          </w:p>
        </w:tc>
        <w:tc>
          <w:tcPr>
            <w:tcBorders>
              <w:top w:val="single" w:sz="4" w:color="000000"/>
              <w:bottom w:val="single" w:sz="4" w:color="000000"/>
              <w:left w:val="single" w:sz="4" w:color="000000"/>
              <w:right w:val="single" w:sz="4" w:color="000000"/>
            </w:tcBorders>
          </w:tcPr>
          <w:p>
            <w:pPr>
              <w:spacing w:after="0"/>
            </w:pPr>
            <w:r>
              <w:t xml:space="preserve">0.2918</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7.5988</w:t>
            </w:r>
          </w:p>
        </w:tc>
        <w:tc>
          <w:tcPr>
            <w:tcBorders>
              <w:top w:val="single" w:sz="4" w:color="000000"/>
              <w:bottom w:val="single" w:sz="4" w:color="000000"/>
              <w:left w:val="single" w:sz="4" w:color="000000"/>
              <w:right w:val="single" w:sz="4" w:color="000000"/>
            </w:tcBorders>
          </w:tcPr>
          <w:p>
            <w:pPr>
              <w:spacing w:after="0"/>
            </w:pPr>
            <w:r>
              <w:t xml:space="preserve">0.1708</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10.7492</w:t>
            </w:r>
          </w:p>
        </w:tc>
        <w:tc>
          <w:tcPr>
            <w:tcBorders>
              <w:top w:val="single" w:sz="4" w:color="000000"/>
              <w:bottom w:val="single" w:sz="4" w:color="000000"/>
              <w:left w:val="single" w:sz="4" w:color="000000"/>
              <w:right w:val="single" w:sz="4" w:color="000000"/>
            </w:tcBorders>
          </w:tcPr>
          <w:p>
            <w:pPr>
              <w:spacing w:after="0"/>
            </w:pPr>
            <w:r>
              <w:t xml:space="preserve">0.1207</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7.2590</w:t>
            </w:r>
          </w:p>
        </w:tc>
        <w:tc>
          <w:tcPr>
            <w:tcBorders>
              <w:top w:val="single" w:sz="4" w:color="000000"/>
              <w:bottom w:val="single" w:sz="4" w:color="000000"/>
              <w:left w:val="single" w:sz="4" w:color="000000"/>
              <w:right w:val="single" w:sz="4" w:color="000000"/>
            </w:tcBorders>
          </w:tcPr>
          <w:p>
            <w:pPr>
              <w:spacing w:after="0"/>
            </w:pPr>
            <w:r>
              <w:t xml:space="preserve">0.1801</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8.2714</w:t>
            </w:r>
          </w:p>
        </w:tc>
        <w:tc>
          <w:tcPr>
            <w:tcBorders>
              <w:top w:val="single" w:sz="4" w:color="000000"/>
              <w:bottom w:val="single" w:sz="4" w:color="000000"/>
              <w:left w:val="single" w:sz="4" w:color="000000"/>
              <w:right w:val="single" w:sz="4" w:color="000000"/>
            </w:tcBorders>
          </w:tcPr>
          <w:p>
            <w:pPr>
              <w:spacing w:after="0"/>
            </w:pPr>
            <w:r>
              <w:t xml:space="preserve">0.1549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7.7121</w:t>
            </w:r>
          </w:p>
        </w:tc>
        <w:tc>
          <w:tcPr>
            <w:tcBorders>
              <w:top w:val="single" w:sz="4" w:color="000000"/>
              <w:bottom w:val="single" w:sz="4" w:color="000000"/>
              <w:left w:val="single" w:sz="4" w:color="000000"/>
              <w:right w:val="single" w:sz="4" w:color="000000"/>
            </w:tcBorders>
          </w:tcPr>
          <w:p>
            <w:pPr>
              <w:spacing w:after="0"/>
            </w:pPr>
            <w:r>
              <w:t xml:space="preserve">0.1830</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3.5495</w:t>
            </w:r>
          </w:p>
        </w:tc>
        <w:tc>
          <w:tcPr>
            <w:tcBorders>
              <w:top w:val="single" w:sz="4" w:color="000000"/>
              <w:bottom w:val="single" w:sz="4" w:color="000000"/>
              <w:left w:val="single" w:sz="4" w:color="000000"/>
              <w:right w:val="single" w:sz="4" w:color="000000"/>
            </w:tcBorders>
          </w:tcPr>
          <w:p>
            <w:pPr>
              <w:spacing w:after="0"/>
            </w:pPr>
            <w:r>
              <w:t xml:space="preserve">0.1124</w:t>
            </w:r>
          </w:p>
        </w:tc>
      </w:tr>
    </w:tbl>
    <w:p/>
    <w:p>
      <w:r>
        <w:rPr>
          <w:b/>
        </w:rPr>
        <w:t xml:space="preserve">Table 6. Effect of volume fraction.</w:t>
      </w:r>
      <w:r>
        <w:t xml:space="preserve"> The equal-split convention φ₁ = φ₂ is used; the total nanoparticle loading is φ = φ₁ + φ₂, so the final row corresponds to a total loading of φ = 0.10.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φ₁</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 = φ₁ + 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N_s,avg</w:t>
            </w:r>
          </w:p>
        </w:tc>
      </w:tr>
      <w:tr>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1.4267</w:t>
            </w:r>
          </w:p>
        </w:tc>
        <w:tc>
          <w:tcPr>
            <w:tcBorders>
              <w:top w:val="single" w:sz="4" w:color="000000"/>
              <w:bottom w:val="single" w:sz="4" w:color="000000"/>
              <w:left w:val="single" w:sz="4" w:color="000000"/>
              <w:right w:val="single" w:sz="4" w:color="000000"/>
            </w:tcBorders>
          </w:tcPr>
          <w:p>
            <w:pPr>
              <w:spacing w:after="0"/>
            </w:pPr>
            <w:r>
              <w:t xml:space="preserve">0.6371</w:t>
            </w:r>
          </w:p>
        </w:tc>
        <w:tc>
          <w:tcPr>
            <w:tcBorders>
              <w:top w:val="single" w:sz="4" w:color="000000"/>
              <w:bottom w:val="single" w:sz="4" w:color="000000"/>
              <w:left w:val="single" w:sz="4" w:color="000000"/>
              <w:right w:val="single" w:sz="4" w:color="000000"/>
            </w:tcBorders>
          </w:tcPr>
          <w:p>
            <w:pPr>
              <w:spacing w:after="0"/>
            </w:pPr>
            <w:r>
              <w:t xml:space="preserve">3.1844</w:t>
            </w:r>
          </w:p>
        </w:tc>
      </w:tr>
      <w:tr>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1.6394</w:t>
            </w:r>
          </w:p>
        </w:tc>
        <w:tc>
          <w:tcPr>
            <w:tcBorders>
              <w:top w:val="single" w:sz="4" w:color="000000"/>
              <w:bottom w:val="single" w:sz="4" w:color="000000"/>
              <w:left w:val="single" w:sz="4" w:color="000000"/>
              <w:right w:val="single" w:sz="4" w:color="000000"/>
            </w:tcBorders>
          </w:tcPr>
          <w:p>
            <w:pPr>
              <w:spacing w:after="0"/>
            </w:pPr>
            <w:r>
              <w:t xml:space="preserve">0.6314</w:t>
            </w:r>
          </w:p>
        </w:tc>
        <w:tc>
          <w:tcPr>
            <w:tcBorders>
              <w:top w:val="single" w:sz="4" w:color="000000"/>
              <w:bottom w:val="single" w:sz="4" w:color="000000"/>
              <w:left w:val="single" w:sz="4" w:color="000000"/>
              <w:right w:val="single" w:sz="4" w:color="000000"/>
            </w:tcBorders>
          </w:tcPr>
          <w:p>
            <w:pPr>
              <w:spacing w:after="0"/>
            </w:pPr>
            <w:r>
              <w:t xml:space="preserve">3.5458</w:t>
            </w:r>
          </w:p>
        </w:tc>
      </w:tr>
      <w:tr>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0.06</w:t>
            </w:r>
          </w:p>
        </w:tc>
        <w:tc>
          <w:tcPr>
            <w:tcBorders>
              <w:top w:val="single" w:sz="4" w:color="000000"/>
              <w:bottom w:val="single" w:sz="4" w:color="000000"/>
              <w:left w:val="single" w:sz="4" w:color="000000"/>
              <w:right w:val="single" w:sz="4" w:color="000000"/>
            </w:tcBorders>
          </w:tcPr>
          <w:p>
            <w:pPr>
              <w:spacing w:after="0"/>
            </w:pPr>
            <w:r>
              <w:t xml:space="preserve">1.7565</w:t>
            </w:r>
          </w:p>
        </w:tc>
        <w:tc>
          <w:tcPr>
            <w:tcBorders>
              <w:top w:val="single" w:sz="4" w:color="000000"/>
              <w:bottom w:val="single" w:sz="4" w:color="000000"/>
              <w:left w:val="single" w:sz="4" w:color="000000"/>
              <w:right w:val="single" w:sz="4" w:color="000000"/>
            </w:tcBorders>
          </w:tcPr>
          <w:p>
            <w:pPr>
              <w:spacing w:after="0"/>
            </w:pPr>
            <w:r>
              <w:t xml:space="preserve">0.6284</w:t>
            </w:r>
          </w:p>
        </w:tc>
        <w:tc>
          <w:tcPr>
            <w:tcBorders>
              <w:top w:val="single" w:sz="4" w:color="000000"/>
              <w:bottom w:val="single" w:sz="4" w:color="000000"/>
              <w:left w:val="single" w:sz="4" w:color="000000"/>
              <w:right w:val="single" w:sz="4" w:color="000000"/>
            </w:tcBorders>
          </w:tcPr>
          <w:p>
            <w:pPr>
              <w:spacing w:after="0"/>
            </w:pPr>
            <w:r>
              <w:t xml:space="preserve">3.7466</w:t>
            </w:r>
          </w:p>
        </w:tc>
      </w:tr>
      <w:tr>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0.08</w:t>
            </w:r>
          </w:p>
        </w:tc>
        <w:tc>
          <w:tcPr>
            <w:tcBorders>
              <w:top w:val="single" w:sz="4" w:color="000000"/>
              <w:bottom w:val="single" w:sz="4" w:color="000000"/>
              <w:left w:val="single" w:sz="4" w:color="000000"/>
              <w:right w:val="single" w:sz="4" w:color="000000"/>
            </w:tcBorders>
          </w:tcPr>
          <w:p>
            <w:pPr>
              <w:spacing w:after="0"/>
            </w:pPr>
            <w:r>
              <w:t xml:space="preserve">1.8815</w:t>
            </w:r>
          </w:p>
        </w:tc>
        <w:tc>
          <w:tcPr>
            <w:tcBorders>
              <w:top w:val="single" w:sz="4" w:color="000000"/>
              <w:bottom w:val="single" w:sz="4" w:color="000000"/>
              <w:left w:val="single" w:sz="4" w:color="000000"/>
              <w:right w:val="single" w:sz="4" w:color="000000"/>
            </w:tcBorders>
          </w:tcPr>
          <w:p>
            <w:pPr>
              <w:spacing w:after="0"/>
            </w:pPr>
            <w:r>
              <w:t xml:space="preserve">0.6255</w:t>
            </w:r>
          </w:p>
        </w:tc>
        <w:tc>
          <w:tcPr>
            <w:tcBorders>
              <w:top w:val="single" w:sz="4" w:color="000000"/>
              <w:bottom w:val="single" w:sz="4" w:color="000000"/>
              <w:left w:val="single" w:sz="4" w:color="000000"/>
              <w:right w:val="single" w:sz="4" w:color="000000"/>
            </w:tcBorders>
          </w:tcPr>
          <w:p>
            <w:pPr>
              <w:spacing w:after="0"/>
            </w:pPr>
            <w:r>
              <w:t xml:space="preserve">3.9623</w:t>
            </w:r>
          </w:p>
        </w:tc>
      </w:tr>
      <w:tr>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0.10</w:t>
            </w:r>
          </w:p>
        </w:tc>
        <w:tc>
          <w:tcPr>
            <w:tcBorders>
              <w:top w:val="single" w:sz="4" w:color="000000"/>
              <w:bottom w:val="single" w:sz="4" w:color="000000"/>
              <w:left w:val="single" w:sz="4" w:color="000000"/>
              <w:right w:val="single" w:sz="4" w:color="000000"/>
            </w:tcBorders>
          </w:tcPr>
          <w:p>
            <w:pPr>
              <w:spacing w:after="0"/>
            </w:pPr>
            <w:r>
              <w:t xml:space="preserve">2.0149</w:t>
            </w:r>
          </w:p>
        </w:tc>
        <w:tc>
          <w:tcPr>
            <w:tcBorders>
              <w:top w:val="single" w:sz="4" w:color="000000"/>
              <w:bottom w:val="single" w:sz="4" w:color="000000"/>
              <w:left w:val="single" w:sz="4" w:color="000000"/>
              <w:right w:val="single" w:sz="4" w:color="000000"/>
            </w:tcBorders>
          </w:tcPr>
          <w:p>
            <w:pPr>
              <w:spacing w:after="0"/>
            </w:pPr>
            <w:r>
              <w:t xml:space="preserve">0.6225</w:t>
            </w:r>
          </w:p>
        </w:tc>
        <w:tc>
          <w:tcPr>
            <w:tcBorders>
              <w:top w:val="single" w:sz="4" w:color="000000"/>
              <w:bottom w:val="single" w:sz="4" w:color="000000"/>
              <w:left w:val="single" w:sz="4" w:color="000000"/>
              <w:right w:val="single" w:sz="4" w:color="000000"/>
            </w:tcBorders>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and the radiation parameter defined as Rd = 4σ*T₀³/(k*κ_f) so that the 4/3 and 4 coefficients follow directly from the Rosseland derivation; the concentration susceptibility c_s is defined explicitly (c_s = (∂C/∂T)_eq, units K⁻¹), from which the Soret and Dufour numbers Sr and Df are shown to be dimensionless and the Dufour contribution is reduced step by step to Pr α_c Df φ″, i.e. α_c Df φ″ inside the dissipation source Ξ (Eq. 27). All dimensionless groups are defined explicitly in Section 2.5.</w:t>
      </w:r>
    </w:p>
    <w:p>
      <w:r>
        <w:t xml:space="preserve">3. The entropy model uses time-dependent electromagnetic fields and k_f-based normalisation; the diffusive and cross terms rest on a linear-irreversible-thermodynamics basis, and the Soret–Dufour cross term is assigned explicitly to N_DD, so that N_s = N_HT + N_FF + N_J + N_DD; under the stated sign assumptions and the positive-semidefinite condition (Eq. 42), the calculated Bejan number satisfies 0 ≤ Be ≤ 1 over the reported range.</w:t>
      </w:r>
    </w:p>
    <w:p>
      <w:r>
        <w:t xml:space="preserve">4. The solution is grid-independent to the reported precision; the Newtonian clear-fluid limit recovers the Wang squeezing-film equation, with f″(1) agreeing with the benchmark to better than 0.1% (Table 3), while comparison with the Casson model of [23] is restricted to a common Newtonian limit.</w:t>
      </w:r>
    </w:p>
    <w:p>
      <w:r>
        <w:t xml:space="preserve">5. Entropy generation peaks near the walls; increasing the Brinkman number enhances the frictional and Joule contributions to entropy generation, whereas increasing the magnetic parameter primarily enhances the Joule irreversibility (its effect on friction being indirect, through the velocity field). Hybrid loading (total φ up to 0.10) increases the Nusselt number by approximately 41.2%, accompanied by an approximately 31.7% increase in the average entropy-generation number N_s,avg (from 3.1844 to 4.1940).</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squeezing-film form stated in Section 5. Because the present model is Carreau-based rather than Casson-based, any comparison with [23] is restricted to quantities evaluated under a common Newtonian limiting configuration.</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M. T. Mustafa, K. A. Kumar, N. Sandeep, Effect of asymmetrical heat rise/fall on the AA7072–AA7075/methanol hybrid nanofluid flow, Scientific Reports 10 (2020) 4402.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analysis of Carreau fluid flow,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