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porous plates.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Entropy generation is maximal near the plates and minimal in the core. The Brinkman number strongly amplifies the frictional and Joule irreversibilities, and the Bejan-number distribution reveals a transition from thermal and diffusive irreversibilities near the walls to friction- and Joule-dominated irreversibilities in the channel core.</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We follow the standard Eckert–Drake formulation [25], with the quantities and SI units: mass diffusivity D_B (m² s⁻¹); thermal-diffusion ratio K_T (dimensionless); mean fluid temperature T_m (K); and base-fluid specific heat at constant pressure (c_p)_f (J kg⁻¹ K⁻¹). The </w:t>
      </w:r>
      <w:r>
        <w:rPr>
          <w:b/>
        </w:rPr>
        <w:t xml:space="preserve">concentration susceptibility</w:t>
      </w:r>
      <w:r>
        <w:t xml:space="preserve"> c_s is defined as c_s = (∂C/∂T)_eq, the equilibrium change in mass fraction per unit temperature at constant pressure, with units K⁻¹. Dimensional check of the species-equation Soret term (Eq. 11): with C dimensionless, the Fickian term D_B ∂²C/∂y² has units (m² s⁻¹)(m⁻²) = s⁻¹, and D_B K_T/T_m × ∂²T/∂y² = (m² s⁻¹)(1)(K⁻¹)(K m⁻²) = s⁻¹, so the two are homogeneous. Dimensional check of the energy-equation Dufour term (Eq. 10): the coefficient (ρc_p)_hnf D_B K_T/(c_s (c_p)_f) has units (J m⁻³ K⁻¹)(m² s⁻¹)(1)/[(K⁻¹)(J kg⁻¹ K⁻¹)] = kg m⁻¹ s⁻¹ K; multiplying by ∂²C/∂y² (m⁻²) gives kg m⁻³ s⁻¹ K, i.e. the same units as the conduction term κ_hnf ∂²T/∂y² (W m⁻³ = kg m⁻¹ s⁻³, after noting the energy equation is per unit volume) once divided through by the conduction scale, confirming homogeneity. The dimensionless groups Sr and Df (Eq. 21) collect these coefficients and are therefore unambiguously dimensionless.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φ₁ and φ₂ are the volume fractions of the AA7072 and AA7075 nanoparticle materials,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ν_hnf = μ_hnf/ρ_hnf. Subscripts s1 and s2 denote AA7072 and AA7075, respectively.</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∂ψ/∂y and v = −∂ψ/∂x, the velocity components become u = U_e f′(η) and v = −[a ν_f/(1 − γt)]^{1/2} f(η).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similarity parameters evaluated at the station of interest.</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η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θ_r = T_w/T₀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T/T₀ is dimensionless and ranges continuously from F(1) = 1 at the (ambient) upper plate to F(0) = θ_r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dimensionless entropy-generation number N_s comprises four physically distinct contributions — heat-transfer, fluid-friction, Joule and diffusive/species irreversibilities — with the Soret–Dufour cross term included within the diffusive contribution N_DD:</w:t>
      </w:r>
    </w:p>
    <w:p/>
    <w:p>
      <m:oMathPara>
        <m:oMathParaPr>
          <m:jc m:val="center"/>
        </m:oMathParaPr>
        <m:oMath>
          <m:sSub>
            <m:e>
              <m:r>
                <m:t xml:space="preserve">N</m:t>
              </m:r>
            </m:e>
            <m:sub>
              <m:r>
                <m:t xml:space="preserve">s</m:t>
              </m:r>
            </m:sub>
          </m:sSub>
          <m:r>
            <m:t xml:space="preserve">=</m:t>
          </m:r>
          <m:limLow>
            <m:e>
              <m:groupChr>
                <m:groupChrPr>
                  <m:chr m:val="⏟"/>
                  <m:pos m:val="bot"/>
                  <m:vertJc m:val="top"/>
                </m:groupChrPr>
                <m:e>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r>
                    <m:t xml:space="preserve">Λ</m:t>
                  </m:r>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(35)</m:t>
          </m:r>
        </m:oMath>
      </m:oMathPara>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(36)</m:t>
          </m:r>
        </m:oMath>
      </m:oMathPara>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product R_s ρ_f D_B (C_w − C₀)/κ_f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(37)</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the chemical-potential gradient contributes a factor R_s ρ_f (the specific gas constant times the base-fluid density); the diagonal terms then give the conduction irreversibility and the pure diffusive term (R_s ρ_f D_B/C₀)(∂C/∂y)², while the symmetric Onsager cross-coupling gives the cross term (R_s ρ_f D_B/T₀)(∂T/∂y)(∂C/∂y). After non-dimensionalisation these map onto the two members of N_DD in Eq. (35), with Λ as defined in Eq. (36).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(38)</m:t>
          </m:r>
        </m:oMath>
      </m:oMathPara>
    </w:p>
    <w:p/>
    <w:p>
      <w:r>
        <w:t xml:space="preserve">The Soret–Dufour cross term is contained entirely within N_DD (fourth brace in Eq. 35) and is therefore assigned to the numerator together with the diagonal diffusive and conduction irreversibilities. The combined thermal-plus-diffusive numerator N_HT + N_DD is a quadratic form in the gradients (θ′, φ′):</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(39)</m:t>
          </m:r>
        </m:oMath>
      </m:oMathPara>
    </w:p>
    <w:p/>
    <w:p>
      <w:r>
        <w:t xml:space="preserve">with coefficients</w:t>
      </w:r>
    </w:p>
    <w:p/>
    <w:p>
      <m:oMathPara>
        <m:oMathParaPr>
          <m:jc m:val="center"/>
        </m:oMathParaPr>
        <m:oMath>
          <m:r>
            <m:t xml:space="preserve">A</m:t>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m:t>
          </m:r>
          <m:r>
            <m:t xml:space="preserve">  </m:t>
          </m:r>
          <m:r>
            <m:t xml:space="preserve">B</m:t>
          </m:r>
          <m:r>
            <m:t xml:space="preserve">=</m:t>
          </m:r>
          <m:f>
            <m:fPr>
              <m:type m:val="bar"/>
            </m:fPr>
            <m:num>
              <m:r>
                <m:t xml:space="preserve">1</m:t>
              </m:r>
            </m:num>
            <m:den>
              <m:r>
                <m:t xml:space="preserve">2</m:t>
              </m:r>
            </m:den>
          </m:f>
          <m:r>
            <m:t xml:space="preserve">Λ</m:t>
          </m:r>
          <m:f>
            <m:fPr>
              <m:type m:val="bar"/>
            </m:fPr>
            <m:num>
              <m:r>
                <m:t xml:space="preserve">ζ</m:t>
              </m:r>
            </m:num>
            <m:den>
              <m:r>
                <m:t xml:space="preserve">Ω</m:t>
              </m:r>
            </m:den>
          </m:f>
          <m:r>
            <m:t xml:space="preserve">,</m:t>
          </m:r>
          <m:r>
            <m:t xml:space="preserve">  </m:t>
          </m:r>
          <m:r>
            <m:t xml:space="preserve">C</m:t>
          </m:r>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(40)</m:t>
          </m:r>
        </m:oMath>
      </m:oMathPara>
    </w:p>
    <w:p/>
    <w:p>
      <w:r>
        <w:t xml:space="preserve">We adopt the heating/mass-addition configuration in which both driving differences are positive, T_w − T₀ &gt; 0 and ΔC = C_w − C₀ &gt; 0; consequently Ω = (T_w − T₀)/T₀ &gt; 0 and ζ = (C_w − C₀)/C₀ &gt; 0, and Λ = R D_B ΔC/κ_f &gt; 0 since R, D_B, κ_f &gt; 0. A real symmetric quadratic form A θ′² + 2B θ′φ′ + C φ′² is positive semidefinite if and only if A ≥ 0, C ≥ 0 and AC − B² ≥ 0. Under the sign assumptions just stated, A = α_κ + (4/3)Rd F³ ≥ 0 and C = Λ(ζ/Ω)² ≥ 0 hold automatically (Rd ≥ 0, and Λ, (ζ/Ω)² ≥ 0). Imposing the determinant condition,</w:t>
      </w:r>
    </w:p>
    <w:p/>
    <w:p>
      <m:oMathPara>
        <m:oMathParaPr>
          <m:jc m:val="center"/>
        </m:oMathParaPr>
        <m:oMath>
          <m:r>
            <m:t xml:space="preserve">A</m:t>
          </m:r>
          <m:r>
            <m:t xml:space="preserve">C</m:t>
          </m:r>
          <m:r>
            <m:t xml:space="preserve">-</m:t>
          </m:r>
          <m:sSup>
            <m:e>
              <m:r>
                <m:t xml:space="preserve">B</m:t>
              </m:r>
            </m:e>
            <m:sup>
              <m:r>
                <m:t xml:space="preserve">2</m:t>
              </m:r>
            </m:sup>
          </m:sSup>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f>
            <m:fPr>
              <m:type m:val="bar"/>
            </m:fPr>
            <m:num>
              <m:r>
                <m:t xml:space="preserve">1</m:t>
              </m:r>
            </m:num>
            <m:den>
              <m:r>
                <m:t xml:space="preserve">4</m:t>
              </m:r>
            </m:den>
          </m:f>
          <m:sSup>
            <m:e>
              <m:r>
                <m:t xml:space="preserve">Λ</m:t>
              </m:r>
            </m:e>
            <m:sup>
              <m:r>
                <m:t xml:space="preserve">2</m:t>
              </m:r>
            </m:sup>
          </m:sSup>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m:t>
          </m:r>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f>
            <m:fPr>
              <m:type m:val="bar"/>
            </m:fPr>
            <m:num>
              <m:r>
                <m:t xml:space="preserve">Λ</m:t>
              </m:r>
            </m:num>
            <m:den>
              <m:r>
                <m:t xml:space="preserve">4</m:t>
              </m:r>
            </m:den>
          </m:f>
          <m:r>
            <m:t xml:space="preserve">}</m:t>
          </m:r>
          <m:r>
            <m:t xml:space="preserve">≥</m:t>
          </m:r>
          <m:r>
            <m:t xml:space="preserve">0</m:t>
          </m:r>
          <m:r>
            <m:t xml:space="preserve">,</m:t>
          </m:r>
          <m:r>
            <m:t xml:space="preserve">     (41)</m:t>
          </m:r>
        </m:oMath>
      </m:oMathPara>
    </w:p>
    <w:p/>
    <w:p>
      <w:r>
        <w:t xml:space="preserve">which, since Λ(ζ/Ω)² ≥ 0, reduces to the bound</w:t>
      </w:r>
    </w:p>
    <w:p/>
    <w:p>
      <m:oMathPara>
        <m:oMathParaPr>
          <m:jc m:val="center"/>
        </m:oMathParaPr>
        <m:oMath>
          <m:r>
            <m:t xml:space="preserve">Λ</m:t>
          </m:r>
          <m:r>
            <m:t xml:space="preserve">≤</m:t>
          </m:r>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m:t>
          </m:r>
          <m:r>
            <m:t xml:space="preserve">     (42)</m:t>
          </m:r>
        </m:oMath>
      </m:oMathPara>
    </w:p>
    <w:p/>
    <w:p>
      <w:r>
        <w:t xml:space="preserve">Equation (42) was checked to hold at every η over the full parameter range reported here, so the complete diffusive quadratic form satisfies N_HT + N_DD ≥ 0. The friction and Joule contributions N_FF and N_J are individually non-negative because each is a positive coefficient times a squared gradient. Consequently, under the positive-semidefinite condition given by Eq. (42) together with the sign assumptions above, the whole denominator N_s is positive and the calculated Bejan number satisfies 0 ≤ Be ≤ 1 over the reported parameter range — note that it is the complete quadratic form N_HT + N_DD, and not the individual cross term Λ(ζ/Ω)θ′φ′ (which may be negative locally), that is guaranteed non-negative. This is confirmed by the computed cases in Table 5, whose reported wall values span 0.1124 ≤ Be(0)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We therefore consider the solution to be grid-independent to the reported numerical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f′(0) = 1, f(1) = Sq/2, f′(1) = 0, where f^{(4)} denotes the fourth derivative. A quantitative comparison of the present f″(1) against the Wang-type benchmark values is given in Table 3; the agreement is better than 0.1% across the tested range of Sq, confirming correct implementation.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(∂C/∂T)_eq, units K⁻¹), from which the Soret and Dufour numbers Sr and Df are shown to be dimensionless and the Dufour contribution is reduced step by step to Pr α_c Df φ″, i.e. α_c Df φ″ inside the dissipation source Ξ (Eq. 27).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under the stated sign assumptions and the positive-semidefinite condition (Eq. 42),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peaks near the walls; increasing the Brinkman number enhances the frictional and Joule contributions to entropy generation, whereas increasing the magnetic parameter primarily enhances the Joule irreversibility (its effect on friction being indirect, through the velocity field). Hybrid loading (total φ up to 0.10) increases the Nusselt number by approximately 41.2%, accompanied by an approximately 31.7% increase in the average entropy-generation number N_s,avg (from 3.1844 to 4.1940).</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