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b/>
        </w:rPr>
        <w:t xml:space="preserve">Sustainable Advanced Energy Storage Technologies for Mobility Solutions</w:t>
      </w:r>
    </w:p>
    <w:p>
      <w:r>
        <w:t xml:space="preserve"/>
      </w:r>
    </w:p>
    <w:p>
      <w:pPr>
        <w:pStyle w:val="Heading1"/>
      </w:pPr>
      <w:r>
        <w:rPr>
          <w:b/>
        </w:rPr>
        <w:t xml:space="preserve">Abstract</w:t>
      </w:r>
    </w:p>
    <w:p>
      <w:r>
        <w:t xml:space="preserve">The global transition toward sustainable mobility demands revolutionary advances in energy storage technologies. Electric vehicles (EVs) and hybrid electric vehicles (HEVs) represent the most promising pathways toward decarbonizing the transportation sector, yet their widespread adoption remains contingent upon the development of high-performance, cost-effective, and environmentally responsible energy storage systems. This comprehensive review examines the current state-of-the-art and emerging trends in advanced energy storage technologies for mobility applications. We analyze lithium-ion batteries and their evolutionary trajectory, solid-state batteries, sodium-ion systems, lithium-sulfur configurations, and supercapacitor-based hybrid architectures. The paper explores critical aspects including energy and power density optimization, fast-charging capabilities, battery management systems enhanced by artificial intelligence, and life-cycle sustainability considerations. Furthermore, we investigate circular economy approaches encompassing battery recycling, second-life applications, and sustainable manufacturing processes. The integration of digital twins, machine learning diagnostics, and vehicle-to-grid systems represents the frontier of intelligent energy management. This review synthesizes findings from 43 recent studies to provide a holistic perspective on the challenges, opportunities, and future research directions that will shape the next generation of sustainable mobility solutions. The analysis spans fundamental materials science, system-level engineering, environmental sustainability, and emerging digitalization paradigms that collectively define the future landscape of clean transportation energy storage.</w:t>
      </w:r>
    </w:p>
    <w:p>
      <w:r>
        <w:t xml:space="preserve"/>
      </w:r>
    </w:p>
    <w:p>
      <w:r>
        <w:rPr>
          <w:i/>
        </w:rPr>
        <w:t xml:space="preserve">Keywords: Energy storage; Electric vehicles; Lithium-ion batteries; Solid-state batteries; Sustainability; Battery management systems; Circular economy; Artificial intelligence; Vehicle-to-grid; Digital twins</w:t>
      </w:r>
    </w:p>
    <w:p>
      <w:r>
        <w:t xml:space="preserve"/>
      </w:r>
    </w:p>
    <w:p>
      <w:pPr>
        <w:pStyle w:val="Heading1"/>
      </w:pPr>
      <w:r>
        <w:rPr>
          <w:b/>
        </w:rPr>
        <w:t xml:space="preserve">1. Fundamentals of Energy Storage for Sustainable Mobility</w:t>
      </w:r>
    </w:p>
    <w:p>
      <w:pPr>
        <w:pStyle w:val="Heading2"/>
      </w:pPr>
      <w:r>
        <w:rPr>
          <w:b/>
        </w:rPr>
        <w:t xml:space="preserve">1.1 Energy Storage Requirements for Modern Mobility</w:t>
      </w:r>
    </w:p>
    <w:p>
      <w:r>
        <w:t xml:space="preserve">The electrification of transportation represents one of the most significant technological transitions of the twenty-first century, fundamentally reshaping the global automotive industry, energy infrastructure, and environmental trajectory. Modern electric mobility applications impose stringent and multifaceted requirements on energy storage systems that extend far beyond simple energy capacity considerations. The fundamental challenge lies in simultaneously achieving high energy density, high power density, rapid charging capability, long cycle life, operational safety, and economic viability within compact, lightweight packages suitable for vehicle integration [1]. These requirements are inherently interconnected, and optimizing one parameter often necessitates trade-offs in others, creating a complex multi-objective optimization problem that drives ongoing research and development efforts worldwide. The transportation sector accounts for approximately 25% of global carbon dioxide emissions, making the successful development and deployment of advanced energy storage systems not merely a technological challenge but an environmental imperative of the highest order.</w:t>
      </w:r>
    </w:p>
    <w:p>
      <w:r>
        <w:t xml:space="preserve">Energy density, measured in watt-hours per kilogram (Wh/kg) for gravimetric or watt-hours per liter (Wh/L) for volumetric measurements, determines the driving range achievable with a given battery mass or volume. Current state-of-the-art lithium-ion batteries achieve gravimetric energy densities of 250-300 Wh/kg at the cell level, while next-generation technologies target values exceeding 500 Wh/kg [2]. For passenger electric vehicles, achieving driving ranges of 500 kilometers or more requires battery packs with usable energy capacities of 75-100 kWh, which translates to pack masses of 400-500 kg with current technology. Power density, conversely, governs the acceleration performance and regenerative braking capability of electric vehicles. High-performance electric vehicles demand instantaneous power delivery exceeding 300 kW, requiring power densities above 2000 W/kg from battery cells. The relationship between energy and power density is elegantly captured in Ragone plots (Figure 1), which reveal the fundamental performance envelopes of different storage technologies and guide researchers toward understanding the inherent limitations and opportunities for improvement [3].</w:t>
      </w:r>
    </w:p>
    <w:p>
      <w:r>
        <w:t xml:space="preserve">Charging time represents a critical barrier to EV adoption, with consumers expecting refueling convenience comparable to conventional internal combustion engine vehicles. Fast-charging requirements demand batteries capable of accepting charge rates of 3C to 6C (corresponding to full charge in 10-20 minutes) without significant degradation [4]. However, rapid charging induces lithium plating on the anode surface, mechanical stress from non-uniform lithium intercalation, and accelerated solid-electrolyte interphase (SEI) growth, necessitating sophisticated thermal management and adaptive charging protocols. The development of advanced charging algorithms that modulate current based on real-time electrode potential, temperature, and state-of-health represents a critical area of ongoing innovation. Round-trip energy efficiency, typically 90-95% for modern lithium-ion systems, directly impacts vehicle operating costs and overall system sustainability [5]. Even small improvements in efficiency translate to meaningful reductions in electricity consumption over the vehicle lifetime, compounding the environmental benefits of electrification.</w:t>
      </w:r>
    </w:p>
    <w:p>
      <w:r>
        <w:t xml:space="preserve">Safety requirements for automotive energy storage are paramount, as thermal runaway events can result in catastrophic consequences including fire and toxic gas emission. Battery systems must maintain stable operation across wide temperature ranges (-30 degrees C to +60 degrees C), withstand mechanical abuse scenarios (vibration, shock, crush, penetration), and incorporate multiple layers of safety protection at the cell, module, and pack levels [6]. International standards including UN ECE R100, ISO 6469, and SAE J2464 define comprehensive testing protocols that batteries must pass before vehicle certification. Furthermore, the integration of advanced sensors, predictive algorithms, and automatic disconnect mechanisms provides additional safety margins that enable early detection and mitigation of potential failure events. The cost dimension remains equally critical: achieving battery pack costs below $100/kWh is widely considered the threshold for EVs to achieve purchase price parity with internal combustion engine vehicles without subsidies, a target that recent manufacturing advances and supply chain optimization have brought within practical reach [7]. The convergence of performance, safety, and cost requirements creates a multidimensional design space within which battery researchers and engineers must navigate to deliver commercially viable solutions.</w:t>
      </w:r>
    </w:p>
    <w:p>
      <w:pPr>
        <w:jc w:val="center"/>
      </w:pPr>
      <w:r>
        <w:drawing>
          <wp:inline xmlns:wp="http://schemas.openxmlformats.org/drawingml/2006/wordprocessingDrawing" distT="0" distB="0" distL="0" distR="0">
            <wp:extent cx="5000000" cy="3750000"/>
            <wp:docPr id="3" name="Picture 3"/>
            <a:graphic xmlns:a="http://schemas.openxmlformats.org/drawingml/2006/main">
              <a:graphicData uri="http://schemas.openxmlformats.org/drawingml/2006/picture">
                <pic:pic xmlns:pic="http://schemas.openxmlformats.org/drawingml/2006/picture">
                  <pic:nvPicPr>
                    <pic:cNvPr id="3" name="image3.png"/>
                    <pic:cNvPicPr/>
                  </pic:nvPicPr>
                  <pic:blipFill>
                    <a:blip xmlns:r="http://schemas.openxmlformats.org/officeDocument/2006/relationships" r:embed="rId3"/>
                    <a:stretch>
                      <a:fillRect/>
                    </a:stretch>
                  </pic:blipFill>
                  <pic:spPr>
                    <a:xfrm>
                      <a:off x="0" y="0"/>
                      <a:ext cx="5000000" cy="3750000"/>
                    </a:xfrm>
                    <a:prstGeom prst="rect">
                      <a:avLst/>
                    </a:prstGeom>
                  </pic:spPr>
                </pic:pic>
              </a:graphicData>
            </a:graphic>
          </wp:inline>
        </w:drawing>
      </w:r>
    </w:p>
    <w:p>
      <w:pPr>
        <w:jc w:val="center"/>
      </w:pPr>
      <w:r>
        <w:rPr>
          <w:b/>
          <w:i/>
          <w:sz w:val="20"/>
        </w:rPr>
        <w:t xml:space="preserve">Figure 1. Ragone plot comparing energy density versus power density for various energy storage technologies including lithium-ion batteries, solid-state batteries, supercapacitors, sodium-ion batteries, lithium-sulfur batteries, and lead-acid batteries.</w:t>
      </w:r>
    </w:p>
    <w:p>
      <w:r>
        <w:t xml:space="preserve"/>
      </w:r>
    </w:p>
    <w:p>
      <w:pPr>
        <w:pStyle w:val="Heading2"/>
      </w:pPr>
      <w:r>
        <w:rPr>
          <w:b/>
        </w:rPr>
        <w:t xml:space="preserve">1.2 Conventional and Advanced Energy Storage Technologies</w:t>
      </w:r>
    </w:p>
    <w:p>
      <w:r>
        <w:t xml:space="preserve">Lithium-ion batteries have dominated the electric vehicle market since their commercialization in the early 1990s, evolving through multiple generations of cathode and anode chemistries that have progressively improved energy density, power capability, cycle life, and safety characteristics. The progression from lithium cobalt oxide (LCO) to nickel-manganese-cobalt (NMC) and nickel-cobalt-aluminum (NCA) cathodes has yielded significant improvements in energy density, cost, and thermal stability, enabling the transition from consumer electronics to demanding automotive applications [8]. Current commercial systems employ NMC811 (80% nickel, 10% manganese, 10% cobalt) cathodes paired with graphite or silicon-graphite composite anodes, achieving cell-level energy densities of 260-300 Wh/kg. The ongoing evolution toward even higher nickel content (NMC9.5.5) promises further energy density gains, though at the expense of increased sensitivity to moisture, reduced thermal stability, and more demanding manufacturing requirements. Lithium iron phosphate (LFP) chemistry, while offering lower energy density (160-180 Wh/kg), provides superior thermal stability, longer cycle life exceeding 3000 cycles, lower cost due to elimination of nickel and cobalt, and immunity to supply chain constraints affecting critical materials, making it increasingly preferred for mass-market vehicles and energy storage applications [9].</w:t>
      </w:r>
    </w:p>
    <w:p>
      <w:r>
        <w:t xml:space="preserve">Solid-state batteries represent the most anticipated next-generation technology, fundamentally replacing the flammable liquid organic electrolyte with a solid ionic conductor that simultaneously functions as the separator. This architectural transformation enables the use of lithium metal anodes with theoretical capacity of 3,860 mAh/g, potentially achieving cell-level energy densities of 400-500 Wh/kg while eliminating the risk of electrolyte leakage, reducing thermal runaway susceptibility, and enabling operation across wider temperature ranges [10]. Major solid electrolyte families under intensive development include sulfide-based systems (Li6PS5Cl, Li10GeP2S12) offering the highest ionic conductivities exceeding 10 mS/cm, oxide-based ceramics (Li7La3Zr2O12 garnet, Li1.3Al0.3Ti1.7(PO4)3 NASICON-type) providing excellent chemical stability, and polymer-based systems (polyethylene oxide with lithium salts) offering mechanical flexibility and easy processing [11]. Each family presents unique advantages and challenges in terms of ionic conductivity, electrochemical stability window, mechanical properties, grain boundary resistance, and manufacturing compatibility with existing production infrastructure. Toyota has announced plans for commercial solid-state battery deployment by 2027-2028, while QuantumScape and Solid Power have demonstrated multi-layer prototype cells meeting automotive performance targets, though significant manufacturing challenges related to thin-film electrolyte deposition, pressure requirements, and interface stability remain to be fully resolved at production scale.</w:t>
      </w:r>
    </w:p>
    <w:p>
      <w:r>
        <w:t xml:space="preserve">Sodium-ion batteries have emerged as a compelling alternative technology for applications where cost reduction and resource availability take precedence over maximum energy density. Utilizing earth-abundant sodium rather than geographically concentrated lithium, and employing iron-based cathodes instead of scarce cobalt or nickel, these systems offer energy densities of 120-160 Wh/kg with significantly reduced material costs and enhanced supply chain security [12]. The larger sodium ion radius (1.02 angstroms versus 0.76 angstroms for lithium) creates challenges for intercalation kinetics and structural stability, but recent advances in hard carbon anodes, Prussian blue analog cathodes, and polyanionic framework materials have rapidly closed the performance gap with early-generation lithium-ion systems. CATL announced its first-generation sodium-ion battery in 2021 with 160 Wh/kg energy density, and multiple Chinese manufacturers have since commenced commercial production targeting energy storage and entry-level electric vehicles. Lithium-sulfur batteries represent another promising high-energy pathway, with theoretical energy densities exceeding 2,500 Wh/kg due to the lightweight sulfur cathode and multi-electron conversion reaction mechanism [13]. Practical implementations have achieved 400-500 Wh/kg at the cell level, though formidable challenges related to polysulfide dissolution and shuttling between electrodes, massive volume expansion (80%) of sulfur during lithiation, poor electronic conductivity of sulfur and lithium sulfide, and limited cycle life continue to restrict commercial deployment to niche applications including unmanned aerial vehicles where gravimetric energy density is the primary consideration.</w:t>
      </w:r>
    </w:p>
    <w:p>
      <w:r>
        <w:t xml:space="preserve">Supercapacitors, also known as electrochemical double-layer capacitors (EDLCs) or ultracapacitors, offer fundamentally complementary characteristics to batteries with power densities exceeding 10,000 W/kg, response times in milliseconds, and cycle lives beyond one million charge-discharge cycles [14]. Their energy storage mechanism, based on physical charge separation at the electrode-electrolyte interface rather than faradaic reactions, provides inherent advantages in rate capability and durability but limits energy density to 5-15 Wh/kg for conventional activated carbon electrodes. Hybrid supercapacitors incorporating pseudocapacitive materials (manganese dioxide, ruthenium oxide, conducting polymers) or lithium-ion capacitors combining a capacitive cathode with a lithium-intercalation anode bridge the gap between traditional supercapacitors and batteries, achieving 20-50 Wh/kg with maintained high power capability. While their energy density is insufficient for primary vehicle propulsion over extended ranges, supercapacitors excel in capturing regenerative braking energy with high efficiency, providing peak power assistance during acceleration transients, cold-cranking in extreme temperatures, and operating reliably across temperature ranges from -40 to +70 degrees C where battery performance degrades significantly. Hybrid energy storage systems combining batteries with supercapacitors leverage the complementary strengths of both technologies, as discussed in subsequent sections of this review.</w:t>
      </w:r>
    </w:p>
    <w:p>
      <w:r>
        <w:t xml:space="preserve"/>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E2F3"/>
          </w:tcPr>
          <w:p>
            <w:r>
              <w:rPr>
                <w:b/>
                <w:sz w:val="20"/>
              </w:rPr>
              <w:t xml:space="preserve">Technology</w:t>
            </w:r>
          </w:p>
        </w:tc>
        <w:tc>
          <w:tcPr>
            <w:shd w:val="clear" w:color="auto" w:fill="D9E2F3"/>
          </w:tcPr>
          <w:p>
            <w:r>
              <w:rPr>
                <w:b/>
                <w:sz w:val="20"/>
              </w:rPr>
              <w:t xml:space="preserve">Energy Density (Wh/kg)</w:t>
            </w:r>
          </w:p>
        </w:tc>
        <w:tc>
          <w:tcPr>
            <w:shd w:val="clear" w:color="auto" w:fill="D9E2F3"/>
          </w:tcPr>
          <w:p>
            <w:r>
              <w:rPr>
                <w:b/>
                <w:sz w:val="20"/>
              </w:rPr>
              <w:t xml:space="preserve">Power Density (W/kg)</w:t>
            </w:r>
          </w:p>
        </w:tc>
        <w:tc>
          <w:tcPr>
            <w:shd w:val="clear" w:color="auto" w:fill="D9E2F3"/>
          </w:tcPr>
          <w:p>
            <w:r>
              <w:rPr>
                <w:b/>
                <w:sz w:val="20"/>
              </w:rPr>
              <w:t xml:space="preserve">Cycle Life</w:t>
            </w:r>
          </w:p>
        </w:tc>
        <w:tc>
          <w:tcPr>
            <w:shd w:val="clear" w:color="auto" w:fill="D9E2F3"/>
          </w:tcPr>
          <w:p>
            <w:r>
              <w:rPr>
                <w:b/>
                <w:sz w:val="20"/>
              </w:rPr>
              <w:t xml:space="preserve">Cost ($/kWh)</w:t>
            </w:r>
          </w:p>
        </w:tc>
        <w:tc>
          <w:tcPr>
            <w:shd w:val="clear" w:color="auto" w:fill="D9E2F3"/>
          </w:tcPr>
          <w:p>
            <w:r>
              <w:rPr>
                <w:b/>
                <w:sz w:val="20"/>
              </w:rPr>
              <w:t xml:space="preserve">Status</w:t>
            </w:r>
          </w:p>
        </w:tc>
      </w:tr>
      <w:tr>
        <w:tc>
          <w:p>
            <w:r>
              <w:rPr>
                <w:sz w:val="20"/>
              </w:rPr>
              <w:t xml:space="preserve">Li-ion (NMC811)</w:t>
            </w:r>
          </w:p>
        </w:tc>
        <w:tc>
          <w:p>
            <w:r>
              <w:rPr>
                <w:sz w:val="20"/>
              </w:rPr>
              <w:t xml:space="preserve">260-300</w:t>
            </w:r>
          </w:p>
        </w:tc>
        <w:tc>
          <w:p>
            <w:r>
              <w:rPr>
                <w:sz w:val="20"/>
              </w:rPr>
              <w:t xml:space="preserve">700-2000</w:t>
            </w:r>
          </w:p>
        </w:tc>
        <w:tc>
          <w:p>
            <w:r>
              <w:rPr>
                <w:sz w:val="20"/>
              </w:rPr>
              <w:t xml:space="preserve">1000-3000</w:t>
            </w:r>
          </w:p>
        </w:tc>
        <w:tc>
          <w:p>
            <w:r>
              <w:rPr>
                <w:sz w:val="20"/>
              </w:rPr>
              <w:t xml:space="preserve">120-150</w:t>
            </w:r>
          </w:p>
        </w:tc>
        <w:tc>
          <w:p>
            <w:r>
              <w:rPr>
                <w:sz w:val="20"/>
              </w:rPr>
              <w:t xml:space="preserve">Commercial</w:t>
            </w:r>
          </w:p>
        </w:tc>
      </w:tr>
      <w:tr>
        <w:tc>
          <w:p>
            <w:r>
              <w:rPr>
                <w:sz w:val="20"/>
              </w:rPr>
              <w:t xml:space="preserve">Li-ion (LFP)</w:t>
            </w:r>
          </w:p>
        </w:tc>
        <w:tc>
          <w:p>
            <w:r>
              <w:rPr>
                <w:sz w:val="20"/>
              </w:rPr>
              <w:t xml:space="preserve">160-180</w:t>
            </w:r>
          </w:p>
        </w:tc>
        <w:tc>
          <w:p>
            <w:r>
              <w:rPr>
                <w:sz w:val="20"/>
              </w:rPr>
              <w:t xml:space="preserve">500-1500</w:t>
            </w:r>
          </w:p>
        </w:tc>
        <w:tc>
          <w:p>
            <w:r>
              <w:rPr>
                <w:sz w:val="20"/>
              </w:rPr>
              <w:t xml:space="preserve">3000-6000</w:t>
            </w:r>
          </w:p>
        </w:tc>
        <w:tc>
          <w:p>
            <w:r>
              <w:rPr>
                <w:sz w:val="20"/>
              </w:rPr>
              <w:t xml:space="preserve">80-110</w:t>
            </w:r>
          </w:p>
        </w:tc>
        <w:tc>
          <w:p>
            <w:r>
              <w:rPr>
                <w:sz w:val="20"/>
              </w:rPr>
              <w:t xml:space="preserve">Commercial</w:t>
            </w:r>
          </w:p>
        </w:tc>
      </w:tr>
      <w:tr>
        <w:tc>
          <w:p>
            <w:r>
              <w:rPr>
                <w:sz w:val="20"/>
              </w:rPr>
              <w:t xml:space="preserve">Solid-State</w:t>
            </w:r>
          </w:p>
        </w:tc>
        <w:tc>
          <w:p>
            <w:r>
              <w:rPr>
                <w:sz w:val="20"/>
              </w:rPr>
              <w:t xml:space="preserve">350-500</w:t>
            </w:r>
          </w:p>
        </w:tc>
        <w:tc>
          <w:p>
            <w:r>
              <w:rPr>
                <w:sz w:val="20"/>
              </w:rPr>
              <w:t xml:space="preserve">500-1500</w:t>
            </w:r>
          </w:p>
        </w:tc>
        <w:tc>
          <w:p>
            <w:r>
              <w:rPr>
                <w:sz w:val="20"/>
              </w:rPr>
              <w:t xml:space="preserve">1000-5000</w:t>
            </w:r>
          </w:p>
        </w:tc>
        <w:tc>
          <w:p>
            <w:r>
              <w:rPr>
                <w:sz w:val="20"/>
              </w:rPr>
              <w:t xml:space="preserve">200-400</w:t>
            </w:r>
          </w:p>
        </w:tc>
        <w:tc>
          <w:p>
            <w:r>
              <w:rPr>
                <w:sz w:val="20"/>
              </w:rPr>
              <w:t xml:space="preserve">Pre-commercial</w:t>
            </w:r>
          </w:p>
        </w:tc>
      </w:tr>
      <w:tr>
        <w:tc>
          <w:p>
            <w:r>
              <w:rPr>
                <w:sz w:val="20"/>
              </w:rPr>
              <w:t xml:space="preserve">Sodium-ion</w:t>
            </w:r>
          </w:p>
        </w:tc>
        <w:tc>
          <w:p>
            <w:r>
              <w:rPr>
                <w:sz w:val="20"/>
              </w:rPr>
              <w:t xml:space="preserve">120-160</w:t>
            </w:r>
          </w:p>
        </w:tc>
        <w:tc>
          <w:p>
            <w:r>
              <w:rPr>
                <w:sz w:val="20"/>
              </w:rPr>
              <w:t xml:space="preserve">300-1000</w:t>
            </w:r>
          </w:p>
        </w:tc>
        <w:tc>
          <w:p>
            <w:r>
              <w:rPr>
                <w:sz w:val="20"/>
              </w:rPr>
              <w:t xml:space="preserve">2000-5000</w:t>
            </w:r>
          </w:p>
        </w:tc>
        <w:tc>
          <w:p>
            <w:r>
              <w:rPr>
                <w:sz w:val="20"/>
              </w:rPr>
              <w:t xml:space="preserve">50-80</w:t>
            </w:r>
          </w:p>
        </w:tc>
        <w:tc>
          <w:p>
            <w:r>
              <w:rPr>
                <w:sz w:val="20"/>
              </w:rPr>
              <w:t xml:space="preserve">Early commercial</w:t>
            </w:r>
          </w:p>
        </w:tc>
      </w:tr>
      <w:tr>
        <w:tc>
          <w:p>
            <w:r>
              <w:rPr>
                <w:sz w:val="20"/>
              </w:rPr>
              <w:t xml:space="preserve">Lithium-Sulfur</w:t>
            </w:r>
          </w:p>
        </w:tc>
        <w:tc>
          <w:p>
            <w:r>
              <w:rPr>
                <w:sz w:val="20"/>
              </w:rPr>
              <w:t xml:space="preserve">400-600</w:t>
            </w:r>
          </w:p>
        </w:tc>
        <w:tc>
          <w:p>
            <w:r>
              <w:rPr>
                <w:sz w:val="20"/>
              </w:rPr>
              <w:t xml:space="preserve">200-500</w:t>
            </w:r>
          </w:p>
        </w:tc>
        <w:tc>
          <w:p>
            <w:r>
              <w:rPr>
                <w:sz w:val="20"/>
              </w:rPr>
              <w:t xml:space="preserve">200-500</w:t>
            </w:r>
          </w:p>
        </w:tc>
        <w:tc>
          <w:p>
            <w:r>
              <w:rPr>
                <w:sz w:val="20"/>
              </w:rPr>
              <w:t xml:space="preserve">150-250</w:t>
            </w:r>
          </w:p>
        </w:tc>
        <w:tc>
          <w:p>
            <w:r>
              <w:rPr>
                <w:sz w:val="20"/>
              </w:rPr>
              <w:t xml:space="preserve">R&amp;D/Pilot</w:t>
            </w:r>
          </w:p>
        </w:tc>
      </w:tr>
      <w:tr>
        <w:tc>
          <w:p>
            <w:r>
              <w:rPr>
                <w:sz w:val="20"/>
              </w:rPr>
              <w:t xml:space="preserve">Supercapacitors</w:t>
            </w:r>
          </w:p>
        </w:tc>
        <w:tc>
          <w:p>
            <w:r>
              <w:rPr>
                <w:sz w:val="20"/>
              </w:rPr>
              <w:t xml:space="preserve">5-15</w:t>
            </w:r>
          </w:p>
        </w:tc>
        <w:tc>
          <w:p>
            <w:r>
              <w:rPr>
                <w:sz w:val="20"/>
              </w:rPr>
              <w:t xml:space="preserve">10000-15000</w:t>
            </w:r>
          </w:p>
        </w:tc>
        <w:tc>
          <w:p>
            <w:r>
              <w:rPr>
                <w:sz w:val="20"/>
              </w:rPr>
              <w:t xml:space="preserve">&gt;1,000,000</w:t>
            </w:r>
          </w:p>
        </w:tc>
        <w:tc>
          <w:p>
            <w:r>
              <w:rPr>
                <w:sz w:val="20"/>
              </w:rPr>
              <w:t xml:space="preserve">5000-10000</w:t>
            </w:r>
          </w:p>
        </w:tc>
        <w:tc>
          <w:p>
            <w:r>
              <w:rPr>
                <w:sz w:val="20"/>
              </w:rPr>
              <w:t xml:space="preserve">Commercial</w:t>
            </w:r>
          </w:p>
        </w:tc>
      </w:tr>
      <w:tr>
        <w:tc>
          <w:p>
            <w:r>
              <w:rPr>
                <w:sz w:val="20"/>
              </w:rPr>
              <w:t xml:space="preserve">Lead-Acid</w:t>
            </w:r>
          </w:p>
        </w:tc>
        <w:tc>
          <w:p>
            <w:r>
              <w:rPr>
                <w:sz w:val="20"/>
              </w:rPr>
              <w:t xml:space="preserve">30-50</w:t>
            </w:r>
          </w:p>
        </w:tc>
        <w:tc>
          <w:p>
            <w:r>
              <w:rPr>
                <w:sz w:val="20"/>
              </w:rPr>
              <w:t xml:space="preserve">100-300</w:t>
            </w:r>
          </w:p>
        </w:tc>
        <w:tc>
          <w:p>
            <w:r>
              <w:rPr>
                <w:sz w:val="20"/>
              </w:rPr>
              <w:t xml:space="preserve">500-1000</w:t>
            </w:r>
          </w:p>
        </w:tc>
        <w:tc>
          <w:p>
            <w:r>
              <w:rPr>
                <w:sz w:val="20"/>
              </w:rPr>
              <w:t xml:space="preserve">50-100</w:t>
            </w:r>
          </w:p>
        </w:tc>
        <w:tc>
          <w:p>
            <w:r>
              <w:rPr>
                <w:sz w:val="20"/>
              </w:rPr>
              <w:t xml:space="preserve">Mature</w:t>
            </w:r>
          </w:p>
        </w:tc>
      </w:tr>
    </w:tbl>
    <w:p>
      <w:pPr>
        <w:jc w:val="center"/>
      </w:pPr>
      <w:r>
        <w:rPr>
          <w:b/>
          <w:i/>
          <w:sz w:val="20"/>
        </w:rPr>
        <w:t xml:space="preserve">Table 1. Comparative performance metrics of current and emerging energy storage technologies for electric mobility applications.</w:t>
      </w:r>
    </w:p>
    <w:p>
      <w:r>
        <w:t xml:space="preserve"/>
      </w:r>
    </w:p>
    <w:p>
      <w:r>
        <w:t xml:space="preserve">As shown in Table 1, the performance landscape of energy storage technologies spans several orders of magnitude across key metrics, reflecting the diverse requirements of different mobility applications ranging from urban micro-mobility to long-haul trucking. The Ragone plot in Figure 1 visually demonstrates how these technologies occupy distinct performance regions, with ongoing research efforts aimed at expanding the achievable performance envelope toward the upper-right corner representing simultaneous high energy and high power density [15]. The selection of optimal storage technology for a given application requires careful consideration of the complete requirements spectrum, including not only the primary metrics of energy and power density but also secondary considerations such as temperature sensitivity, self-discharge rate, memory effects, and end-of-life disposal requirements. The emergence of hybrid and multi-source configurations adds another dimension to this selection process, enabling system-level performance that exceeds the capabilities of any individual technology.</w:t>
      </w:r>
    </w:p>
    <w:p>
      <w:pPr>
        <w:pStyle w:val="Heading2"/>
      </w:pPr>
      <w:r>
        <w:rPr>
          <w:b/>
        </w:rPr>
        <w:t xml:space="preserve">1.3 Materials and Cell-Level Innovations</w:t>
      </w:r>
    </w:p>
    <w:p>
      <w:r>
        <w:t xml:space="preserve">Advanced electrode materials represent the primary pathway for improving battery energy density and overall electrochemical performance. On the cathode side, nickel-rich layered oxides (NMC and NCA with nickel content exceeding 90%) offer specific capacities approaching 220 mAh/g at practical operating voltages, but face significant challenges related to structural instability during deep delithiation, surface reactivity with electrolyte leading to impedance growth, oxygen evolution at high states of charge, and transition metal dissolution that poisons the anode [16]. Single-crystal cathode particles, which eliminate the grain boundaries present in conventional polycrystalline secondary particles, demonstrate dramatically improved mechanical integrity and reduced surface area for parasitic reactions. Surface coatings utilizing metal oxides (Al2O3, ZrO2, TiO2), lithium-ion conductors (Li3PO4, LiNbO3), and fluoride layers create protective barriers that suppress electrolyte decomposition while maintaining lithium-ion transport. Concentration-gradient architectures with nickel-rich cores for high capacity and manganese-rich surfaces for stability represent an elegant approach to decoupling bulk and surface requirements. Emerging cathode concepts include lithium-rich layered oxides (Li1+xM1-xO2) accessing both cationic and anionic redox for capacities exceeding 300 mAh/g, disordered rock-salt structures offering unprecedented compositional flexibility, and fluorine-substituted compounds providing enhanced structural and thermal stability [17].</w:t>
      </w:r>
    </w:p>
    <w:p>
      <w:r>
        <w:t xml:space="preserve">Anode innovations focus primarily on silicon-based materials, which offer theoretical specific capacities of 3,579 mAh/g (for Li15Si4) compared to 372 mAh/g for conventional graphite, representing nearly a ten-fold improvement. However, the approximately 300% volume expansion of silicon during lithiation causes particle pulverization, continuous SEI reformation on freshly exposed surfaces, loss of electrical contact between active material and current collector, and rapid capacity fade within tens of cycles for bulk silicon electrodes [18]. Diverse strategies have been developed to accommodate this volume change including nano-structuring (silicon nanowires, nanoparticles, thin films), carbon compositing (silicon embedded in graphene, carbon nanotubes, or amorphous carbon matrices), engineered void spaces (yolk-shell structures, pomegranate-inspired designs), pre-lithiation to compensate initial lithium inventory loss, and advanced binder systems (polyacrylic acid, self-healing polymers) that maintain electrode cohesion despite repeated expansion-contraction cycles. Commercial silicon-graphite composites with 5-20% silicon content have been successfully deployed in production vehicles, achieving anode capacities of 500-1000 mAh/g with acceptable cycle life of 800-1500 cycles. Pure silicon anodes and lithium metal anodes represent the ultimate performance targets, requiring comprehensive solutions to dendrite growth, Coulombic efficiency limitations, interface instability, and manufacturing challenges that remain areas of intensive global research effort.</w:t>
      </w:r>
    </w:p>
    <w:p>
      <w:r>
        <w:t xml:space="preserve">Electrolyte innovations encompass both liquid and solid systems, with each approach targeting specific performance limitations. Advanced liquid electrolytes incorporate fluorinated solvents (fluoroethylene carbonate, bis(2,2,2-trifluoroethyl) carbonate) that form more stable and ionically conductive interphases, high-concentration salt formulations (&gt;3M) that suppress aluminum current collector corrosion and extend voltage stability, localized high-concentration electrolytes that combine the benefits of high salt concentration with low viscosity, and functional additives (vinylene carbonate, lithium difluorophosphate) that preferentially decompose to form protective interphase layers on both electrodes [19]. These innovations collectively enable stable operation at higher voltages (&gt;4.5V versus lithium), lower temperatures (-20 degrees C and below), and with reactive electrode materials that would rapidly degrade conventional electrolyte systems. Solid electrolytes present a fundamentally different set of challenges: they must simultaneously achieve high ionic conductivity (&gt;1 mS/cm at room temperature), negligible electronic conductivity to prevent self-discharge, wide electrochemical stability windows compatible with both lithium metal anodes and high-voltage cathodes, and favorable mechanical properties that resist dendrite penetration while maintaining intimate interfacial contact. Recent breakthroughs in sulfide-based solid electrolytes, particularly Li9.54Si1.74P1.44S11.7Cl0.3, have demonstrated ionic conductivities exceeding 25 mS/cm at room temperature, substantially surpassing conventional liquid electrolytes and removing ionic transport as the limiting factor for solid-state battery performance [20].</w:t>
      </w:r>
    </w:p>
    <w:p>
      <w:r>
        <w:t xml:space="preserve">Nanomaterials and advanced architectures play an increasingly transformative role in battery performance optimization across multiple length scales. Three-dimensional electrode architectures with hierarchical porosity enable improved electrolyte penetration, reduced tortuosity for ion transport, and shorter solid-state diffusion distances that collectively enhance rate capability without sacrificing energy density [21]. Carbon nanotubes, graphene, and MXene-based conductive scaffolds provide mechanical support that accommodates volume changes while maintaining continuous electronic pathways that enhance charge transfer kinetics and overall electrode utilization. Atomic layer deposition (ALD) and molecular layer deposition (MLD) techniques enable atomic-scale precision in surface engineering, creating artificial solid-electrolyte interphase layers with controlled thickness, composition, and properties that dramatically improve electrode-electrolyte interface stability and Coulombic efficiency. Two-dimensional materials including transition metal dichalcogenides (MoS2, VS2) and metal-organic frameworks (MOFs) serve as both active materials and structural templates for designing electrodes with optimized architecture at the nanometer scale.</w:t>
      </w:r>
    </w:p>
    <w:p>
      <w:r>
        <w:t xml:space="preserve">Thermal management at the cell level has evolved from simple passive approaches relying on natural convection to sophisticated active systems incorporating phase-change materials for thermal buffering, microfluidic cooling channels enabling precise temperature control, thermoelectric devices for active heating and cooling, and immersion cooling in dielectric fluids that provide uniform heat removal across all cell surfaces [22]. The integration of internal temperature sensors using fiber optic Bragg gratings, reference electrode monitoring for real-time detection of lithium plating onset, gas sensors for early identification of electrolyte decomposition, thermal fuses, and current interrupt devices provides multiple independent safety layers that collectively reduce the probability of catastrophic failure to negligible levels. Advanced cell designs including tabless electrodes pioneered by Tesla in their 4680 cell format that reduce internal resistance by shortening electron transport paths, dry electrode coating processes that eliminate volatile organic solvents while enabling thicker coatings, and high-speed stacking assembly replacing conventional winding represent manufacturing innovations that simultaneously improve electrochemical performance, reduce production cost, and minimize environmental impact of the manufacturing process.</w:t>
      </w:r>
    </w:p>
    <w:p>
      <w:pPr>
        <w:pStyle w:val="Heading1"/>
      </w:pPr>
      <w:r>
        <w:rPr>
          <w:b/>
        </w:rPr>
        <w:t xml:space="preserve">2. Advanced Energy Storage Systems for Electric Mobility</w:t>
      </w:r>
    </w:p>
    <w:p>
      <w:pPr>
        <w:pStyle w:val="Heading2"/>
      </w:pPr>
      <w:r>
        <w:rPr>
          <w:b/>
        </w:rPr>
        <w:t xml:space="preserve">2.1 Battery Technologies for Electric Vehicles</w:t>
      </w:r>
    </w:p>
    <w:p>
      <w:r>
        <w:t xml:space="preserve">The evolution of battery systems for electric vehicles has progressed dramatically from simple series-connected cell strings to highly engineered modular architectures incorporating sophisticated structural, thermal, electronic, and safety integration that maximize usable energy while minimizing mass, volume, and cost. Cell-to-pack (CTP) and cell-to-body (CTB) designs represent paradigm shifts in packaging philosophy, eliminating intermediate module-level assemblies and directly integrating prismatic or blade-shaped cells into the pack structure or vehicle floor panel [23]. This architectural simplification increases volumetric energy density by 15-20% while reducing part count, simplifying assembly processes, and enabling structural battery concepts where the battery pack contributes to vehicle stiffness and crash energy absorption. BYD's Blade Battery utilizing elongated LFP cells in a CTP configuration and CATL's CTP 3.0 technology achieving pack-level energy densities exceeding 200 Wh/kg exemplify this trend toward integration-driven performance improvement. The 4680 cylindrical cell format adopted by Tesla represents another innovation vector, offering improved thermal management characteristics, reduced manufacturing cost per kilowatt-hour, and enhanced mechanical stability through tabless electrode architecture that distributes current collection across the entire foil length.</w:t>
      </w:r>
    </w:p>
    <w:p>
      <w:r>
        <w:t xml:space="preserve">Fast-charging technology requires holistic optimization across multiple domains spanning the battery cell electrochemistry, pack-level thermal management engineering, power electronics design, and charging infrastructure deployment. At the cell level, reducing electrode coating thickness, engineering porosity gradients with optimized tortuosity using laser patterning or template-directed processes, employing graphite particles with expanded interlayer spacing for accelerated lithium intercalation kinetics, and incorporating silicon-dominant anodes that intercalate lithium at higher potentials where plating risk is reduced collectively enable improved rate capability [24]. Pack-level thermal management innovation has progressed from air cooling through indirect liquid cooling plates to direct immersion cooling using dielectric fluids such as hydrofluoroethers that provide superior heat removal uniformity across all cell surfaces, maintaining temperature gradients below 3 degrees C even at charge rates of 4C-6C. The development of 800V battery architectures by Porsche, Hyundai, and others doubles the system voltage compared to conventional 400V platforms, halving the charging current for a given power level and thereby reducing resistive losses, cable mass, and connector requirements while enabling charging powers exceeding 350 kW that reduce state-of-charge from 10% to 80% in 15-18 minutes [25]. Silicon carbide power semiconductors in on-board chargers and DC-DC converters further improve charging efficiency and enable more compact power electronics.</w:t>
      </w:r>
    </w:p>
    <w:p>
      <w:r>
        <w:t xml:space="preserve">Long-life battery technologies targeting one million miles (1.6 million kilometers) of vehicle operation represent a transformative development that fundamentally alters the economic proposition of electric vehicles and enables entirely new business models. Achieving such longevity requires cells capable of sustaining more than 5000 charge-discharge cycles at 80% depth of discharge while retaining at least 80% of their initial capacity [26]. LFP cathodes with single-crystal particle morphology that resists mechanical degradation, optimized electrolyte formulations containing targeted additives that continuously repair the solid-electrolyte interphase without consuming active lithium, precision-controlled manufacturing processes that minimize defect introduction, and operation within carefully managed voltage and temperature windows collectively enable such exceptional durability. Tesla has demonstrated million-mile battery concepts using NMC532 chemistry with optimized electrolyte, while CATL has announced cells rated for 15,000 cycles suitable for commercial vehicle applications. These ultra-long-life batteries enable transformative business models including battery-as-a-service where consumers pay per kilometer rather than purchasing the battery outright, vehicle-to-grid applications where battery degradation from grid services is accommodated within the extended lifetime margin, and second-life utilization spanning decades of continued service in less demanding stationary applications.</w:t>
      </w:r>
    </w:p>
    <w:p>
      <w:pPr>
        <w:jc w:val="center"/>
      </w:pPr>
      <w:r>
        <w:drawing>
          <wp:inline xmlns:wp="http://schemas.openxmlformats.org/drawingml/2006/wordprocessingDrawing" distT="0" distB="0" distL="0" distR="0">
            <wp:extent cx="5000000" cy="3750000"/>
            <wp:docPr id="4" name="Picture 4"/>
            <a:graphic xmlns:a="http://schemas.openxmlformats.org/drawingml/2006/main">
              <a:graphicData uri="http://schemas.openxmlformats.org/drawingml/2006/picture">
                <pic:pic xmlns:pic="http://schemas.openxmlformats.org/drawingml/2006/picture">
                  <pic:nvPicPr>
                    <pic:cNvPr id="4" name="image4.png"/>
                    <pic:cNvPicPr/>
                  </pic:nvPicPr>
                  <pic:blipFill>
                    <a:blip xmlns:r="http://schemas.openxmlformats.org/officeDocument/2006/relationships" r:embed="rId4"/>
                    <a:stretch>
                      <a:fillRect/>
                    </a:stretch>
                  </pic:blipFill>
                  <pic:spPr>
                    <a:xfrm>
                      <a:off x="0" y="0"/>
                      <a:ext cx="5000000" cy="3750000"/>
                    </a:xfrm>
                    <a:prstGeom prst="rect">
                      <a:avLst/>
                    </a:prstGeom>
                  </pic:spPr>
                </pic:pic>
              </a:graphicData>
            </a:graphic>
          </wp:inline>
        </w:drawing>
      </w:r>
    </w:p>
    <w:p>
      <w:pPr>
        <w:jc w:val="center"/>
      </w:pPr>
      <w:r>
        <w:rPr>
          <w:b/>
          <w:i/>
          <w:sz w:val="20"/>
        </w:rPr>
        <w:t xml:space="preserve">Figure 2. Evolution of battery energy density from 2010 to 2035 (projected), showing the progression from early lithium-ion systems (150 Wh/kg) toward next-generation solid-state and lithium-sulfur technologies (700 Wh/kg).</w:t>
      </w:r>
    </w:p>
    <w:p>
      <w:r>
        <w:t xml:space="preserve"/>
      </w:r>
    </w:p>
    <w:p>
      <w:r>
        <w:t xml:space="preserve">The trajectory illustrated in Figure 2 demonstrates the remarkable pace of energy density improvement over the past decade and projected into the next, with commercial cell-level values expected to more than double between 2020 and 2035. This evolution is enabled by the progressive adoption of high-nickel cathodes approaching 95% nickel content, silicon-rich anodes progressing from 5% to pure silicon, advanced electrolytes that enable wider voltage windows and improved interface stability, and ultimately solid-state architectures that collectively push the boundaries of electrochemical energy storage beyond what liquid-electrolyte systems can achieve [27]. Each generation of improvement builds upon the foundation of the previous, with materials innovations, manufacturing advances, and system engineering improvements contributing synergistically to overall performance gains.</w:t>
      </w:r>
    </w:p>
    <w:p>
      <w:pPr>
        <w:pStyle w:val="Heading2"/>
      </w:pPr>
      <w:r>
        <w:rPr>
          <w:b/>
        </w:rPr>
        <w:t xml:space="preserve">2.2 Hybrid and Multi-Source Energy Storage Systems</w:t>
      </w:r>
    </w:p>
    <w:p>
      <w:r>
        <w:t xml:space="preserve">Battery-supercapacitor hybrid energy storage systems (HESS) combine the high energy density and sustained power delivery of batteries with the high power density, rapid response time, and exceptional cycle life of supercapacitors, creating synergistic configurations that demonstrably outperform either technology alone across relevant automotive duty cycles. In passive parallel configurations where both storage devices connect directly to the DC bus, supercapacitors naturally handle transient power demands due to their significantly lower internal impedance and superior dynamic response, effectively filtering high-frequency power fluctuations and reducing battery stress during aggressive acceleration and regenerative braking events [28]. Active hybrid systems incorporate bidirectional DC-DC power converters that enable independent voltage regulation and optimized power flow control between the battery, supercapacitor, and electric drivetrain, allowing each component to operate within its ideal efficiency region across all driving conditions. Experimental and simulation studies have consistently demonstrated that appropriately designed hybrid configurations can extend battery calendar and cycle life by 30-50% through reduction of peak current stress, improve overall powertrain energy efficiency by 5-10% through optimal power splitting, and enhance vehicle performance metrics including acceleration time and regenerative braking energy recovery rate. The sizing optimization of hybrid systems requires consideration of component costs, mass, volume, performance requirements, and degradation characteristics, typically employing multi-objective optimization algorithms that explore the Pareto frontier of competing objectives.</w:t>
      </w:r>
    </w:p>
    <w:p>
      <w:r>
        <w:t xml:space="preserve">Fuel cell-battery hybrid systems represent the dominant powertrain architecture for heavy-duty mobility applications where pure battery-electric solutions face fundamental limitations in range, payload capacity, and refueling time that restrict their commercial viability. Proton exchange membrane fuel cells (PEMFCs) provide steady-state power with thermodynamic efficiencies of 50-60% from hydrogen fuel, while lithium-ion batteries handle dynamic load transients, capture regenerative braking energy, enable fuel cell operation at optimal efficiency points, and provide power during cold-start conditions when fuel cell performance is compromised [29]. The power-sharing strategy between fuel cell primary power source and battery energy buffer significantly impacts system-level efficiency, component sizing requirements, hydrogen consumption, and individual component degradation rates. Model predictive control (MPC) approaches that anticipate future driving demands based on route information, GPS data, and traffic patterns enable globally optimal energy management that minimizes lifetime cost while maintaining performance constraints. Dynamic programming, Pontryagin's minimum principle, and reinforcement learning-based approaches each offer different trade-offs between computational complexity, optimality guarantee, and real-time implementability for this multi-state optimization problem.</w:t>
      </w:r>
    </w:p>
    <w:p>
      <w:r>
        <w:t xml:space="preserve"/>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E2F3"/>
          </w:tcPr>
          <w:p>
            <w:r>
              <w:rPr>
                <w:b/>
                <w:sz w:val="20"/>
              </w:rPr>
              <w:t xml:space="preserve">Hybrid Configuration</w:t>
            </w:r>
          </w:p>
        </w:tc>
        <w:tc>
          <w:tcPr>
            <w:shd w:val="clear" w:color="auto" w:fill="D9E2F3"/>
          </w:tcPr>
          <w:p>
            <w:r>
              <w:rPr>
                <w:b/>
                <w:sz w:val="20"/>
              </w:rPr>
              <w:t xml:space="preserve">Primary Energy Source</w:t>
            </w:r>
          </w:p>
        </w:tc>
        <w:tc>
          <w:tcPr>
            <w:shd w:val="clear" w:color="auto" w:fill="D9E2F3"/>
          </w:tcPr>
          <w:p>
            <w:r>
              <w:rPr>
                <w:b/>
                <w:sz w:val="20"/>
              </w:rPr>
              <w:t xml:space="preserve">Secondary Source</w:t>
            </w:r>
          </w:p>
        </w:tc>
        <w:tc>
          <w:tcPr>
            <w:shd w:val="clear" w:color="auto" w:fill="D9E2F3"/>
          </w:tcPr>
          <w:p>
            <w:r>
              <w:rPr>
                <w:b/>
                <w:sz w:val="20"/>
              </w:rPr>
              <w:t xml:space="preserve">Key Advantage</w:t>
            </w:r>
          </w:p>
        </w:tc>
        <w:tc>
          <w:tcPr>
            <w:shd w:val="clear" w:color="auto" w:fill="D9E2F3"/>
          </w:tcPr>
          <w:p>
            <w:r>
              <w:rPr>
                <w:b/>
                <w:sz w:val="20"/>
              </w:rPr>
              <w:t xml:space="preserve">Target Application</w:t>
            </w:r>
          </w:p>
        </w:tc>
      </w:tr>
      <w:tr>
        <w:tc>
          <w:p>
            <w:r>
              <w:rPr>
                <w:sz w:val="20"/>
              </w:rPr>
              <w:t xml:space="preserve">Battery + Supercapacitor</w:t>
            </w:r>
          </w:p>
        </w:tc>
        <w:tc>
          <w:p>
            <w:r>
              <w:rPr>
                <w:sz w:val="20"/>
              </w:rPr>
              <w:t xml:space="preserve">Li-ion Battery</w:t>
            </w:r>
          </w:p>
        </w:tc>
        <w:tc>
          <w:p>
            <w:r>
              <w:rPr>
                <w:sz w:val="20"/>
              </w:rPr>
              <w:t xml:space="preserve">EDLC Supercapacitor</w:t>
            </w:r>
          </w:p>
        </w:tc>
        <w:tc>
          <w:p>
            <w:r>
              <w:rPr>
                <w:sz w:val="20"/>
              </w:rPr>
              <w:t xml:space="preserve">Extended battery life, peak power</w:t>
            </w:r>
          </w:p>
        </w:tc>
        <w:tc>
          <w:p>
            <w:r>
              <w:rPr>
                <w:sz w:val="20"/>
              </w:rPr>
              <w:t xml:space="preserve">Passenger EVs, buses</w:t>
            </w:r>
          </w:p>
        </w:tc>
      </w:tr>
      <w:tr>
        <w:tc>
          <w:p>
            <w:r>
              <w:rPr>
                <w:sz w:val="20"/>
              </w:rPr>
              <w:t xml:space="preserve">Fuel Cell + Battery</w:t>
            </w:r>
          </w:p>
        </w:tc>
        <w:tc>
          <w:p>
            <w:r>
              <w:rPr>
                <w:sz w:val="20"/>
              </w:rPr>
              <w:t xml:space="preserve">PEM Fuel Cell</w:t>
            </w:r>
          </w:p>
        </w:tc>
        <w:tc>
          <w:p>
            <w:r>
              <w:rPr>
                <w:sz w:val="20"/>
              </w:rPr>
              <w:t xml:space="preserve">Li-ion Battery</w:t>
            </w:r>
          </w:p>
        </w:tc>
        <w:tc>
          <w:p>
            <w:r>
              <w:rPr>
                <w:sz w:val="20"/>
              </w:rPr>
              <w:t xml:space="preserve">Long range, fast refueling</w:t>
            </w:r>
          </w:p>
        </w:tc>
        <w:tc>
          <w:p>
            <w:r>
              <w:rPr>
                <w:sz w:val="20"/>
              </w:rPr>
              <w:t xml:space="preserve">Heavy-duty trucks, buses</w:t>
            </w:r>
          </w:p>
        </w:tc>
      </w:tr>
      <w:tr>
        <w:tc>
          <w:p>
            <w:r>
              <w:rPr>
                <w:sz w:val="20"/>
              </w:rPr>
              <w:t xml:space="preserve">Battery + Flywheel</w:t>
            </w:r>
          </w:p>
        </w:tc>
        <w:tc>
          <w:p>
            <w:r>
              <w:rPr>
                <w:sz w:val="20"/>
              </w:rPr>
              <w:t xml:space="preserve">Li-ion Battery</w:t>
            </w:r>
          </w:p>
        </w:tc>
        <w:tc>
          <w:p>
            <w:r>
              <w:rPr>
                <w:sz w:val="20"/>
              </w:rPr>
              <w:t xml:space="preserve">Flywheel</w:t>
            </w:r>
          </w:p>
        </w:tc>
        <w:tc>
          <w:p>
            <w:r>
              <w:rPr>
                <w:sz w:val="20"/>
              </w:rPr>
              <w:t xml:space="preserve">High power density peaks</w:t>
            </w:r>
          </w:p>
        </w:tc>
        <w:tc>
          <w:p>
            <w:r>
              <w:rPr>
                <w:sz w:val="20"/>
              </w:rPr>
              <w:t xml:space="preserve">Racing, transit vehicles</w:t>
            </w:r>
          </w:p>
        </w:tc>
      </w:tr>
      <w:tr>
        <w:tc>
          <w:p>
            <w:r>
              <w:rPr>
                <w:sz w:val="20"/>
              </w:rPr>
              <w:t xml:space="preserve">Multi-Battery</w:t>
            </w:r>
          </w:p>
        </w:tc>
        <w:tc>
          <w:p>
            <w:r>
              <w:rPr>
                <w:sz w:val="20"/>
              </w:rPr>
              <w:t xml:space="preserve">High-energy cells</w:t>
            </w:r>
          </w:p>
        </w:tc>
        <w:tc>
          <w:p>
            <w:r>
              <w:rPr>
                <w:sz w:val="20"/>
              </w:rPr>
              <w:t xml:space="preserve">High-power cells</w:t>
            </w:r>
          </w:p>
        </w:tc>
        <w:tc>
          <w:p>
            <w:r>
              <w:rPr>
                <w:sz w:val="20"/>
              </w:rPr>
              <w:t xml:space="preserve">Optimized energy and power</w:t>
            </w:r>
          </w:p>
        </w:tc>
        <w:tc>
          <w:p>
            <w:r>
              <w:rPr>
                <w:sz w:val="20"/>
              </w:rPr>
              <w:t xml:space="preserve">Performance EVs</w:t>
            </w:r>
          </w:p>
        </w:tc>
      </w:tr>
      <w:tr>
        <w:tc>
          <w:p>
            <w:r>
              <w:rPr>
                <w:sz w:val="20"/>
              </w:rPr>
              <w:t xml:space="preserve">Solar + Battery</w:t>
            </w:r>
          </w:p>
        </w:tc>
        <w:tc>
          <w:p>
            <w:r>
              <w:rPr>
                <w:sz w:val="20"/>
              </w:rPr>
              <w:t xml:space="preserve">PV Panels</w:t>
            </w:r>
          </w:p>
        </w:tc>
        <w:tc>
          <w:p>
            <w:r>
              <w:rPr>
                <w:sz w:val="20"/>
              </w:rPr>
              <w:t xml:space="preserve">Li-ion Battery</w:t>
            </w:r>
          </w:p>
        </w:tc>
        <w:tc>
          <w:p>
            <w:r>
              <w:rPr>
                <w:sz w:val="20"/>
              </w:rPr>
              <w:t xml:space="preserve">Range extension</w:t>
            </w:r>
          </w:p>
        </w:tc>
        <w:tc>
          <w:p>
            <w:r>
              <w:rPr>
                <w:sz w:val="20"/>
              </w:rPr>
              <w:t xml:space="preserve">Solar-assisted EVs</w:t>
            </w:r>
          </w:p>
        </w:tc>
      </w:tr>
    </w:tbl>
    <w:p>
      <w:pPr>
        <w:jc w:val="center"/>
      </w:pPr>
      <w:r>
        <w:rPr>
          <w:b/>
          <w:i/>
          <w:sz w:val="20"/>
        </w:rPr>
        <w:t xml:space="preserve">Table 2. Classification of hybrid and multi-source energy storage system configurations for electric mobility applications.</w:t>
      </w:r>
    </w:p>
    <w:p>
      <w:r>
        <w:t xml:space="preserve"/>
      </w:r>
    </w:p>
    <w:p>
      <w:r>
        <w:t xml:space="preserve">As summarized in Table 2, hybrid configurations offer diverse solutions tailored to specific application requirements across the full spectrum of electric mobility platforms from lightweight urban vehicles to heavy-duty long-haul freight operations. The optimal architecture depends on vehicle class, operational duty cycle characteristics, performance requirements, economic constraints, available infrastructure, and regulatory context. Energy management strategies play a crucial role in realizing the theoretical benefits of hybridization in practice, requiring sophisticated algorithms that account for component aging trajectories, ambient temperature conditions, predicted driving patterns from navigation systems, electricity and hydrogen pricing, and grid interaction opportunities [30]. The field continues to evolve toward more intelligent and adaptive management approaches that learn from operational experience and continuously optimize system behavior.</w:t>
      </w:r>
    </w:p>
    <w:p>
      <w:pPr>
        <w:pStyle w:val="Heading2"/>
      </w:pPr>
      <w:r>
        <w:rPr>
          <w:b/>
        </w:rPr>
        <w:t xml:space="preserve">2.3 Battery Management and Intelligent Control</w:t>
      </w:r>
    </w:p>
    <w:p>
      <w:r>
        <w:t xml:space="preserve">Battery management systems (BMS) serve as the intelligent electronic interface between the electrochemical cells and the vehicle control architecture, performing critical real-time functions including state estimation, cell balancing, thermal management coordination, safety monitoring, fault diagnostics, communication with higher-level vehicle controllers, and data logging for warranty and lifetime analysis [31]. The architecture of modern automotive BMS typically employs a hierarchical structure with distributed cell monitoring units (CMUs) performing voltage, current, and temperature measurements at the cell or module level, communicating via isolated interfaces to a central battery management controller that executes estimation algorithms, implements control strategies, and interfaces with the vehicle communication network. The accuracy of state-of-charge (SOC) estimation directly impacts range prediction reliability, optimal energy utilization efficiency, and driver confidence. Extended Kalman filters (EKF), unscented Kalman filters (UKF), and particle filters represent well-established model-based approaches that combine coulomb counting with voltage-based correction, achieving SOC estimation accuracy within 2-3% under normal operating conditions. However, these methods require accurate equivalent circuit or electrochemical battery models that must be continuously updated through online parameter identification to reflect aging-induced changes in capacity, internal resistance, and diffusion characteristics.</w:t>
      </w:r>
    </w:p>
    <w:p>
      <w:r>
        <w:t xml:space="preserve">State-of-health (SOH) estimation provides critical information for warranty management and claim validation, residual value assessment for used vehicle transactions, second-life qualification decisions, and predictive maintenance scheduling. SOH typically quantifies capacity fade and impedance growth relative to the beginning-of-life condition, expressed as percentage of remaining capacity or power capability [32]. Incremental capacity analysis (ICA) and differential voltage analysis (DVA) extract degradation signatures from charging and discharging voltage profiles, enabling identification and quantification of specific degradation mechanisms including loss of lithium inventory through SEI growth, loss of active material on both electrodes through particle cracking or dissolution, and resistance growth from contact deterioration or electrolyte decomposition. Machine learning approaches, particularly deep neural networks, long short-term memory (LSTM) recurrent neural networks, convolutional neural networks processing voltage curves as images, and transformer architectures, have demonstrated superior SOH prediction accuracy by learning complex nonlinear degradation patterns from large datasets of field cycling data spanning diverse operating conditions, temperatures, and charging behaviors. Transfer learning techniques enable models trained on laboratory data to generalize effectively to field conditions with minimal additional calibration data.</w:t>
      </w:r>
    </w:p>
    <w:p>
      <w:r>
        <w:t xml:space="preserve">Cell balancing ensures uniform utilization across all series-connected cells within a battery pack, preventing premature pack capacity limitation by the weakest cell and maximizing the usable energy window. Passive balancing dissipates excess energy from higher-voltage cells as heat through shunt resistors, providing a simple and low-cost solution suitable for packs with minimal imbalance [33]. Active balancing transfers energy from higher-charged cells to lower-charged cells using switched capacitor circuits, isolated bidirectional converters, multi-winding transformers, or shared energy buses, achieving higher efficiency and faster equalization at the expense of increased circuit complexity and cost. Active balancing becomes particularly important for large automotive packs containing hundreds of series-connected cells, where manufacturing variations in capacity (typically 1-3%), non-uniform thermal conditions across the pack creating temperature-dependent aging rate differences, and differential self-discharge rates create progressively increasing imbalance over the vehicle lifetime. The integration of artificial intelligence into battery management represents a fundamental paradigm shift from reactive monitoring and threshold-based protection to predictive, proactive, and self-optimizing control strategies [34]. AI-enabled BMS capabilities include remaining useful life prediction with confidence intervals, optimal charging profile generation that adapts to individual cell aging patterns, anomaly detection for early fault identification before critical thresholds are reached, and predictive thermal pre-conditioning based on anticipated usage patterns derived from calendar, navigation, and behavioral data.</w:t>
      </w:r>
    </w:p>
    <w:p>
      <w:pPr>
        <w:pStyle w:val="Heading1"/>
      </w:pPr>
      <w:r>
        <w:rPr>
          <w:b/>
        </w:rPr>
        <w:t xml:space="preserve">3. Sustainability, Circularity, and Life-Cycle Perspectives</w:t>
      </w:r>
    </w:p>
    <w:p>
      <w:pPr>
        <w:pStyle w:val="Heading2"/>
      </w:pPr>
      <w:r>
        <w:rPr>
          <w:b/>
        </w:rPr>
        <w:t xml:space="preserve">3.1 Environmental Impact and Life-Cycle Assessment</w:t>
      </w:r>
    </w:p>
    <w:p>
      <w:r>
        <w:t xml:space="preserve">Life-cycle assessment (LCA) provides the most comprehensive and scientifically rigorous framework for evaluating the environmental impacts of energy storage technologies across their complete lifecycle from raw material extraction through manufacturing, use phase operation, and end-of-life disposal or recycling. The carbon footprint of lithium-ion battery production varies significantly depending on manufacturing geographical location and electricity grid carbon intensity, energy sources utilized in cell production, specific cell chemistry and material composition, and factory scale and efficiency, ranging from 50 to 200 kg CO2-equivalent per kWh of usable battery capacity [35]. Studies conducted in regions where coal-dominated electricity grids power most battery factories yield values at the upper end of this range, while facilities with access to renewable electricity report significantly lower production-phase emissions. The use phase contribution depends critically on the electricity grid carbon intensity of the charging region; in countries with predominantly renewable electricity generation, the use-phase emissions are minimal, and the production phase dominates the overall lifecycle carbon footprint as comprehensively illustrated in Figure 3.</w:t>
      </w:r>
    </w:p>
    <w:p>
      <w:pPr>
        <w:jc w:val="center"/>
      </w:pPr>
      <w:r>
        <w:drawing>
          <wp:inline xmlns:wp="http://schemas.openxmlformats.org/drawingml/2006/wordprocessingDrawing" distT="0" distB="0" distL="0" distR="0">
            <wp:extent cx="5000000" cy="3750000"/>
            <wp:docPr id="5" name="Picture 5"/>
            <a:graphic xmlns:a="http://schemas.openxmlformats.org/drawingml/2006/main">
              <a:graphicData uri="http://schemas.openxmlformats.org/drawingml/2006/picture">
                <pic:pic xmlns:pic="http://schemas.openxmlformats.org/drawingml/2006/picture">
                  <pic:nvPicPr>
                    <pic:cNvPr id="5" name="image5.png"/>
                    <pic:cNvPicPr/>
                  </pic:nvPicPr>
                  <pic:blipFill>
                    <a:blip xmlns:r="http://schemas.openxmlformats.org/officeDocument/2006/relationships" r:embed="rId5"/>
                    <a:stretch>
                      <a:fillRect/>
                    </a:stretch>
                  </pic:blipFill>
                  <pic:spPr>
                    <a:xfrm>
                      <a:off x="0" y="0"/>
                      <a:ext cx="5000000" cy="3750000"/>
                    </a:xfrm>
                    <a:prstGeom prst="rect">
                      <a:avLst/>
                    </a:prstGeom>
                  </pic:spPr>
                </pic:pic>
              </a:graphicData>
            </a:graphic>
          </wp:inline>
        </w:drawing>
      </w:r>
    </w:p>
    <w:p>
      <w:pPr>
        <w:jc w:val="center"/>
      </w:pPr>
      <w:r>
        <w:rPr>
          <w:b/>
          <w:i/>
          <w:sz w:val="20"/>
        </w:rPr>
        <w:t xml:space="preserve">Figure 3. Life-cycle carbon footprint breakdown for electric vehicle batteries showing the relative contributions of raw material extraction (35%), manufacturing (25%), use phase (20%), end-of-life processing (10%), and transportation (10%).</w:t>
      </w:r>
    </w:p>
    <w:p>
      <w:r>
        <w:t xml:space="preserve"/>
      </w:r>
    </w:p>
    <w:p>
      <w:r>
        <w:t xml:space="preserve">The environmental impacts of raw material extraction represent a growing concern as battery production scales exponentially to meet projected electric vehicle demand reaching tens of millions of units annually by 2030. Lithium extraction from brine deposits in the lithium triangle region of South America requires pumping vast quantities of lithium-rich brine into solar evaporation ponds, consuming enormous water volumes in hyper-arid regions and potentially affecting local aquifer levels and ecosystems, while hard-rock spodumene mining in Western Australia generates significant particulate emissions, requires extensive land clearing, and produces large volumes of mine tailings requiring long-term environmental management [36]. Cobalt mining in the Democratic Republic of Congo raises serious ethical concerns regarding artisanal mining practices involving child labor and inadequate safety protections. Nickel extraction and refining processes produce substantial sulfur dioxide emissions and generate toxic tailings containing heavy metals. These mounting environmental and social concerns are driving the industry toward chemistries with reduced or eliminated cobalt content (ultra-high-nickel NMC, LFP) and exploration of alternative abundant materials (sodium-ion, organic batteries).</w:t>
      </w:r>
    </w:p>
    <w:p>
      <w:r>
        <w:t xml:space="preserve">As comprehensively illustrated in Figure 3, the production phase accounts for approximately 60% of the total life-cycle carbon footprint when combining raw material extraction and manufacturing contributions, with the remaining impacts distributed between the use phase, end-of-life processing, and transportation. This finding critically underscores the strategic importance of decarbonizing battery manufacturing through aggressive renewable energy integration, continuous process efficiency improvements, sustainable sourcing practices, and maximization of recycled material content [37]. Beyond carbon footprint, comprehensive sustainability assessments must consider additional impact categories including freshwater consumption, land use, acidification, eutrophication, particulate matter formation, human toxicity from heavy metal exposure pathways, and resource depletion across multiple critical materials simultaneously.</w:t>
      </w:r>
    </w:p>
    <w:p>
      <w:pPr>
        <w:pStyle w:val="Heading2"/>
      </w:pPr>
      <w:r>
        <w:rPr>
          <w:b/>
        </w:rPr>
        <w:t xml:space="preserve">3.2 Battery Recycling, Reuse, and Second-Life Applications</w:t>
      </w:r>
    </w:p>
    <w:p>
      <w:r>
        <w:t xml:space="preserve">Battery recycling processes aim to recover valuable materials including lithium, nickel, cobalt, manganese, copper, and aluminum from end-of-life battery cells while minimizing energy consumption, chemical waste generation, and environmental emissions from the recycling process itself. Three primary recycling approaches have been developed with varying degrees of commercial maturity: pyrometallurgical processes involving smelting at temperatures exceeding 1400 degrees C, hydrometallurgical processes utilizing chemical leaching in acid or alkaline solutions followed by selective precipitation or solvent extraction, and direct recycling approaches that preserve and regenerate the cathode active material crystal structure without complete dissolution [38]. Pyrometallurgical processes are commercially well-established at companies including Umicore and Glencore, but their high energy intensity, limited material recovery (only cobalt, nickel, and copper are economically recovered while lithium and manganese report to the slag phase), and generation of toxic off-gases requiring treatment limit their sustainability credentials. Hydrometallurgical processes achieve significantly higher recovery rates exceeding 95% for all target metals with substantially lower energy consumption, and have been commercialized by companies including Li-Cycle, Redwood Materials, and Brunp Recycling, though they generate significant volumes of acidic wastewater and chemical effluents requiring treatment. Direct recycling represents the most promising emerging approach from both environmental and economic perspectives, regenerating degraded cathode materials through controlled relithiation using lithium salt solutions or solid-state reactions followed by heat treatment to restore crystallographic order, potentially reducing recycling energy consumption by 70% and preserving the embedded manufacturing energy in the cathode structure.</w:t>
      </w:r>
    </w:p>
    <w:p>
      <w:r>
        <w:t xml:space="preserve">Second-life applications represent an increasingly important strategy for extending the total useful service life of retired EV batteries, which typically retain 70-80% of their original nameplate capacity when they no longer meet the demanding performance requirements of automotive propulsion applications. Stationary energy storage represents the most commercially promising second-life deployment, where reduced energy density requirements, absence of mass and volume constraints inherent to vehicle applications, and less demanding cycling profiles enable continued productive utilization for an additional 5-10 years [39]. Second-life battery systems can provide valuable grid services including peak demand shaving, frequency regulation, renewable energy firming and time-shifting, backup power for commercial and industrial facilities, and EV charging station buffer storage, all at costs 30-60% lower than equivalent new battery systems. However, significant technical and commercial challenges must be overcome including heterogeneous degradation states across cells from different vehicles, incompatible battery management system hardware and communication protocols across manufacturers, uncertain and highly variable remaining useful lifetime requiring conservative derating, liability and warranty assignment across the value chain, and development of standardized testing, grading, and reconditioning protocols that ensure safe and reliable operation.</w:t>
      </w:r>
    </w:p>
    <w:p>
      <w:r>
        <w:t xml:space="preserve"/>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E2F3"/>
          </w:tcPr>
          <w:p>
            <w:r>
              <w:rPr>
                <w:b/>
                <w:sz w:val="20"/>
              </w:rPr>
              <w:t xml:space="preserve">Recycling Method</w:t>
            </w:r>
          </w:p>
        </w:tc>
        <w:tc>
          <w:tcPr>
            <w:shd w:val="clear" w:color="auto" w:fill="D9E2F3"/>
          </w:tcPr>
          <w:p>
            <w:r>
              <w:rPr>
                <w:b/>
                <w:sz w:val="20"/>
              </w:rPr>
              <w:t xml:space="preserve">Temperature</w:t>
            </w:r>
          </w:p>
        </w:tc>
        <w:tc>
          <w:tcPr>
            <w:shd w:val="clear" w:color="auto" w:fill="D9E2F3"/>
          </w:tcPr>
          <w:p>
            <w:r>
              <w:rPr>
                <w:b/>
                <w:sz w:val="20"/>
              </w:rPr>
              <w:t xml:space="preserve">Recovery Rate</w:t>
            </w:r>
          </w:p>
        </w:tc>
        <w:tc>
          <w:tcPr>
            <w:shd w:val="clear" w:color="auto" w:fill="D9E2F3"/>
          </w:tcPr>
          <w:p>
            <w:r>
              <w:rPr>
                <w:b/>
                <w:sz w:val="20"/>
              </w:rPr>
              <w:t xml:space="preserve">Energy Use</w:t>
            </w:r>
          </w:p>
        </w:tc>
        <w:tc>
          <w:tcPr>
            <w:shd w:val="clear" w:color="auto" w:fill="D9E2F3"/>
          </w:tcPr>
          <w:p>
            <w:r>
              <w:rPr>
                <w:b/>
                <w:sz w:val="20"/>
              </w:rPr>
              <w:t xml:space="preserve">Materials Recovered</w:t>
            </w:r>
          </w:p>
        </w:tc>
        <w:tc>
          <w:tcPr>
            <w:shd w:val="clear" w:color="auto" w:fill="D9E2F3"/>
          </w:tcPr>
          <w:p>
            <w:r>
              <w:rPr>
                <w:b/>
                <w:sz w:val="20"/>
              </w:rPr>
              <w:t xml:space="preserve">Maturity</w:t>
            </w:r>
          </w:p>
        </w:tc>
      </w:tr>
      <w:tr>
        <w:tc>
          <w:p>
            <w:r>
              <w:rPr>
                <w:sz w:val="20"/>
              </w:rPr>
              <w:t xml:space="preserve">Pyrometallurgical</w:t>
            </w:r>
          </w:p>
        </w:tc>
        <w:tc>
          <w:p>
            <w:r>
              <w:rPr>
                <w:sz w:val="20"/>
              </w:rPr>
              <w:t xml:space="preserve">&gt;1400 C</w:t>
            </w:r>
          </w:p>
        </w:tc>
        <w:tc>
          <w:p>
            <w:r>
              <w:rPr>
                <w:sz w:val="20"/>
              </w:rPr>
              <w:t xml:space="preserve">60-70%</w:t>
            </w:r>
          </w:p>
        </w:tc>
        <w:tc>
          <w:p>
            <w:r>
              <w:rPr>
                <w:sz w:val="20"/>
              </w:rPr>
              <w:t xml:space="preserve">High</w:t>
            </w:r>
          </w:p>
        </w:tc>
        <w:tc>
          <w:p>
            <w:r>
              <w:rPr>
                <w:sz w:val="20"/>
              </w:rPr>
              <w:t xml:space="preserve">Co, Ni, Cu</w:t>
            </w:r>
          </w:p>
        </w:tc>
        <w:tc>
          <w:p>
            <w:r>
              <w:rPr>
                <w:sz w:val="20"/>
              </w:rPr>
              <w:t xml:space="preserve">Commercial</w:t>
            </w:r>
          </w:p>
        </w:tc>
      </w:tr>
      <w:tr>
        <w:tc>
          <w:p>
            <w:r>
              <w:rPr>
                <w:sz w:val="20"/>
              </w:rPr>
              <w:t xml:space="preserve">Hydrometallurgical</w:t>
            </w:r>
          </w:p>
        </w:tc>
        <w:tc>
          <w:p>
            <w:r>
              <w:rPr>
                <w:sz w:val="20"/>
              </w:rPr>
              <w:t xml:space="preserve">25-80 C</w:t>
            </w:r>
          </w:p>
        </w:tc>
        <w:tc>
          <w:p>
            <w:r>
              <w:rPr>
                <w:sz w:val="20"/>
              </w:rPr>
              <w:t xml:space="preserve">&gt;95%</w:t>
            </w:r>
          </w:p>
        </w:tc>
        <w:tc>
          <w:p>
            <w:r>
              <w:rPr>
                <w:sz w:val="20"/>
              </w:rPr>
              <w:t xml:space="preserve">Medium</w:t>
            </w:r>
          </w:p>
        </w:tc>
        <w:tc>
          <w:p>
            <w:r>
              <w:rPr>
                <w:sz w:val="20"/>
              </w:rPr>
              <w:t xml:space="preserve">Li, Co, Ni, Mn, Cu</w:t>
            </w:r>
          </w:p>
        </w:tc>
        <w:tc>
          <w:p>
            <w:r>
              <w:rPr>
                <w:sz w:val="20"/>
              </w:rPr>
              <w:t xml:space="preserve">Commercial</w:t>
            </w:r>
          </w:p>
        </w:tc>
      </w:tr>
      <w:tr>
        <w:tc>
          <w:p>
            <w:r>
              <w:rPr>
                <w:sz w:val="20"/>
              </w:rPr>
              <w:t xml:space="preserve">Direct Recycling</w:t>
            </w:r>
          </w:p>
        </w:tc>
        <w:tc>
          <w:p>
            <w:r>
              <w:rPr>
                <w:sz w:val="20"/>
              </w:rPr>
              <w:t xml:space="preserve">400-900 C</w:t>
            </w:r>
          </w:p>
        </w:tc>
        <w:tc>
          <w:p>
            <w:r>
              <w:rPr>
                <w:sz w:val="20"/>
              </w:rPr>
              <w:t xml:space="preserve">&gt;90%</w:t>
            </w:r>
          </w:p>
        </w:tc>
        <w:tc>
          <w:p>
            <w:r>
              <w:rPr>
                <w:sz w:val="20"/>
              </w:rPr>
              <w:t xml:space="preserve">Low</w:t>
            </w:r>
          </w:p>
        </w:tc>
        <w:tc>
          <w:p>
            <w:r>
              <w:rPr>
                <w:sz w:val="20"/>
              </w:rPr>
              <w:t xml:space="preserve">Cathode material (intact)</w:t>
            </w:r>
          </w:p>
        </w:tc>
        <w:tc>
          <w:p>
            <w:r>
              <w:rPr>
                <w:sz w:val="20"/>
              </w:rPr>
              <w:t xml:space="preserve">Pilot scale</w:t>
            </w:r>
          </w:p>
        </w:tc>
      </w:tr>
      <w:tr>
        <w:tc>
          <w:p>
            <w:r>
              <w:rPr>
                <w:sz w:val="20"/>
              </w:rPr>
              <w:t xml:space="preserve">Mechanical Pre-treatment</w:t>
            </w:r>
          </w:p>
        </w:tc>
        <w:tc>
          <w:p>
            <w:r>
              <w:rPr>
                <w:sz w:val="20"/>
              </w:rPr>
              <w:t xml:space="preserve">Ambient</w:t>
            </w:r>
          </w:p>
        </w:tc>
        <w:tc>
          <w:p>
            <w:r>
              <w:rPr>
                <w:sz w:val="20"/>
              </w:rPr>
              <w:t xml:space="preserve">N/A (separation)</w:t>
            </w:r>
          </w:p>
        </w:tc>
        <w:tc>
          <w:p>
            <w:r>
              <w:rPr>
                <w:sz w:val="20"/>
              </w:rPr>
              <w:t xml:space="preserve">Low</w:t>
            </w:r>
          </w:p>
        </w:tc>
        <w:tc>
          <w:p>
            <w:r>
              <w:rPr>
                <w:sz w:val="20"/>
              </w:rPr>
              <w:t xml:space="preserve">Black mass, Cu, Al</w:t>
            </w:r>
          </w:p>
        </w:tc>
        <w:tc>
          <w:p>
            <w:r>
              <w:rPr>
                <w:sz w:val="20"/>
              </w:rPr>
              <w:t xml:space="preserve">Commercial</w:t>
            </w:r>
          </w:p>
        </w:tc>
      </w:tr>
      <w:tr>
        <w:tc>
          <w:p>
            <w:r>
              <w:rPr>
                <w:sz w:val="20"/>
              </w:rPr>
              <w:t xml:space="preserve">Bioleaching</w:t>
            </w:r>
          </w:p>
        </w:tc>
        <w:tc>
          <w:p>
            <w:r>
              <w:rPr>
                <w:sz w:val="20"/>
              </w:rPr>
              <w:t xml:space="preserve">25-45 C</w:t>
            </w:r>
          </w:p>
        </w:tc>
        <w:tc>
          <w:p>
            <w:r>
              <w:rPr>
                <w:sz w:val="20"/>
              </w:rPr>
              <w:t xml:space="preserve">80-95%</w:t>
            </w:r>
          </w:p>
        </w:tc>
        <w:tc>
          <w:p>
            <w:r>
              <w:rPr>
                <w:sz w:val="20"/>
              </w:rPr>
              <w:t xml:space="preserve">Very Low</w:t>
            </w:r>
          </w:p>
        </w:tc>
        <w:tc>
          <w:p>
            <w:r>
              <w:rPr>
                <w:sz w:val="20"/>
              </w:rPr>
              <w:t xml:space="preserve">Li, Co, Ni, Mn</w:t>
            </w:r>
          </w:p>
        </w:tc>
        <w:tc>
          <w:p>
            <w:r>
              <w:rPr>
                <w:sz w:val="20"/>
              </w:rPr>
              <w:t xml:space="preserve">Lab scale</w:t>
            </w:r>
          </w:p>
        </w:tc>
      </w:tr>
    </w:tbl>
    <w:p>
      <w:pPr>
        <w:jc w:val="center"/>
      </w:pPr>
      <w:r>
        <w:rPr>
          <w:b/>
          <w:i/>
          <w:sz w:val="20"/>
        </w:rPr>
        <w:t xml:space="preserve">Table 3. Comparison of battery recycling methodologies showing process conditions, recovery rates, energy requirements, and technology readiness levels.</w:t>
      </w:r>
    </w:p>
    <w:p>
      <w:r>
        <w:t xml:space="preserve"/>
      </w:r>
    </w:p>
    <w:p>
      <w:r>
        <w:t xml:space="preserve">Table 3 presents a comparative overview of recycling methodologies currently under development or in commercial operation, highlighting the significant differences in process conditions, material recovery rates, energy requirements, and technology readiness levels that influence their suitability for different battery chemistries and deployment scales. The transition toward direct recycling and fully closed-loop material flows where recovered materials re-enter battery manufacturing at cathode-precursor quality represents a critical pathway for achieving true circularity in the battery value chain [40]. Regulatory frameworks, particularly the European Union Battery Regulation mandating minimum recycled content levels of 16% cobalt, 6% lithium, and 6% nickel by 2031 (increasing to 26%, 12%, and 15% by 2036), collection targets of 73% by 2030, and material recovery efficiency requirements, are creating strong economic incentives and legal obligations that accelerate industry investment in advanced recycling infrastructure and technology development.</w:t>
      </w:r>
    </w:p>
    <w:p>
      <w:pPr>
        <w:pStyle w:val="Heading2"/>
      </w:pPr>
      <w:r>
        <w:rPr>
          <w:b/>
        </w:rPr>
        <w:t xml:space="preserve">3.3 Sustainable Materials and Green Manufacturing</w:t>
      </w:r>
    </w:p>
    <w:p>
      <w:r>
        <w:t xml:space="preserve">The development of low-carbon electrode and electrolyte materials constitutes a fundamental pillar of sustainable battery technology that addresses environmental impacts at the source rather than attempting mitigation after production. Bio-derived carbon materials synthesized from agricultural waste streams including coconut shells, rice husks, corn stover, lignin from the paper industry, and other cellulosic biomass offer sustainable alternatives to petroleum-derived synthetic graphite and coal-based natural graphite for anodes and conductive additives, simultaneously providing waste valorization benefits and reducing dependence on mining operations [41]. These bio-carbons can be engineered through controlled pyrolysis conditions, activation treatments, and heteroatom doping to achieve properties comparable or superior to conventional materials for both lithium-ion and sodium-ion battery applications. Aqueous electrode processing represents another transformative sustainability innovation, eliminating the need for toxic and expensive N-methyl-2-pyrrolidone (NMP) solvents that require energy-intensive drying steps, solvent recovery systems, and explosion-proof manufacturing environments. Water-based binder systems including carboxymethyl cellulose (CMC) and styrene-butadiene rubber (SBR) have been successfully commercialized for graphite anodes and are under active development for high-nickel cathode applications, where moisture sensitivity of the active material presents additional engineering challenges requiring protective coatings or controlled-atmosphere processing.</w:t>
      </w:r>
    </w:p>
    <w:p>
      <w:r>
        <w:t xml:space="preserve">Sustainable manufacturing processes encompass comprehensive energy efficiency improvements, aggressive renewable energy integration, solvent recovery and recycling to near-zero emission levels, water conservation through closed-loop cooling circuits, and waste minimization throughout the entire production chain from raw material processing to finished cell assembly. Dry electrode coating technology, originally developed by Maxwell Technologies for supercapacitor electrodes and subsequently acquired and adapted by Tesla for lithium-ion battery production, eliminates solvent use entirely by fibrillating polytetrafluoroethylene (PTFE) binder to create a self-supporting electrode film that is laminated directly onto the current collector foil [42]. This revolutionary process reduces electrode manufacturing energy consumption by 30-50%, eliminates toxic solvent emissions and recovery costs, enables fabrication of significantly thicker electrodes (&gt;200 micrometers) for improved energy density, reduces factory footprint by eliminating massive drying ovens, and simplifies quality control by removing drying-related defect modes. Gigafactory designs incorporating on-site solar and wind power generation exceeding factory consumption, waste heat recovery from formation cycling and drying processes, closed-loop water treatment enabling near-zero liquid discharge, and integration with green hydrogen production demonstrate the technical and economic feasibility of approaching zero-emission battery production at scale.</w:t>
      </w:r>
    </w:p>
    <w:p>
      <w:r>
        <w:t xml:space="preserve">Supply chain sustainability requires comprehensive transparency, full traceability from mine to vehicle, and rigorous responsible sourcing practices throughout complex global networks spanning multiple continents and dozens of processing steps. Blockchain-based and digital passport tracking systems enable cryptographic verification of material provenance, certification of compliance with environmental protection standards, documentation of labor conditions at extraction sites, and carbon footprint accounting at each value chain stage [43]. The development of alternative supply chains utilizing recycled materials to reduce virgin extraction requirements, geographically diversified sourcing to mitigate concentration risks, synthetic or engineered alternatives to mined materials, and systematic reduction of critical material content per kilowatt-hour through chemistry optimization represents a strategic imperative for the industry. Resource efficiency improvements including reduced electrode material usage through optimized loading calculations, thinner separators enabled by ceramic coating technology, lighter current collectors using perforated or composite designs, simplified cell architectures with fewer inactive components, and improved manufacturing yields that reduce material waste compound the sustainability benefits of responsible material choices.</w:t>
      </w:r>
    </w:p>
    <w:p>
      <w:pPr>
        <w:pStyle w:val="Heading1"/>
      </w:pPr>
      <w:r>
        <w:rPr>
          <w:b/>
        </w:rPr>
        <w:t xml:space="preserve">4. Future Directions and Intelligent Sustainable Mobility</w:t>
      </w:r>
    </w:p>
    <w:p>
      <w:pPr>
        <w:pStyle w:val="Heading2"/>
      </w:pPr>
      <w:r>
        <w:rPr>
          <w:b/>
        </w:rPr>
        <w:t xml:space="preserve">4.1 Emerging Energy Storage Technologies</w:t>
      </w:r>
    </w:p>
    <w:p>
      <w:r>
        <w:t xml:space="preserve">Solid-state batteries are transitioning from laboratory curiosities to tangible commercial reality, with multiple companies across Asia, Europe, and North America announcing pilot production facility construction and initial product launch timelines within the current decade. The key technical challenges remaining before widespread automotive deployment include achieving thermodynamically and kinetically stable lithium metal-solid electrolyte interfaces that resist void formation during stripping, preventing lithium dendrite penetration through grain boundaries and defects in polycrystalline ceramic electrolytes under practical current densities and stack pressures, managing the substantial volume changes that occur during repeated lithium plating and stripping cycles, and scaling thin-film solid electrolyte production from laboratory coin cells to large-format automotive pouch or prismatic cells at economically viable throughputs [10]. Hybrid solid-state designs incorporating thin liquid electrolyte or gel polymer interlayers at the electrode-electrolyte interfaces offer pragmatic near-term solutions that capture many intrinsic solid-state advantages including improved safety and higher voltage operation while mitigating the challenging interface resistance and contact loss issues that plague fully dry solid-state configurations.</w:t>
      </w:r>
    </w:p>
    <w:p>
      <w:r>
        <w:t xml:space="preserve">Sodium-ion batteries have achieved remarkable technological progress in a remarkably compressed timeframe, driven by concerns about lithium supply chain security and cost volatility. CATL announced first-generation commercial cells achieving 160 Wh/kg energy density in 2021, with subsequent development generations targeting 200 Wh/kg through optimized Prussian blue analog and layered oxide cathodes paired with engineered hard carbon anodes achieving first-cycle Coulombic efficiencies exceeding 90% [12]. The ability to utilize existing lithium-ion battery manufacturing infrastructure including coating lines, assembly equipment, and formation facilities with only minimal modification to accommodate different electrolyte salts significantly reduces the capital investment barrier for commercial deployment and enables rapid production scale-up. Metal-air batteries, particularly lithium-oxygen and zinc-air configurations, offer extraordinary theoretical energy densities of 3,500 and 1,350 Wh/kg respectively by utilizing atmospheric oxygen as the cathode reactant, thereby eliminating the need to carry the cathode active mass within the cell [15]. However, practical implementations face formidable challenges including sluggish oxygen reduction and evolution reaction kinetics requiring precious metal catalysts, electrolyte instability in the presence of reactive oxygen species and moisture, parasitic side reactions forming insulating deposits, and limited cycle life typically below 100 cycles that restrict current applications to primary or mechanically rechargeable configurations.</w:t>
      </w:r>
    </w:p>
    <w:p>
      <w:r>
        <w:t xml:space="preserve">Beyond-lithium technologies under active research investigation worldwide include potassium-ion batteries offering low-cost graphite intercalation anodes, magnesium batteries providing dendrite-free plating and high volumetric capacity, calcium batteries combining divalent charge transfer with earth abundance, and aluminum batteries offering three-electron transfer and exceptional resource availability. Each system presents specific advantages in terms of elemental abundance, material cost, theoretical volumetric or gravimetric performance, and intrinsic safety characteristics, while simultaneously facing unique fundamental challenges related to sluggish multivalent ion transport kinetics in host structures, limited electrode material options with adequate reversibility, electrolyte development for stable metal plating and stripping, and overall electrochemical performance that remains far below lithium-ion benchmarks. Organic batteries utilizing redox-active conjugated polymers, quinone derivatives, nitroxide radicals, or organosulfur compounds represent a radical philosophical departure from conventional inorganic transition-metal-based systems, offering potential advantages in material sustainability through derivation from biomass feedstocks, inherent recyclability through combustion or dissolution, manufacturing simplicity using printing techniques, mechanical flexibility for wearable applications, and tunable properties through molecular design [17]. However, energy density limitations arising from relatively low redox potentials and molecular masses, dissolution of small-molecule active materials in liquid electrolytes, and insufficient cycle life for automotive applications remain areas requiring substantial fundamental and applied research.</w:t>
      </w:r>
    </w:p>
    <w:p>
      <w:pPr>
        <w:pStyle w:val="Heading2"/>
      </w:pPr>
      <w:r>
        <w:rPr>
          <w:b/>
        </w:rPr>
        <w:t xml:space="preserve">4.2 AI, Digital Twins, and Smart Energy Management</w:t>
      </w:r>
    </w:p>
    <w:p>
      <w:r>
        <w:t xml:space="preserve">Artificial intelligence is comprehensively revolutionizing battery technology across the entire value chain, from fundamental materials discovery and novel cell design optimization through real-time manufacturing quality control, in-field operational performance management, and end-of-life decision-making for recycling versus second-life pathways. Machine learning models including graph neural networks, generative adversarial networks, and Bayesian optimization frameworks trained on high-throughput experimental data combined with density functional theory calculations and molecular dynamics simulations accelerate the identification of promising electrode materials, electrolyte formulations, interface coatings, and cell configurations by orders of magnitude compared to traditional Edisonian trial-and-error approaches that have historically required years of iterative experimentation [34]. Physics-informed neural networks (PINNs) that embed electrochemical governing equations including Butler-Volmer kinetics, Fick's diffusion laws, and conservation principles within machine learning architectures combine the physical interpretability and extrapolation capability of first-principles models with the computational efficiency and pattern recognition capability of data-driven approaches, enabling real-time simulation of battery behavior that would otherwise require computationally expensive finite element analysis.</w:t>
      </w:r>
    </w:p>
    <w:p>
      <w:r>
        <w:t xml:space="preserve">Digital twin technology creates high-fidelity virtual replicas of physical battery systems that evolve in real-time based on continuously streaming operational data from embedded sensors, enabling predictive maintenance scheduling, remaining useful life forecasting, operational strategy optimization, warranty claim validation, and comprehensive what-if scenario analysis without risking damage to the physical asset or requiring expensive accelerated aging tests. Battery digital twins incorporate coupled multi-physics models simultaneously spanning electrochemistry (lithium transport and reaction kinetics), thermal behavior (heat generation and dissipation), mechanical stress (expansion-induced deformation and fracture), and degradation kinetics (SEI growth, lithium plating, particle cracking), continuously updated through sophisticated data assimilation techniques including Bayesian inference, ensemble Kalman filtering, and particle filtering that reconcile model predictions with sensor measurements [32]. Cloud-connected digital twins accessible through secure APIs enable fleet-level collective learning where statistical insights extracted from the operational experience of thousands of vehicles across diverse climates, driving styles, and charging patterns improve predictions, diagnostics, and optimization recommendations for individual units, creating a powerful positive feedback loop between fleet scale and individual accuracy.</w:t>
      </w:r>
    </w:p>
    <w:p>
      <w:pPr>
        <w:jc w:val="center"/>
      </w:pPr>
      <w:r>
        <w:drawing>
          <wp:inline xmlns:wp="http://schemas.openxmlformats.org/drawingml/2006/wordprocessingDrawing" distT="0" distB="0" distL="0" distR="0">
            <wp:extent cx="5000000" cy="3750000"/>
            <wp:docPr id="6" name="Picture 6"/>
            <a:graphic xmlns:a="http://schemas.openxmlformats.org/drawingml/2006/main">
              <a:graphicData uri="http://schemas.openxmlformats.org/drawingml/2006/picture">
                <pic:pic xmlns:pic="http://schemas.openxmlformats.org/drawingml/2006/picture">
                  <pic:nvPicPr>
                    <pic:cNvPr id="6" name="image6.png"/>
                    <pic:cNvPicPr/>
                  </pic:nvPicPr>
                  <pic:blipFill>
                    <a:blip xmlns:r="http://schemas.openxmlformats.org/officeDocument/2006/relationships" r:embed="rId6"/>
                    <a:stretch>
                      <a:fillRect/>
                    </a:stretch>
                  </pic:blipFill>
                  <pic:spPr>
                    <a:xfrm>
                      <a:off x="0" y="0"/>
                      <a:ext cx="5000000" cy="3750000"/>
                    </a:xfrm>
                    <a:prstGeom prst="rect">
                      <a:avLst/>
                    </a:prstGeom>
                  </pic:spPr>
                </pic:pic>
              </a:graphicData>
            </a:graphic>
          </wp:inline>
        </w:drawing>
      </w:r>
    </w:p>
    <w:p>
      <w:pPr>
        <w:jc w:val="center"/>
      </w:pPr>
      <w:r>
        <w:rPr>
          <w:b/>
          <w:i/>
          <w:sz w:val="20"/>
        </w:rPr>
        <w:t xml:space="preserve">Figure 4. Architecture of an AI-enabled smart battery management system showing data flow from battery pack sensors through cloud/edge AI processing to digital twin models, thermal management, vehicle-to-grid integration, and smart charging controllers.</w:t>
      </w:r>
    </w:p>
    <w:p>
      <w:r>
        <w:t xml:space="preserve"/>
      </w:r>
    </w:p>
    <w:p>
      <w:r>
        <w:t xml:space="preserve">The intelligent battery management architecture illustrated in Figure 4 represents the technological convergence of electrochemical engineering, computer science, telecommunications, and control theory toward fully autonomous battery operation that continuously self-optimizes without human intervention throughout the entire product lifecycle. Vehicle-to-grid (V2G) systems enable controlled bidirectional power flow between electric vehicle batteries and the electrical distribution grid, fundamentally transforming parked EVs from passive loads into actively managed distributed energy resources capable of providing valuable grid stability services including frequency regulation, voltage support, peak demand reduction, and renewable energy integration while simultaneously generating revenue for vehicle owners that partially offsets vehicle ownership costs [30]. Intelligent charging algorithms leveraging reinforcement learning and model predictive control optimize individual vehicle charging schedules based on dynamic electricity prices, real-time grid carbon intensity signals, personalized battery degradation models calibrated to each individual cell's aging trajectory, predicted future driving requirements inferred from calendar appointments and historical patterns, and available renewable energy generation forecasts, thereby maximizing both economic value and environmental benefit simultaneously.</w:t>
      </w:r>
    </w:p>
    <w:p>
      <w:pPr>
        <w:pStyle w:val="Heading2"/>
      </w:pPr>
      <w:r>
        <w:rPr>
          <w:b/>
        </w:rPr>
        <w:t xml:space="preserve">4.3 Challenges, Opportunities, and Future Research</w:t>
      </w:r>
    </w:p>
    <w:p>
      <w:r>
        <w:t xml:space="preserve">Despite the remarkable progress documented throughout this review, several critical and interconnected challenges must be systematically addressed to realize the full transformative potential of sustainable energy storage for global mobility decarbonization. Safety remains a paramount concern that intensifies as energy densities increase; higher-energy cells inherently store proportionally more chemical energy available for uncontrolled release during failure events, and the combination of highly reactive lithium metal anodes with oxidizing cathode materials creates thermodynamic driving forces for violent exothermic reactions that necessitate proportionally more sophisticated multi-layered safety systems encompassing material-level design, cell-level protection, pack-level isolation, and vehicle-level response protocols [6]. Solid-state batteries offer intrinsic safety advantages by eliminating the flammable liquid organic electrolyte that serves as fuel during thermal runaway propagation, but lithium dendrite penetration through solid electrolyte grain boundaries presents fundamentally new failure modes that require thorough mechanistic understanding, predictive modeling capability, and effective mitigation strategies before these promising technologies can be safely deployed at the scale of millions of vehicles.</w:t>
      </w:r>
    </w:p>
    <w:p>
      <w:r>
        <w:t xml:space="preserve">Scalability challenges arise at multiple interconnected levels throughout the value chain that must be simultaneously addressed through coordinated investment, policy support, and technological innovation: raw material supply chains must expand production capacity by orders of magnitude from current levels to support projected EV manufacturing volumes reaching 40-60 million vehicles annually by 2030, requiring unprecedented rates of new mine development, processing facility construction, and exploration of unconventional resources; battery manufacturing capacity must not only grow quantitatively but qualitatively incorporate fundamentally new and unproven production processes including dry electrode coating, solid electrolyte thin-film deposition, and lithium metal handling at unprecedented industrial scales; and recycling infrastructure must grow from current negligible volumes processing only a few percent of available end-of-life batteries to comprehensive systems capable of handling millions of tonnes of heterogeneous battery waste annually by 2035-2040 [38]. Critical material availability, particularly lithium where current production of approximately 100,000 tonnes annually must increase five-fold by 2030, nickel requiring massive expansion of class 1 production capacity, and natural graphite facing competition from other industrial applications, demands a multi-pronged response combining massive mining expansion in diverse geographies, dramatic improvement in recycling recovery efficiency and scale, and aggressive technology diversification toward chemistries based on earth-abundant alternatives.</w:t>
      </w:r>
    </w:p>
    <w:p>
      <w:r>
        <w:t xml:space="preserve"/>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D9E2F3"/>
          </w:tcPr>
          <w:p>
            <w:r>
              <w:rPr>
                <w:b/>
                <w:sz w:val="20"/>
              </w:rPr>
              <w:t xml:space="preserve">Challenge Area</w:t>
            </w:r>
          </w:p>
        </w:tc>
        <w:tc>
          <w:tcPr>
            <w:shd w:val="clear" w:color="auto" w:fill="D9E2F3"/>
          </w:tcPr>
          <w:p>
            <w:r>
              <w:rPr>
                <w:b/>
                <w:sz w:val="20"/>
              </w:rPr>
              <w:t xml:space="preserve">Current Status</w:t>
            </w:r>
          </w:p>
        </w:tc>
        <w:tc>
          <w:tcPr>
            <w:shd w:val="clear" w:color="auto" w:fill="D9E2F3"/>
          </w:tcPr>
          <w:p>
            <w:r>
              <w:rPr>
                <w:b/>
                <w:sz w:val="20"/>
              </w:rPr>
              <w:t xml:space="preserve">Target (2030)</w:t>
            </w:r>
          </w:p>
        </w:tc>
        <w:tc>
          <w:tcPr>
            <w:shd w:val="clear" w:color="auto" w:fill="D9E2F3"/>
          </w:tcPr>
          <w:p>
            <w:r>
              <w:rPr>
                <w:b/>
                <w:sz w:val="20"/>
              </w:rPr>
              <w:t xml:space="preserve">Key Enablers</w:t>
            </w:r>
          </w:p>
        </w:tc>
        <w:tc>
          <w:tcPr>
            <w:shd w:val="clear" w:color="auto" w:fill="D9E2F3"/>
          </w:tcPr>
          <w:p>
            <w:r>
              <w:rPr>
                <w:b/>
                <w:sz w:val="20"/>
              </w:rPr>
              <w:t xml:space="preserve">Risk Level</w:t>
            </w:r>
          </w:p>
        </w:tc>
      </w:tr>
      <w:tr>
        <w:tc>
          <w:p>
            <w:r>
              <w:rPr>
                <w:sz w:val="20"/>
              </w:rPr>
              <w:t xml:space="preserve">Energy Density</w:t>
            </w:r>
          </w:p>
        </w:tc>
        <w:tc>
          <w:p>
            <w:r>
              <w:rPr>
                <w:sz w:val="20"/>
              </w:rPr>
              <w:t xml:space="preserve">260-300 Wh/kg</w:t>
            </w:r>
          </w:p>
        </w:tc>
        <w:tc>
          <w:p>
            <w:r>
              <w:rPr>
                <w:sz w:val="20"/>
              </w:rPr>
              <w:t xml:space="preserve">&gt;500 Wh/kg</w:t>
            </w:r>
          </w:p>
        </w:tc>
        <w:tc>
          <w:p>
            <w:r>
              <w:rPr>
                <w:sz w:val="20"/>
              </w:rPr>
              <w:t xml:space="preserve">Solid-state, Li-metal anodes</w:t>
            </w:r>
          </w:p>
        </w:tc>
        <w:tc>
          <w:p>
            <w:r>
              <w:rPr>
                <w:sz w:val="20"/>
              </w:rPr>
              <w:t xml:space="preserve">Medium</w:t>
            </w:r>
          </w:p>
        </w:tc>
      </w:tr>
      <w:tr>
        <w:tc>
          <w:p>
            <w:r>
              <w:rPr>
                <w:sz w:val="20"/>
              </w:rPr>
              <w:t xml:space="preserve">Fast Charging</w:t>
            </w:r>
          </w:p>
        </w:tc>
        <w:tc>
          <w:p>
            <w:r>
              <w:rPr>
                <w:sz w:val="20"/>
              </w:rPr>
              <w:t xml:space="preserve">20 min (10-80%)</w:t>
            </w:r>
          </w:p>
        </w:tc>
        <w:tc>
          <w:p>
            <w:r>
              <w:rPr>
                <w:sz w:val="20"/>
              </w:rPr>
              <w:t xml:space="preserve">&lt;10 min (10-80%)</w:t>
            </w:r>
          </w:p>
        </w:tc>
        <w:tc>
          <w:p>
            <w:r>
              <w:rPr>
                <w:sz w:val="20"/>
              </w:rPr>
              <w:t xml:space="preserve">800V architecture, cooling</w:t>
            </w:r>
          </w:p>
        </w:tc>
        <w:tc>
          <w:p>
            <w:r>
              <w:rPr>
                <w:sz w:val="20"/>
              </w:rPr>
              <w:t xml:space="preserve">Medium</w:t>
            </w:r>
          </w:p>
        </w:tc>
      </w:tr>
      <w:tr>
        <w:tc>
          <w:p>
            <w:r>
              <w:rPr>
                <w:sz w:val="20"/>
              </w:rPr>
              <w:t xml:space="preserve">Cost</w:t>
            </w:r>
          </w:p>
        </w:tc>
        <w:tc>
          <w:p>
            <w:r>
              <w:rPr>
                <w:sz w:val="20"/>
              </w:rPr>
              <w:t xml:space="preserve">$120-150/kWh</w:t>
            </w:r>
          </w:p>
        </w:tc>
        <w:tc>
          <w:p>
            <w:r>
              <w:rPr>
                <w:sz w:val="20"/>
              </w:rPr>
              <w:t xml:space="preserve">&lt;$80/kWh</w:t>
            </w:r>
          </w:p>
        </w:tc>
        <w:tc>
          <w:p>
            <w:r>
              <w:rPr>
                <w:sz w:val="20"/>
              </w:rPr>
              <w:t xml:space="preserve">LFP, Na-ion, scale</w:t>
            </w:r>
          </w:p>
        </w:tc>
        <w:tc>
          <w:p>
            <w:r>
              <w:rPr>
                <w:sz w:val="20"/>
              </w:rPr>
              <w:t xml:space="preserve">Low</w:t>
            </w:r>
          </w:p>
        </w:tc>
      </w:tr>
      <w:tr>
        <w:tc>
          <w:p>
            <w:r>
              <w:rPr>
                <w:sz w:val="20"/>
              </w:rPr>
              <w:t xml:space="preserve">Cycle Life</w:t>
            </w:r>
          </w:p>
        </w:tc>
        <w:tc>
          <w:p>
            <w:r>
              <w:rPr>
                <w:sz w:val="20"/>
              </w:rPr>
              <w:t xml:space="preserve">1500-3000 cycles</w:t>
            </w:r>
          </w:p>
        </w:tc>
        <w:tc>
          <w:p>
            <w:r>
              <w:rPr>
                <w:sz w:val="20"/>
              </w:rPr>
              <w:t xml:space="preserve">&gt;5000 cycles</w:t>
            </w:r>
          </w:p>
        </w:tc>
        <w:tc>
          <w:p>
            <w:r>
              <w:rPr>
                <w:sz w:val="20"/>
              </w:rPr>
              <w:t xml:space="preserve">Advanced electrolytes, AI BMS</w:t>
            </w:r>
          </w:p>
        </w:tc>
        <w:tc>
          <w:p>
            <w:r>
              <w:rPr>
                <w:sz w:val="20"/>
              </w:rPr>
              <w:t xml:space="preserve">Low</w:t>
            </w:r>
          </w:p>
        </w:tc>
      </w:tr>
      <w:tr>
        <w:tc>
          <w:p>
            <w:r>
              <w:rPr>
                <w:sz w:val="20"/>
              </w:rPr>
              <w:t xml:space="preserve">Safety</w:t>
            </w:r>
          </w:p>
        </w:tc>
        <w:tc>
          <w:p>
            <w:r>
              <w:rPr>
                <w:sz w:val="20"/>
              </w:rPr>
              <w:t xml:space="preserve">Thermal runaway risk</w:t>
            </w:r>
          </w:p>
        </w:tc>
        <w:tc>
          <w:p>
            <w:r>
              <w:rPr>
                <w:sz w:val="20"/>
              </w:rPr>
              <w:t xml:space="preserve">Zero-incident target</w:t>
            </w:r>
          </w:p>
        </w:tc>
        <w:tc>
          <w:p>
            <w:r>
              <w:rPr>
                <w:sz w:val="20"/>
              </w:rPr>
              <w:t xml:space="preserve">Solid-state, sensors, AI</w:t>
            </w:r>
          </w:p>
        </w:tc>
        <w:tc>
          <w:p>
            <w:r>
              <w:rPr>
                <w:sz w:val="20"/>
              </w:rPr>
              <w:t xml:space="preserve">High</w:t>
            </w:r>
          </w:p>
        </w:tc>
      </w:tr>
      <w:tr>
        <w:tc>
          <w:p>
            <w:r>
              <w:rPr>
                <w:sz w:val="20"/>
              </w:rPr>
              <w:t xml:space="preserve">Recycling Rate</w:t>
            </w:r>
          </w:p>
        </w:tc>
        <w:tc>
          <w:p>
            <w:r>
              <w:rPr>
                <w:sz w:val="20"/>
              </w:rPr>
              <w:t xml:space="preserve">5-10%</w:t>
            </w:r>
          </w:p>
        </w:tc>
        <w:tc>
          <w:p>
            <w:r>
              <w:rPr>
                <w:sz w:val="20"/>
              </w:rPr>
              <w:t xml:space="preserve">&gt;70%</w:t>
            </w:r>
          </w:p>
        </w:tc>
        <w:tc>
          <w:p>
            <w:r>
              <w:rPr>
                <w:sz w:val="20"/>
              </w:rPr>
              <w:t xml:space="preserve">Regulation, direct recycling</w:t>
            </w:r>
          </w:p>
        </w:tc>
        <w:tc>
          <w:p>
            <w:r>
              <w:rPr>
                <w:sz w:val="20"/>
              </w:rPr>
              <w:t xml:space="preserve">Medium</w:t>
            </w:r>
          </w:p>
        </w:tc>
      </w:tr>
      <w:tr>
        <w:tc>
          <w:p>
            <w:r>
              <w:rPr>
                <w:sz w:val="20"/>
              </w:rPr>
              <w:t xml:space="preserve">Carbon Footprint</w:t>
            </w:r>
          </w:p>
        </w:tc>
        <w:tc>
          <w:p>
            <w:r>
              <w:rPr>
                <w:sz w:val="20"/>
              </w:rPr>
              <w:t xml:space="preserve">80-150 kg CO2/kWh</w:t>
            </w:r>
          </w:p>
        </w:tc>
        <w:tc>
          <w:p>
            <w:r>
              <w:rPr>
                <w:sz w:val="20"/>
              </w:rPr>
              <w:t xml:space="preserve">&lt;30 kg CO2/kWh</w:t>
            </w:r>
          </w:p>
        </w:tc>
        <w:tc>
          <w:p>
            <w:r>
              <w:rPr>
                <w:sz w:val="20"/>
              </w:rPr>
              <w:t xml:space="preserve">Green energy, process innovation</w:t>
            </w:r>
          </w:p>
        </w:tc>
        <w:tc>
          <w:p>
            <w:r>
              <w:rPr>
                <w:sz w:val="20"/>
              </w:rPr>
              <w:t xml:space="preserve">Medium</w:t>
            </w:r>
          </w:p>
        </w:tc>
      </w:tr>
    </w:tbl>
    <w:p>
      <w:pPr>
        <w:jc w:val="center"/>
      </w:pPr>
      <w:r>
        <w:rPr>
          <w:b/>
          <w:i/>
          <w:sz w:val="20"/>
        </w:rPr>
        <w:t xml:space="preserve">Table 4. Key challenges, current status, 2030 targets, enabling technologies, and associated risk levels for sustainable EV energy storage development.</w:t>
      </w:r>
    </w:p>
    <w:p>
      <w:r>
        <w:t xml:space="preserve"/>
      </w:r>
    </w:p>
    <w:p>
      <w:r>
        <w:t xml:space="preserve">Table 4 presents a comprehensive roadmap summary of key performance metrics, their current achievement levels, ambitious but physically achievable 2030 targets, the primary technological pathways and enablers required to reach those targets, and the associated risk levels reflecting both technical uncertainty and deployment challenges. The integration of renewable energy sources with electric mobility through intelligent smart charging algorithms, bidirectional vehicle-to-grid power flow, and renewable energy-powered charging infrastructure creates a powerful virtuous cycle where increasingly clean electricity charges emission-free vehicles that in turn provide distributed storage services supporting higher renewable energy penetration on the grid [29]. This systems-level perspective reveals that sustainable mobility is not merely a battery technology challenge in isolation but fundamentally requires coordinated co-evolution of energy generation and distribution systems, transportation infrastructure and planning, digital communication and data platforms, regulatory and policy frameworks, and consumer awareness and acceptance.</w:t>
      </w:r>
    </w:p>
    <w:p>
      <w:r>
        <w:t xml:space="preserve">Future research priorities spanning the next decade and beyond include the development of intrinsically self-healing battery materials incorporating dynamic covalent bonds or microcapsule-based repair agents that autonomously detect and repair degradation-induced damage at the molecular and microstructural levels, all-solid-state batteries with commercially viable manufacturing processes demonstrated at production scale with acceptable yield and cost, multifunctional battery-integrated structural components that simultaneously store electrochemical energy and bear mechanical vehicle loads thereby eliminating packaging mass overhead, fully autonomous and self-optimizing battery management systems leveraging edge AI that continuously adapt operational strategies without human intervention throughout the entire product lifecycle spanning initial deployment through second-life repurposing, and revolutionary energy storage concepts including quantum batteries and nuclear diamond batteries that transcend current electrochemical paradigms entirely [21]. The convergence of nanotechnology enabling atomic-precision material engineering, artificial intelligence providing unprecedented optimization and prediction capabilities, advanced manufacturing techniques including 3D printing of electrodes and robotic assembly, and circular economy principles ensuring cradle-to-cradle material flows will collectively define the innovation trajectory of sustainable energy storage over the coming decade and beyond.</w:t>
      </w:r>
    </w:p>
    <w:p>
      <w:r>
        <w:t xml:space="preserve">The pathway toward achieving genuinely carbon-neutral mobility at global scale requires not only continued technological innovation in energy storage but also comprehensive systemic transformation encompassing supportive policy frameworks at national and international levels, innovative business models that align economic incentives with sustainability outcomes, shifts in consumer behavior and expectations regarding vehicle ownership and usage patterns, and unprecedented levels of international cooperation on standards, supply chains, and technology transfer. Extended producer responsibility regulations that internalize end-of-life costs, carbon border adjustment mechanisms that prevent carbon leakage to less regulated jurisdictions, green taxonomy standards that guide sustainable investment, and harmonized international safety and performance standards that facilitate global trade in battery products collectively create the economic and regulatory environment necessary for industry to justify massive capital investment in sustainable practices and infrastructure [37]. Collaborative research initiatives spanning academic institutions generating fundamental knowledge, industrial partners providing scale-up expertise and market insight, and government agencies ensuring alignment with societal objectives will accelerate the translation of laboratory breakthroughs into commercially deployed products and systems that serve the urgent global imperative for comprehensive transportation decarbonization within the timeframes demanded by climate science.</w:t>
      </w:r>
    </w:p>
    <w:p>
      <w:pPr>
        <w:pStyle w:val="Heading1"/>
      </w:pPr>
      <w:r>
        <w:rPr>
          <w:b/>
        </w:rPr>
        <w:t xml:space="preserve">5. Conclusions</w:t>
      </w:r>
    </w:p>
    <w:p>
      <w:r>
        <w:t xml:space="preserve">This comprehensive review has systematically examined the current technological landscape and projected future trajectories of sustainable advanced energy storage technologies for mobility solutions, spanning the full spectrum from fundamental materials science and cell-level innovations through system engineering and intelligent management to lifecycle sustainability and circular economy considerations. The field is characterized by extraordinarily rapid innovation across multiple interconnected dimensions simultaneously: material science advances continuously pushing energy density boundaries toward theoretical limits, manufacturing innovations progressively reducing costs and environmental footprints toward commercial viability, intelligent management systems leveraging artificial intelligence to maximize performance extraction and operational lifetime, and circular economy approaches systematically closing material loops from cradle to cradle. Lithium-ion batteries in their various chemistry incarnations continue their remarkable evolutionary improvement trajectory toward higher energy density, faster charging capability, and lower manufacturing cost, while simultaneously next-generation technologies including solid-state batteries, sodium-ion systems, and lithium-sulfur configurations promise transformative performance leaps that could redefine the landscape of electric mobility within the current decade.</w:t>
      </w:r>
    </w:p>
    <w:p>
      <w:r>
        <w:t xml:space="preserve">The integration of artificial intelligence, cloud-connected digital twins, and intelligent vehicle-to-everything communication platforms is fundamentally transforming battery management from basic reactive threshold monitoring to sophisticated predictive optimization and autonomous decision-making, enabling unprecedented levels of performance extraction, operational safety assurance, and service lifetime extension that were previously impossible with conventional control approaches. Simultaneously, sustainability considerations are becoming deeply embedded and non-negotiable throughout the entire value chain, from responsible and certified raw material sourcing practices through green manufacturing powered by renewable energy to comprehensive end-of-life management encompassing automated recycling with high material recovery rates and economically viable second-life deployment in stationary applications. The convergence of these technological innovation trends and sustainability imperatives points toward a future where electric mobility achieves genuine and verified environmental benefit across its complete lifecycle while simultaneously satisfying increasingly demanding consumer expectations for performance, range, charging convenience, and long-term affordability.</w:t>
      </w:r>
    </w:p>
    <w:p>
      <w:r>
        <w:t xml:space="preserve">Looking forward to the critical decade ahead, the successful realization of truly sustainable global mobility will require sustained and increased investment in fundamental and applied research across all technology readiness levels, dramatically accelerated technology transfer and commercialization timelines, supportive and stable policy frameworks that provide long-term investment certainty, robust international collaboration on standards and supply chain development, and active engagement of all stakeholders from raw material producers through vehicle manufacturers to end consumers. The challenges documented throughout this review are substantial and multifaceted but ultimately surmountable through concerted effort, and the environmental imperative driving the transition is scientifically undeniable and temporally urgent. Advanced energy storage technologies represent not merely enabling components for electric vehicles but genuinely transformative catalysts for the broader societal transition toward a comprehensive sustainable energy future encompassing transportation, grid storage, and distributed energy systems that collectively address the defining challenge of our generation.</w:t>
      </w:r>
    </w:p>
    <w:p>
      <w:r>
        <w:t xml:space="preserve"/>
      </w:r>
    </w:p>
    <w:p>
      <w:pPr>
        <w:pStyle w:val="Heading1"/>
      </w:pPr>
      <w:r>
        <w:rPr>
          <w:b/>
        </w:rPr>
        <w:t xml:space="preserve">References</w:t>
      </w:r>
    </w:p>
    <w:p>
      <w:r>
        <w:t xml:space="preserve">[1] Armand, M., and Tarascon, J.M., Building better batteries, Nature, 451, 652-657, 2008.</w:t>
      </w:r>
    </w:p>
    <w:p>
      <w:r>
        <w:t xml:space="preserve">[2] Schmuch, R., Wagner, R., Horpel, G., Placke, T., and Winter, M., Performance and cost of materials for lithium-based rechargeable automotive batteries, Nature Energy, 3, 267-278, 2018.</w:t>
      </w:r>
    </w:p>
    <w:p>
      <w:r>
        <w:t xml:space="preserve">[3] Ragone, D.V., Review of battery systems for electrically powered vehicles, SAE Technical Paper 680453, 1968.</w:t>
      </w:r>
    </w:p>
    <w:p>
      <w:r>
        <w:t xml:space="preserve">[4] Liu, Y., Zhu, Y., and Cui, Y., Challenges and opportunities towards fast-charging battery materials, Nature Energy, 4, 540-550, 2019.</w:t>
      </w:r>
    </w:p>
    <w:p>
      <w:r>
        <w:t xml:space="preserve">[5] Goodenough, J.B., and Park, K.S., The Li-ion rechargeable battery: A perspective, Journal of the American Chemical Society, 135, 1167-1176, 2013.</w:t>
      </w:r>
    </w:p>
    <w:p>
      <w:r>
        <w:t xml:space="preserve">[6] Feng, X., Ouyang, M., Liu, X., Lu, L., Xia, Y., and He, X., Thermal runaway mechanism of lithium ion battery for electric vehicles: A review, Energy Storage Materials, 10, 246-267, 2018.</w:t>
      </w:r>
    </w:p>
    <w:p>
      <w:r>
        <w:t xml:space="preserve">[7] Bloomberg NEF, Electric Vehicle Outlook 2023, Bloomberg New Energy Finance, 2023.</w:t>
      </w:r>
    </w:p>
    <w:p>
      <w:r>
        <w:t xml:space="preserve">[8] Manthiram, A., A reflection on lithium-ion battery cathode chemistry, Nature Communications, 11, 1550, 2020.</w:t>
      </w:r>
    </w:p>
    <w:p>
      <w:r>
        <w:t xml:space="preserve">[9] Wang, L., Chen, B., Ma, J., Cui, G., and Chen, L., Reviving lithium cobalt oxide-based lithium secondary batteries, Nano Energy, 54, 1-25, 2018.</w:t>
      </w:r>
    </w:p>
    <w:p>
      <w:r>
        <w:t xml:space="preserve">[10] Janek, J., and Zeier, W.G., A solid future for battery development, Nature Energy, 1, 16141, 2016.</w:t>
      </w:r>
    </w:p>
    <w:p>
      <w:r>
        <w:t xml:space="preserve">[11] Famprikis, T., Canepa, P., Dawson, J.A., Islam, M.S., and Masquelier, C., Fundamentals of inorganic solid-state electrolytes for batteries, Nature Materials, 18, 1278-1291, 2019.</w:t>
      </w:r>
    </w:p>
    <w:p>
      <w:r>
        <w:t xml:space="preserve">[12] Hwang, J.Y., Myung, S.T., and Sun, Y.K., Sodium-ion batteries: Present and future, Chemical Society Reviews, 46, 3529-3614, 2017.</w:t>
      </w:r>
    </w:p>
    <w:p>
      <w:r>
        <w:t xml:space="preserve">[13] Manthiram, A., Fu, Y., Chung, S.H., Zu, C., and Su, Y.S., Rechargeable lithium-sulfur batteries, Chemical Reviews, 114, 11751-11787, 2014.</w:t>
      </w:r>
    </w:p>
    <w:p>
      <w:r>
        <w:t xml:space="preserve">[14] Simon, P., and Gogotsi, Y., Materials for electrochemical capacitors, Nature Materials, 7, 845-854, 2008.</w:t>
      </w:r>
    </w:p>
    <w:p>
      <w:r>
        <w:t xml:space="preserve">[15] Lu, J., Li, L., Park, J.B., Sun, Y.K., Wu, F., and Amine, K., Aprotic and aqueous Li-O2 batteries, Chemical Reviews, 114, 5611-5640, 2014.</w:t>
      </w:r>
    </w:p>
    <w:p>
      <w:r>
        <w:t xml:space="preserve">[16] Kim, J., Lee, H., Cha, H., Yoon, M., Park, M., and Cho, J., Prospect and reality of Ni-rich cathode for commercialization, Advanced Energy Materials, 8, 1702028, 2018.</w:t>
      </w:r>
    </w:p>
    <w:p>
      <w:r>
        <w:t xml:space="preserve">[17] Nayak, P.K., Erickson, E.M., Schipper, F., Penber, T.R., and Aurbach, D., Review on challenges and recent advances in the electrochemical performance of high capacity Li-rich cathode materials, Advanced Energy Materials, 8, 1702397, 2018.</w:t>
      </w:r>
    </w:p>
    <w:p>
      <w:r>
        <w:t xml:space="preserve">[18] Choi, J.W., and Aurbach, D., Promise and reality of post-lithium-ion batteries with high energy densities, Nature Reviews Materials, 1, 16013, 2016.</w:t>
      </w:r>
    </w:p>
    <w:p>
      <w:r>
        <w:t xml:space="preserve">[19] Xu, K., Electrolytes and interphases in Li-ion batteries and beyond, Chemical Reviews, 114, 11503-11618, 2014.</w:t>
      </w:r>
    </w:p>
    <w:p>
      <w:r>
        <w:t xml:space="preserve">[20] Kato, Y., Hori, S., Saito, T., Suzuki, K., Hirayama, M., Mitsui, A., Yonemura, M., Iba, H., and Kanno, R., High-power all-solid-state batteries using sulfide superionic conductors, Nature Energy, 1, 16030, 2016.</w:t>
      </w:r>
    </w:p>
    <w:p>
      <w:r>
        <w:t xml:space="preserve">[21] Sun, Y., Liu, N., and Cui, Y., Promises and challenges of nanomaterials for lithium-based rechargeable batteries, Nature Energy, 1, 16071, 2016.</w:t>
      </w:r>
    </w:p>
    <w:p>
      <w:r>
        <w:t xml:space="preserve">[22] Bandhauer, T.M., Garimella, S., and Fuller, T.F., A critical review of thermal issues in lithium-ion batteries, Journal of the Electrochemical Society, 158, R1-R25, 2011.</w:t>
      </w:r>
    </w:p>
    <w:p>
      <w:r>
        <w:t xml:space="preserve">[23] CATL, Cell-to-Pack Technology White Paper, Contemporary Amperex Technology Co., 2022.</w:t>
      </w:r>
    </w:p>
    <w:p>
      <w:r>
        <w:t xml:space="preserve">[24] Tomaszewska, A., Chu, Z., Feng, X., O'Kane, S., Wu, X., Li, H., and Offer, G., Lithium-ion battery fast charging: A review, eTransportation, 1, 100011, 2019.</w:t>
      </w:r>
    </w:p>
    <w:p>
      <w:r>
        <w:t xml:space="preserve">[25] Meintz, A., Zhang, J., Vijayagopal, R., Krein, P., et al., Enabling fast charging: Vehicle considerations, Journal of Power Sources, 367, 216-227, 2017.</w:t>
      </w:r>
    </w:p>
    <w:p>
      <w:r>
        <w:t xml:space="preserve">[26] Harlow, J.E., Ma, X., Li, J., Logan, E., et al., A wide range of testing results on an excellent lithium-ion cell chemistry to be used as benchmarks, Journal of the Electrochemical Society, 166, A3031, 2019.</w:t>
      </w:r>
    </w:p>
    <w:p>
      <w:r>
        <w:t xml:space="preserve">[27] Crabtree, G., The coming electric vehicle transformation, Science, 366, 422-424, 2019.</w:t>
      </w:r>
    </w:p>
    <w:p>
      <w:r>
        <w:t xml:space="preserve">[28] Cao, J., and Emadi, A., A new battery/ultracapacitor hybrid energy storage system for electric, hybrid, and plug-in hybrid electric vehicles, IEEE Transactions on Power Electronics, 27, 122-132, 2012.</w:t>
      </w:r>
    </w:p>
    <w:p>
      <w:r>
        <w:t xml:space="preserve">[29] Luo, X., Wang, J., Dooner, M., and Clarke, J., Overview of current development in electrical energy storage technologies, Applied Energy, 137, 511-536, 2015.</w:t>
      </w:r>
    </w:p>
    <w:p>
      <w:r>
        <w:t xml:space="preserve">[30] Hannan, M.A., Hoque, M.M., Mohamed, A., and Ayob, A., Review of energy storage systems for electric vehicle applications: Issues and challenges, Renewable and Sustainable Energy Reviews, 69, 771-789, 2017.</w:t>
      </w:r>
    </w:p>
    <w:p>
      <w:r>
        <w:t xml:space="preserve">[31] Lelie, M., Braun, T., Knips, M., et al., Battery management system hardware concepts: An overview, Applied Sciences, 8, 534, 2018.</w:t>
      </w:r>
    </w:p>
    <w:p>
      <w:r>
        <w:t xml:space="preserve">[32] Waag, W., Fleischer, C., and Sauer, D.U., Critical review of the methods for monitoring of lithium-ion batteries in electric and hybrid vehicles, Journal of Power Sources, 258, 321-339, 2014.</w:t>
      </w:r>
    </w:p>
    <w:p>
      <w:r>
        <w:t xml:space="preserve">[33] Daowd, M., Omar, N., Van Den Bossche, P., and Van Mierlo, J., Passive and active battery balancing comparison based on MATLAB simulation, IEEE Vehicle Power and Propulsion Conference, 2011.</w:t>
      </w:r>
    </w:p>
    <w:p>
      <w:r>
        <w:t xml:space="preserve">[34] Ng, M.F., Zhao, J., Yan, Q., Conduit, G.J., and Seh, Z.W., Predicting the state of charge and health of batteries using data-driven machine learning, Nature Machine Intelligence, 2, 161-170, 2020.</w:t>
      </w:r>
    </w:p>
    <w:p>
      <w:r>
        <w:t xml:space="preserve">[35] Romare, M., and Dahllof, L., The life cycle energy consumption and greenhouse gas emissions from lithium-ion batteries, IVL Swedish Environmental Research Institute, 2017.</w:t>
      </w:r>
    </w:p>
    <w:p>
      <w:r>
        <w:t xml:space="preserve">[36] Sonoc, A., Jeswiet, J., and Soo, V.K., Opportunities to improve recycling of automotive lithium ion batteries, Procedia CIRP, 29, 752-757, 2015.</w:t>
      </w:r>
    </w:p>
    <w:p>
      <w:r>
        <w:t xml:space="preserve">[37] Peters, J.F., Baumann, M., Zimmermann, B., Braun, J., and Weil, M., The environmental impact of Li-Ion batteries and the role of key parameters, Renewable and Sustainable Energy Reviews, 67, 491-506, 2017.</w:t>
      </w:r>
    </w:p>
    <w:p>
      <w:r>
        <w:t xml:space="preserve">[38] Harper, G., Sommerville, R., Kendrick, E., et al., Recycling lithium-ion batteries from electric vehicles, Nature, 575, 75-86, 2019.</w:t>
      </w:r>
    </w:p>
    <w:p>
      <w:r>
        <w:t xml:space="preserve">[39] Martinez-Laserna, E., Gandiaga, I., Sarasketa-Zabala, E., et al., Battery second life: Hype, hope or reality? A critical review, Renewable and Sustainable Energy Reviews, 93, 701-718, 2018.</w:t>
      </w:r>
    </w:p>
    <w:p>
      <w:r>
        <w:t xml:space="preserve">[40] Ciez, R.E., and Whitacre, J.F., Examining different recycling processes for lithium-ion batteries, Nature Sustainability, 2, 148-156, 2019.</w:t>
      </w:r>
    </w:p>
    <w:p>
      <w:r>
        <w:t xml:space="preserve">[41] Dou, X., Hasa, I., Sauber, V., et al., Hard carbons for sodium-ion batteries: Structure, analysis, sustainability, and electrochemistry, Materials Today, 23, 87-104, 2019.</w:t>
      </w:r>
    </w:p>
    <w:p>
      <w:r>
        <w:t xml:space="preserve">[42] Ludwig, B., Zheng, Z., Shou, W., Wang, Y., and Pan, H., Solvent-free manufacturing of electrodes for lithium-ion batteries, Scientific Reports, 6, 23150, 2016.</w:t>
      </w:r>
    </w:p>
    <w:p>
      <w:r>
        <w:t xml:space="preserve">[43] Olivetti, E.A., Ceder, G., Gaustad, G.G., and Fu, X., Lithium-ion battery supply chain considerations, Joule, 1, 229-243, 2017.</w:t>
      </w:r>
    </w:p>
  </w:body>
</w:document>
</file>

<file path=word/numbering.xml><?xml version="1.0" encoding="utf-8"?>
<w:numbering xmlns:w="http://schemas.openxmlformats.org/wordprocessingml/2006/main">
</w:numbering>
</file>

<file path=word/styles.xml><?xml version="1.0" encoding="utf-8"?>
<w:styles xmlns:w="http://schemas.openxmlformats.org/wordprocessingml/2006/main">
  <w:style w:type="paragraph" w:default="1" w:styleId="Normal">
    <w:name w:val="Normal"/>
    <w:pPr>
      <w:spacing w:after="200" w:line="276" w:lineRule="auto"/>
    </w:pPr>
    <w:rPr>
      <w:rFonts w:ascii="Times New Roman" w:hAnsi="Times New Roman"/>
      <w:sz w:val="24"/>
    </w:rPr>
  </w:style>
  <w:style w:type="paragraph" w:styleId="Heading1">
    <w:name w:val="heading 1"/>
    <w:pPr>
      <w:spacing w:before="240" w:after="120"/>
    </w:pPr>
    <w:rPr>
      <w:rFonts w:ascii="Times New Roman" w:hAnsi="Times New Roman"/>
      <w:b/>
      <w:sz w:val="32"/>
    </w:rPr>
  </w:style>
  <w:style w:type="paragraph" w:styleId="Heading2">
    <w:name w:val="heading 2"/>
    <w:pPr>
      <w:spacing w:before="200" w:after="100"/>
    </w:pPr>
    <w:rPr>
      <w:rFonts w:ascii="Times New Roman" w:hAnsi="Times New Roman"/>
      <w:b/>
      <w:sz w:val="28"/>
    </w:rPr>
  </w:style>
  <w:style w:type="paragraph" w:styleId="Heading3">
    <w:name w:val="heading 3"/>
    <w:pPr>
      <w:spacing w:before="160" w:after="80"/>
    </w:pPr>
    <w:rPr>
      <w:rFonts w:ascii="Times New Roman" w:hAnsi="Times New Roman"/>
      <w:b/>
      <w:sz w:val="26"/>
    </w:rPr>
  </w:style>
  <w:style w:type="paragraph" w:styleId="Title">
    <w:name w:val="Title"/>
    <w:pPr>
      <w:jc w:val="center"/>
      <w:spacing w:after="300"/>
    </w:pPr>
    <w:rPr>
      <w:rFonts w:ascii="Times New Roman" w:hAnsi="Times New Roman"/>
      <w:b/>
      <w:sz w:val="3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image" Target="media/image1.png"/>
  <Relationship Id="rId4" Type="http://schemas.openxmlformats.org/officeDocument/2006/relationships/image" Target="media/image2.png"/>
  <Relationship Id="rId5" Type="http://schemas.openxmlformats.org/officeDocument/2006/relationships/image" Target="media/image3.png"/>
  <Relationship Id="rId6" Type="http://schemas.openxmlformats.org/officeDocument/2006/relationships/image" Target="media/image4.png"/>
</Relationships>
</file>