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mc:Ignorable="w14 wp14">
  <w:body>
    <w:p>
      <w:pPr>
        <w:pStyle w:val="Heading1"/>
        <w:jc w:val="center"/>
      </w:pPr>
      <w:r>
        <w:rPr>
          <w:rFonts w:ascii="Times New Roman" w:hAnsi="Times New Roman"/>
          <w:b/>
          <w:sz w:val="28"/>
        </w:rPr>
        <w:t xml:space="preserve">REFERENCES (APA Style with DOI)</w:t>
      </w:r>
    </w:p>
    <w:p>
      <w:pPr>
        <w:spacing w:after="0"/>
      </w:pPr>
    </w:p>
    <w:p>
      <w:pPr>
        <w:spacing w:after="240" w:line="480" w:lineRule="auto"/>
        <w:ind w:left="720" w:hanging="720"/>
      </w:pPr>
      <w:r>
        <w:rPr>
          <w:rFonts w:ascii="Times New Roman" w:hAnsi="Times New Roman"/>
          <w:sz w:val="24"/>
        </w:rPr>
        <w:t xml:space="preserve">1. Geetha, M., Singh, A. K., Asokamani, R., &amp; Gogia, A. K. (2009). Ti based biomaterials, the ultimate choice for orthopaedic implants—A review. </w:t>
      </w:r>
      <w:r>
        <w:rPr>
          <w:rFonts w:ascii="Times New Roman" w:hAnsi="Times New Roman"/>
          <w:i/>
          <w:sz w:val="24"/>
        </w:rPr>
        <w:t xml:space="preserve">Progress in Materials Science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 xml:space="preserve">54</w:t>
      </w:r>
      <w:r>
        <w:rPr>
          <w:rFonts w:ascii="Times New Roman" w:hAnsi="Times New Roman"/>
          <w:sz w:val="24"/>
        </w:rPr>
        <w:t xml:space="preserve">(3), 397–425. https://doi.org/10.1016/j.pmatsci.2008.06.004</w:t>
      </w:r>
    </w:p>
    <w:p>
      <w:pPr>
        <w:spacing w:after="0"/>
      </w:pPr>
    </w:p>
    <w:p>
      <w:pPr>
        <w:spacing w:after="240" w:line="480" w:lineRule="auto"/>
        <w:ind w:left="720" w:hanging="720"/>
      </w:pPr>
      <w:r>
        <w:rPr>
          <w:rFonts w:ascii="Times New Roman" w:hAnsi="Times New Roman"/>
          <w:sz w:val="24"/>
        </w:rPr>
        <w:t xml:space="preserve">2. Davim, J. P. (Ed.). (2012). </w:t>
      </w:r>
      <w:r>
        <w:rPr>
          <w:rFonts w:ascii="Times New Roman" w:hAnsi="Times New Roman"/>
          <w:i/>
          <w:sz w:val="24"/>
        </w:rPr>
        <w:t xml:space="preserve">Machining of hard materials</w:t>
      </w:r>
      <w:r>
        <w:rPr>
          <w:rFonts w:ascii="Times New Roman" w:hAnsi="Times New Roman"/>
          <w:sz w:val="24"/>
        </w:rPr>
        <w:t xml:space="preserve">. Springer. https://doi.org/10.1007/978-1-84996-450-0</w:t>
      </w:r>
    </w:p>
    <w:p>
      <w:pPr>
        <w:spacing w:after="0"/>
      </w:pPr>
    </w:p>
    <w:p>
      <w:pPr>
        <w:spacing w:after="240" w:line="480" w:lineRule="auto"/>
        <w:ind w:left="720" w:hanging="720"/>
      </w:pPr>
      <w:r>
        <w:rPr>
          <w:rFonts w:ascii="Times New Roman" w:hAnsi="Times New Roman"/>
          <w:sz w:val="24"/>
        </w:rPr>
        <w:t xml:space="preserve">3. Zhu, D., Xu, X., Yang, Z., &amp; Zhu, D. (2009). Investigation on electrical discharge machining of microstructures on Ti–6Al–4V. </w:t>
      </w:r>
      <w:r>
        <w:rPr>
          <w:rFonts w:ascii="Times New Roman" w:hAnsi="Times New Roman"/>
          <w:i/>
          <w:sz w:val="24"/>
        </w:rPr>
        <w:t xml:space="preserve">Journal of Materials Processing Technology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 xml:space="preserve">209</w:t>
      </w:r>
      <w:r>
        <w:rPr>
          <w:rFonts w:ascii="Times New Roman" w:hAnsi="Times New Roman"/>
          <w:sz w:val="24"/>
        </w:rPr>
        <w:t xml:space="preserve">(11), 4999–5004. https://doi.org/10.1016/j.jmatprotec.2009.01.023</w:t>
      </w:r>
    </w:p>
    <w:p>
      <w:pPr>
        <w:spacing w:after="0"/>
      </w:pPr>
    </w:p>
    <w:p>
      <w:pPr>
        <w:spacing w:after="240" w:line="480" w:lineRule="auto"/>
        <w:ind w:left="720" w:hanging="720"/>
      </w:pPr>
      <w:r>
        <w:rPr>
          <w:rFonts w:ascii="Times New Roman" w:hAnsi="Times New Roman"/>
          <w:sz w:val="24"/>
        </w:rPr>
        <w:t xml:space="preserve">4. Sun, S., Brandt, M., &amp; Dargusch, M. S. (2009). Thermally enhanced machining of hard-to-machine materials—A review. </w:t>
      </w:r>
      <w:r>
        <w:rPr>
          <w:rFonts w:ascii="Times New Roman" w:hAnsi="Times New Roman"/>
          <w:i/>
          <w:sz w:val="24"/>
        </w:rPr>
        <w:t xml:space="preserve">International Journal of Machine Tools and Manufacture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 xml:space="preserve">49</w:t>
      </w:r>
      <w:r>
        <w:rPr>
          <w:rFonts w:ascii="Times New Roman" w:hAnsi="Times New Roman"/>
          <w:sz w:val="24"/>
        </w:rPr>
        <w:t xml:space="preserve">(7–8), 561–583. https://doi.org/10.1016/j.ijmachtools.2009.02.001</w:t>
      </w:r>
    </w:p>
    <w:p>
      <w:pPr>
        <w:spacing w:after="0"/>
      </w:pPr>
    </w:p>
    <w:p>
      <w:pPr>
        <w:spacing w:after="240" w:line="480" w:lineRule="auto"/>
        <w:ind w:left="720" w:hanging="720"/>
      </w:pPr>
      <w:r>
        <w:rPr>
          <w:rFonts w:ascii="Times New Roman" w:hAnsi="Times New Roman"/>
          <w:sz w:val="24"/>
        </w:rPr>
        <w:t xml:space="preserve">5. Thoe, T. B., Aspinwall, D. K., &amp; Wise, M. L. H. (1998). Review on ultrasonic machining. </w:t>
      </w:r>
      <w:r>
        <w:rPr>
          <w:rFonts w:ascii="Times New Roman" w:hAnsi="Times New Roman"/>
          <w:i/>
          <w:sz w:val="24"/>
        </w:rPr>
        <w:t xml:space="preserve">International Journal of Machine Tools and Manufacture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 xml:space="preserve">38</w:t>
      </w:r>
      <w:r>
        <w:rPr>
          <w:rFonts w:ascii="Times New Roman" w:hAnsi="Times New Roman"/>
          <w:sz w:val="24"/>
        </w:rPr>
        <w:t xml:space="preserve">(4), 239–255. https://doi.org/10.1016/S0890-6955(97)00036-9</w:t>
      </w:r>
    </w:p>
    <w:p>
      <w:pPr>
        <w:spacing w:after="0"/>
      </w:pPr>
    </w:p>
    <w:p>
      <w:pPr>
        <w:spacing w:after="240" w:line="480" w:lineRule="auto"/>
        <w:ind w:left="720" w:hanging="720"/>
      </w:pPr>
      <w:r>
        <w:rPr>
          <w:rFonts w:ascii="Times New Roman" w:hAnsi="Times New Roman"/>
          <w:sz w:val="24"/>
        </w:rPr>
        <w:t xml:space="preserve">6. Brinksmeier, E., Cammett, J. T., König, W., Leskovar, P., Peters, J., &amp; Tönshoff, H. K. (1982). Residual stresses—Measurement and causes in machining processes. </w:t>
      </w:r>
      <w:r>
        <w:rPr>
          <w:rFonts w:ascii="Times New Roman" w:hAnsi="Times New Roman"/>
          <w:i/>
          <w:sz w:val="24"/>
        </w:rPr>
        <w:t xml:space="preserve">CIRP Annals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 xml:space="preserve">31</w:t>
      </w:r>
      <w:r>
        <w:rPr>
          <w:rFonts w:ascii="Times New Roman" w:hAnsi="Times New Roman"/>
          <w:sz w:val="24"/>
        </w:rPr>
        <w:t xml:space="preserve">(2), 491–510. https://doi.org/10.1016/S0007-8506(07)60172-3</w:t>
      </w:r>
    </w:p>
    <w:p>
      <w:pPr>
        <w:spacing w:after="0"/>
      </w:pPr>
    </w:p>
    <w:p>
      <w:pPr>
        <w:spacing w:after="240" w:line="480" w:lineRule="auto"/>
        <w:ind w:left="720" w:hanging="720"/>
      </w:pPr>
      <w:r>
        <w:rPr>
          <w:rFonts w:ascii="Times New Roman" w:hAnsi="Times New Roman"/>
          <w:sz w:val="24"/>
        </w:rPr>
        <w:t xml:space="preserve">7. Vorobyev, A. Y., &amp; Guo, C. (2013). Direct femtosecond laser surface nano/microstructuring and its applications. </w:t>
      </w:r>
      <w:r>
        <w:rPr>
          <w:rFonts w:ascii="Times New Roman" w:hAnsi="Times New Roman"/>
          <w:i/>
          <w:sz w:val="24"/>
        </w:rPr>
        <w:t xml:space="preserve">Laser &amp; Photonics Reviews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 xml:space="preserve">7</w:t>
      </w:r>
      <w:r>
        <w:rPr>
          <w:rFonts w:ascii="Times New Roman" w:hAnsi="Times New Roman"/>
          <w:sz w:val="24"/>
        </w:rPr>
        <w:t xml:space="preserve">(3), 385–407. https://doi.org/10.1002/lpor.201200017</w:t>
      </w:r>
    </w:p>
    <w:p>
      <w:pPr>
        <w:spacing w:after="0"/>
      </w:pPr>
    </w:p>
    <w:p>
      <w:pPr>
        <w:spacing w:after="240" w:line="480" w:lineRule="auto"/>
        <w:ind w:left="720" w:hanging="720"/>
      </w:pPr>
      <w:r>
        <w:rPr>
          <w:rFonts w:ascii="Times New Roman" w:hAnsi="Times New Roman"/>
          <w:sz w:val="24"/>
        </w:rPr>
        <w:t xml:space="preserve">8. Umbrello, D., M'Saoubi, R., &amp; Outeiro, J. C. (2007). The influence of Johnson–Cook material constants on finite element simulation of machining of AISI 316L steel. </w:t>
      </w:r>
      <w:r>
        <w:rPr>
          <w:rFonts w:ascii="Times New Roman" w:hAnsi="Times New Roman"/>
          <w:i/>
          <w:sz w:val="24"/>
        </w:rPr>
        <w:t xml:space="preserve">International Journal of Machine Tools and Manufacture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 xml:space="preserve">47</w:t>
      </w:r>
      <w:r>
        <w:rPr>
          <w:rFonts w:ascii="Times New Roman" w:hAnsi="Times New Roman"/>
          <w:sz w:val="24"/>
        </w:rPr>
        <w:t xml:space="preserve">(3–4), 462–470. https://doi.org/10.1016/j.ijmachtools.2006.06.006</w:t>
      </w:r>
    </w:p>
    <w:p>
      <w:pPr>
        <w:spacing w:after="0"/>
      </w:pPr>
    </w:p>
    <w:p>
      <w:pPr>
        <w:spacing w:after="240" w:line="480" w:lineRule="auto"/>
        <w:ind w:left="720" w:hanging="720"/>
      </w:pPr>
      <w:r>
        <w:rPr>
          <w:rFonts w:ascii="Times New Roman" w:hAnsi="Times New Roman"/>
          <w:sz w:val="24"/>
        </w:rPr>
        <w:t xml:space="preserve">9. Huang, Y., &amp; Liang, S. Y. (2003). Modelling of the cutting temperature distribution under the tool flank wear effect. </w:t>
      </w:r>
      <w:r>
        <w:rPr>
          <w:rFonts w:ascii="Times New Roman" w:hAnsi="Times New Roman"/>
          <w:i/>
          <w:sz w:val="24"/>
        </w:rPr>
        <w:t xml:space="preserve">Proceedings of the Institution of Mechanical Engineers, Part C: Journal of Mechanical Engineering Science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 xml:space="preserve">217</w:t>
      </w:r>
      <w:r>
        <w:rPr>
          <w:rFonts w:ascii="Times New Roman" w:hAnsi="Times New Roman"/>
          <w:sz w:val="24"/>
        </w:rPr>
        <w:t xml:space="preserve">(11), 1195–1208. https://doi.org/10.1243/095440603771665368</w:t>
      </w:r>
    </w:p>
    <w:p>
      <w:pPr>
        <w:spacing w:after="0"/>
      </w:pPr>
    </w:p>
    <w:p>
      <w:pPr>
        <w:spacing w:after="240" w:line="480" w:lineRule="auto"/>
        <w:ind w:left="720" w:hanging="720"/>
      </w:pPr>
      <w:r>
        <w:rPr>
          <w:rFonts w:ascii="Times New Roman" w:hAnsi="Times New Roman"/>
          <w:sz w:val="24"/>
        </w:rPr>
        <w:t xml:space="preserve">10. International Organization for Standardization. (2021). </w:t>
      </w:r>
      <w:r>
        <w:rPr>
          <w:rFonts w:ascii="Times New Roman" w:hAnsi="Times New Roman"/>
          <w:i/>
          <w:sz w:val="24"/>
        </w:rPr>
        <w:t xml:space="preserve">Implants for surgery—Metallic materials—Part 3: Wrought titanium 6-aluminium 4-vanadium alloy</w:t>
      </w:r>
      <w:r>
        <w:rPr>
          <w:rFonts w:ascii="Times New Roman" w:hAnsi="Times New Roman"/>
          <w:sz w:val="24"/>
        </w:rPr>
        <w:t xml:space="preserve"> (ISO 5832-3:2021). ISO. https://www.iso.org/standard/75838.html</w:t>
      </w:r>
    </w:p>
    <w:p>
      <w:pPr>
        <w:spacing w:after="0"/>
      </w:pPr>
    </w:p>
    <w:p>
      <w:pPr>
        <w:spacing w:after="240" w:line="480" w:lineRule="auto"/>
        <w:ind w:left="720" w:hanging="720"/>
      </w:pPr>
      <w:r>
        <w:rPr>
          <w:rFonts w:ascii="Times New Roman" w:hAnsi="Times New Roman"/>
          <w:sz w:val="24"/>
        </w:rPr>
        <w:t xml:space="preserve">11. Miracle, D. B., &amp; Senkov, O. N. (2017). A critical review of high entropy alloys and related concepts. </w:t>
      </w:r>
      <w:r>
        <w:rPr>
          <w:rFonts w:ascii="Times New Roman" w:hAnsi="Times New Roman"/>
          <w:i/>
          <w:sz w:val="24"/>
        </w:rPr>
        <w:t xml:space="preserve">Acta Materialia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 xml:space="preserve">122</w:t>
      </w:r>
      <w:r>
        <w:rPr>
          <w:rFonts w:ascii="Times New Roman" w:hAnsi="Times New Roman"/>
          <w:sz w:val="24"/>
        </w:rPr>
        <w:t xml:space="preserve">, 448–511. https://doi.org/10.1016/j.actamat.2016.08.081</w:t>
      </w:r>
    </w:p>
    <w:p>
      <w:pPr>
        <w:spacing w:after="0"/>
      </w:pPr>
    </w:p>
    <w:p>
      <w:pPr>
        <w:spacing w:after="240" w:line="480" w:lineRule="auto"/>
        <w:ind w:left="720" w:hanging="720"/>
      </w:pPr>
      <w:r>
        <w:rPr>
          <w:rFonts w:ascii="Times New Roman" w:hAnsi="Times New Roman"/>
          <w:sz w:val="24"/>
        </w:rPr>
        <w:t xml:space="preserve">12. Schroers, J. (2010). Processing of bulk metallic glass. </w:t>
      </w:r>
      <w:r>
        <w:rPr>
          <w:rFonts w:ascii="Times New Roman" w:hAnsi="Times New Roman"/>
          <w:i/>
          <w:sz w:val="24"/>
        </w:rPr>
        <w:t xml:space="preserve">Advanced Materials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 xml:space="preserve">22</w:t>
      </w:r>
      <w:r>
        <w:rPr>
          <w:rFonts w:ascii="Times New Roman" w:hAnsi="Times New Roman"/>
          <w:sz w:val="24"/>
        </w:rPr>
        <w:t xml:space="preserve">(14), 1566–1597. https://doi.org/10.1002/adma.200902776</w:t>
      </w:r>
    </w:p>
    <w:p>
      <w:pPr>
        <w:spacing w:after="0"/>
      </w:pPr>
    </w:p>
    <w:p>
      <w:pPr>
        <w:spacing w:after="240" w:line="480" w:lineRule="auto"/>
        <w:ind w:left="720" w:hanging="720"/>
      </w:pPr>
      <w:r>
        <w:rPr>
          <w:rFonts w:ascii="Times New Roman" w:hAnsi="Times New Roman"/>
          <w:sz w:val="24"/>
        </w:rPr>
        <w:t xml:space="preserve">13. Jacob, J., More, N., Kalia, K., &amp; Kapusetti, G. (2018). Piezoelectric smart biomaterials for bone and cartilage tissue engineering. </w:t>
      </w:r>
      <w:r>
        <w:rPr>
          <w:rFonts w:ascii="Times New Roman" w:hAnsi="Times New Roman"/>
          <w:i/>
          <w:sz w:val="24"/>
        </w:rPr>
        <w:t xml:space="preserve">Inflammopharmacology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 xml:space="preserve">26</w:t>
      </w:r>
      <w:r>
        <w:rPr>
          <w:rFonts w:ascii="Times New Roman" w:hAnsi="Times New Roman"/>
          <w:sz w:val="24"/>
        </w:rPr>
        <w:t xml:space="preserve">(2), 309–323. https://doi.org/10.1007/s10787-017-0391-9</w:t>
      </w:r>
    </w:p>
    <w:p>
      <w:pPr>
        <w:spacing w:after="0"/>
      </w:pPr>
    </w:p>
    <w:p>
      <w:pPr>
        <w:spacing w:after="240" w:line="480" w:lineRule="auto"/>
        <w:ind w:left="720" w:hanging="720"/>
      </w:pPr>
      <w:r>
        <w:rPr>
          <w:rFonts w:ascii="Times New Roman" w:hAnsi="Times New Roman"/>
          <w:sz w:val="24"/>
        </w:rPr>
        <w:t xml:space="preserve">14. European Parliament and Council. (2017). </w:t>
      </w:r>
      <w:r>
        <w:rPr>
          <w:rFonts w:ascii="Times New Roman" w:hAnsi="Times New Roman"/>
          <w:i/>
          <w:sz w:val="24"/>
        </w:rPr>
        <w:t xml:space="preserve">Regulation (EU) 2017/745 of the European Parliament and of the Council of 5 April 2017 on medical devices</w:t>
      </w:r>
      <w:r>
        <w:rPr>
          <w:rFonts w:ascii="Times New Roman" w:hAnsi="Times New Roman"/>
          <w:sz w:val="24"/>
        </w:rPr>
        <w:t xml:space="preserve">. Official Journal of the European Union. https://eur-lex.europa.eu/eli/reg/2017/745/oj</w:t>
      </w:r>
    </w:p>
    <w:p>
      <w:pPr>
        <w:spacing w:after="0"/>
      </w:pPr>
    </w:p>
    <w:p>
      <w:pPr>
        <w:spacing w:after="240" w:line="480" w:lineRule="auto"/>
        <w:ind w:left="720" w:hanging="720"/>
      </w:pPr>
      <w:r>
        <w:rPr>
          <w:rFonts w:ascii="Times New Roman" w:hAnsi="Times New Roman"/>
          <w:sz w:val="24"/>
        </w:rPr>
        <w:t xml:space="preserve">15. U.S. Food and Drug Administration. (2019). </w:t>
      </w:r>
      <w:r>
        <w:rPr>
          <w:rFonts w:ascii="Times New Roman" w:hAnsi="Times New Roman"/>
          <w:i/>
          <w:sz w:val="24"/>
        </w:rPr>
        <w:t xml:space="preserve">Technical considerations for additive manufactured medical devices: Guidance for industry and Food and Drug Administration staff</w:t>
      </w:r>
      <w:r>
        <w:rPr>
          <w:rFonts w:ascii="Times New Roman" w:hAnsi="Times New Roman"/>
          <w:sz w:val="24"/>
        </w:rPr>
        <w:t xml:space="preserve">. Center for Devices and Radiological Health. https://www.fda.gov/regulatory-information/search-fda-guidance-documents/technical-considerations-additive-manufactured-medical-devices</w:t>
      </w:r>
    </w:p>
    <w:p>
      <w:pPr>
        <w:spacing w:after="0"/>
      </w:pPr>
    </w:p>
    <w:p>
      <w:pPr>
        <w:spacing w:after="240" w:line="480" w:lineRule="auto"/>
        <w:ind w:left="720" w:hanging="720"/>
      </w:pPr>
      <w:r>
        <w:rPr>
          <w:rFonts w:ascii="Times New Roman" w:hAnsi="Times New Roman"/>
          <w:sz w:val="24"/>
        </w:rPr>
        <w:t xml:space="preserve">16. Huang, S. H., Liu, P., Mokasdar, A., &amp; Hou, L. (2013). Additive manufacturing and its societal impact: A literature review. </w:t>
      </w:r>
      <w:r>
        <w:rPr>
          <w:rFonts w:ascii="Times New Roman" w:hAnsi="Times New Roman"/>
          <w:i/>
          <w:sz w:val="24"/>
        </w:rPr>
        <w:t xml:space="preserve">International Journal of Advanced Manufacturing Technology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 xml:space="preserve">67</w:t>
      </w:r>
      <w:r>
        <w:rPr>
          <w:rFonts w:ascii="Times New Roman" w:hAnsi="Times New Roman"/>
          <w:sz w:val="24"/>
        </w:rPr>
        <w:t xml:space="preserve">(5–8), 1191–1203. https://doi.org/10.1007/s00170-012-4558-5</w:t>
      </w:r>
    </w:p>
    <w:p>
      <w:pPr>
        <w:spacing w:after="0"/>
      </w:pPr>
    </w:p>
    <w:p>
      <w:pPr>
        <w:spacing w:after="240" w:line="480" w:lineRule="auto"/>
        <w:ind w:left="720" w:hanging="720"/>
      </w:pPr>
      <w:r>
        <w:rPr>
          <w:rFonts w:ascii="Times New Roman" w:hAnsi="Times New Roman"/>
          <w:sz w:val="24"/>
        </w:rPr>
        <w:t xml:space="preserve">17. Tao, F., &amp; Zhang, M. (2017). Digital twin shop-floor: A new shop-floor paradigm towards smart manufacturing. </w:t>
      </w:r>
      <w:r>
        <w:rPr>
          <w:rFonts w:ascii="Times New Roman" w:hAnsi="Times New Roman"/>
          <w:i/>
          <w:sz w:val="24"/>
        </w:rPr>
        <w:t xml:space="preserve">IEEE Access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 xml:space="preserve">5</w:t>
      </w:r>
      <w:r>
        <w:rPr>
          <w:rFonts w:ascii="Times New Roman" w:hAnsi="Times New Roman"/>
          <w:sz w:val="24"/>
        </w:rPr>
        <w:t xml:space="preserve">, 20418–20427. https://doi.org/10.1109/ACCESS.2017.2756069</w:t>
      </w:r>
    </w:p>
    <w:p>
      <w:pPr>
        <w:spacing w:after="0"/>
      </w:pPr>
    </w:p>
    <w:p>
      <w:pPr>
        <w:spacing w:after="240" w:line="480" w:lineRule="auto"/>
        <w:ind w:left="720" w:hanging="720"/>
      </w:pPr>
      <w:r>
        <w:rPr>
          <w:rFonts w:ascii="Times New Roman" w:hAnsi="Times New Roman"/>
          <w:sz w:val="24"/>
        </w:rPr>
        <w:t xml:space="preserve">18. Lee, E. A. (2008). Cyber physical systems: Design challenges. In </w:t>
      </w:r>
      <w:r>
        <w:rPr>
          <w:rFonts w:ascii="Times New Roman" w:hAnsi="Times New Roman"/>
          <w:i/>
          <w:sz w:val="24"/>
        </w:rPr>
        <w:t xml:space="preserve">Proceedings of the 11th IEEE International Symposium on Object-Oriented Real-Time Distributed Computing (ISORC)</w:t>
      </w:r>
      <w:r>
        <w:rPr>
          <w:rFonts w:ascii="Times New Roman" w:hAnsi="Times New Roman"/>
          <w:sz w:val="24"/>
        </w:rPr>
        <w:t xml:space="preserve"> (pp. 363–369). IEEE. https://doi.org/10.1109/ISORC.2008.25</w:t>
      </w:r>
    </w:p>
    <w:p>
      <w:pPr>
        <w:spacing w:after="0"/>
      </w:pPr>
    </w:p>
    <w:p>
      <w:pPr>
        <w:spacing w:after="240" w:line="480" w:lineRule="auto"/>
        <w:ind w:left="720" w:hanging="720"/>
      </w:pPr>
      <w:r>
        <w:rPr>
          <w:rFonts w:ascii="Times New Roman" w:hAnsi="Times New Roman"/>
          <w:sz w:val="24"/>
        </w:rPr>
        <w:t xml:space="preserve">19. Monostori, L. (2014). Cyber-physical production systems: Roots, expectations and R&amp;D challenges. </w:t>
      </w:r>
      <w:r>
        <w:rPr>
          <w:rFonts w:ascii="Times New Roman" w:hAnsi="Times New Roman"/>
          <w:i/>
          <w:sz w:val="24"/>
        </w:rPr>
        <w:t xml:space="preserve">Procedia CIRP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 xml:space="preserve">17</w:t>
      </w:r>
      <w:r>
        <w:rPr>
          <w:rFonts w:ascii="Times New Roman" w:hAnsi="Times New Roman"/>
          <w:sz w:val="24"/>
        </w:rPr>
        <w:t xml:space="preserve">, 9–13. https://doi.org/10.1016/j.procir.2014.03.115</w:t>
      </w:r>
    </w:p>
    <w:p>
      <w:pPr>
        <w:spacing w:after="0"/>
      </w:pPr>
    </w:p>
    <w:p>
      <w:pPr>
        <w:spacing w:after="240" w:line="480" w:lineRule="auto"/>
        <w:ind w:left="720" w:hanging="720"/>
      </w:pPr>
      <w:r>
        <w:rPr>
          <w:rFonts w:ascii="Times New Roman" w:hAnsi="Times New Roman"/>
          <w:sz w:val="24"/>
        </w:rPr>
        <w:t xml:space="preserve">20. Schuh, G., Anderl, R., Gausemeier, J., ten Hompel, M., &amp; Wahlster, W. (2017). </w:t>
      </w:r>
      <w:r>
        <w:rPr>
          <w:rFonts w:ascii="Times New Roman" w:hAnsi="Times New Roman"/>
          <w:i/>
          <w:sz w:val="24"/>
        </w:rPr>
        <w:t xml:space="preserve">Industrie 4.0 maturity index: Managing the digital transformation of companies</w:t>
      </w:r>
      <w:r>
        <w:rPr>
          <w:rFonts w:ascii="Times New Roman" w:hAnsi="Times New Roman"/>
          <w:sz w:val="24"/>
        </w:rPr>
        <w:t xml:space="preserve">. Herbert Utz Verlag. https://en.acatech.de/publication/industrie-4-0-maturity-index-managing-the-digital-transformation-of-companies/</w:t>
      </w:r>
    </w:p>
    <w:p>
      <w:pPr>
        <w:spacing w:after="0"/>
      </w:pPr>
    </w:p>
    <w:p>
      <w:pPr>
        <w:spacing w:after="240" w:line="480" w:lineRule="auto"/>
        <w:ind w:left="720" w:hanging="720"/>
      </w:pPr>
      <w:r>
        <w:rPr>
          <w:rFonts w:ascii="Times New Roman" w:hAnsi="Times New Roman"/>
          <w:sz w:val="24"/>
        </w:rPr>
        <w:t xml:space="preserve">21. Kusiak, A. (2018). Smart manufacturing. </w:t>
      </w:r>
      <w:r>
        <w:rPr>
          <w:rFonts w:ascii="Times New Roman" w:hAnsi="Times New Roman"/>
          <w:i/>
          <w:sz w:val="24"/>
        </w:rPr>
        <w:t xml:space="preserve">International Journal of Production Research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 xml:space="preserve">56</w:t>
      </w:r>
      <w:r>
        <w:rPr>
          <w:rFonts w:ascii="Times New Roman" w:hAnsi="Times New Roman"/>
          <w:sz w:val="24"/>
        </w:rPr>
        <w:t xml:space="preserve">(1–2), 508–517. https://doi.org/10.1080/00207543.2017.1351644</w:t>
      </w:r>
    </w:p>
    <w:p>
      <w:pPr>
        <w:spacing w:after="0"/>
      </w:pPr>
    </w:p>
    <w:p>
      <w:pPr>
        <w:spacing w:after="240" w:line="480" w:lineRule="auto"/>
        <w:ind w:left="720" w:hanging="720"/>
      </w:pPr>
      <w:r>
        <w:rPr>
          <w:rFonts w:ascii="Times New Roman" w:hAnsi="Times New Roman"/>
          <w:sz w:val="24"/>
        </w:rPr>
        <w:t xml:space="preserve">22. Haleem, A., &amp; Javaid, M. (2020). Industry 4.0 applications in medical field: A brief review. </w:t>
      </w:r>
      <w:r>
        <w:rPr>
          <w:rFonts w:ascii="Times New Roman" w:hAnsi="Times New Roman"/>
          <w:i/>
          <w:sz w:val="24"/>
        </w:rPr>
        <w:t xml:space="preserve">Current Medicine Research and Practice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 xml:space="preserve">10</w:t>
      </w:r>
      <w:r>
        <w:rPr>
          <w:rFonts w:ascii="Times New Roman" w:hAnsi="Times New Roman"/>
          <w:sz w:val="24"/>
        </w:rPr>
        <w:t xml:space="preserve">(3), 102–109. https://doi.org/10.1016/j.cmrp.2020.04.023</w:t>
      </w:r>
    </w:p>
    <w:p>
      <w:pPr>
        <w:spacing w:after="0"/>
      </w:pPr>
    </w:p>
    <w:p>
      <w:pPr>
        <w:spacing w:after="240" w:line="480" w:lineRule="auto"/>
        <w:ind w:left="720" w:hanging="720"/>
      </w:pPr>
      <w:r>
        <w:rPr>
          <w:rFonts w:ascii="Times New Roman" w:hAnsi="Times New Roman"/>
          <w:sz w:val="24"/>
        </w:rPr>
        <w:t xml:space="preserve">23. Nakamoto, S., Yatagai, N., Yamazaki, K., &amp; Kato, T. (2021). Artificial intelligence and machine learning in smart manufacturing: A review. </w:t>
      </w:r>
      <w:r>
        <w:rPr>
          <w:rFonts w:ascii="Times New Roman" w:hAnsi="Times New Roman"/>
          <w:i/>
          <w:sz w:val="24"/>
        </w:rPr>
        <w:t xml:space="preserve">Journal of Manufacturing Systems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 xml:space="preserve">60</w:t>
      </w:r>
      <w:r>
        <w:rPr>
          <w:rFonts w:ascii="Times New Roman" w:hAnsi="Times New Roman"/>
          <w:sz w:val="24"/>
        </w:rPr>
        <w:t xml:space="preserve">, 495–512. https://doi.org/10.1016/j.jmsy.2021.07.011</w:t>
      </w:r>
    </w:p>
    <w:p>
      <w:pPr>
        <w:spacing w:after="0"/>
      </w:pPr>
    </w:p>
    <w:p>
      <w:pPr>
        <w:spacing w:after="240" w:line="480" w:lineRule="auto"/>
        <w:ind w:left="720" w:hanging="720"/>
      </w:pPr>
      <w:r>
        <w:rPr>
          <w:rFonts w:ascii="Times New Roman" w:hAnsi="Times New Roman"/>
          <w:sz w:val="24"/>
        </w:rPr>
        <w:t xml:space="preserve">24. Panetta, K. (2020). Blockchain for healthcare and medical device traceability. </w:t>
      </w:r>
      <w:r>
        <w:rPr>
          <w:rFonts w:ascii="Times New Roman" w:hAnsi="Times New Roman"/>
          <w:i/>
          <w:sz w:val="24"/>
        </w:rPr>
        <w:t xml:space="preserve">IEEE Consumer Electronics Magazine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 xml:space="preserve">9</w:t>
      </w:r>
      <w:r>
        <w:rPr>
          <w:rFonts w:ascii="Times New Roman" w:hAnsi="Times New Roman"/>
          <w:sz w:val="24"/>
        </w:rPr>
        <w:t xml:space="preserve">(2), 44–51. https://doi.org/10.1109/MCE.2019.2956199</w:t>
      </w:r>
    </w:p>
    <w:p>
      <w:pPr>
        <w:spacing w:after="0"/>
      </w:pPr>
    </w:p>
    <w:p>
      <w:pPr>
        <w:spacing w:after="240" w:line="480" w:lineRule="auto"/>
        <w:ind w:left="720" w:hanging="720"/>
      </w:pPr>
      <w:r>
        <w:rPr>
          <w:rFonts w:ascii="Times New Roman" w:hAnsi="Times New Roman"/>
          <w:sz w:val="24"/>
        </w:rPr>
        <w:t xml:space="preserve">25. Javaid, A., Haleem, A., Singh, R. P., &amp; Suman, R. (2021). Artificial intelligence applications for Industry 4.0 in healthcare and manufacturing: A review. </w:t>
      </w:r>
      <w:r>
        <w:rPr>
          <w:rFonts w:ascii="Times New Roman" w:hAnsi="Times New Roman"/>
          <w:i/>
          <w:sz w:val="24"/>
        </w:rPr>
        <w:t xml:space="preserve">Journal of Industrial Information Integration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 xml:space="preserve">21</w:t>
      </w:r>
      <w:r>
        <w:rPr>
          <w:rFonts w:ascii="Times New Roman" w:hAnsi="Times New Roman"/>
          <w:sz w:val="24"/>
        </w:rPr>
        <w:t xml:space="preserve">, Article 100213. https://doi.org/10.1016/j.jii.2021.100213</w:t>
      </w:r>
    </w:p>
    <w:p>
      <w:pPr>
        <w:spacing w:after="0"/>
      </w:pP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/>
      <w:sz w:val="24"/>
    </w:rPr>
    <w:pPr>
      <w:spacing w:after="240" w:line="480" w:lineRule="auto"/>
    </w:pPr>
  </w:style>
  <w:style w:type="paragraph" w:styleId="Heading1">
    <w:name w:val="heading 1"/>
    <w:basedOn w:val="Normal"/>
    <w:pPr>
      <w:spacing w:before="480" w:after="240"/>
      <w:jc w:val="center"/>
    </w:pPr>
    <w:rPr>
      <w:rFonts w:ascii="Times New Roman" w:hAnsi="Times New Roman"/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