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rPr>
        <w:t xml:space="preserve">Accreditation as Accountability, Learning, and Institutional Renewal</w:t>
      </w:r>
    </w:p>
    <w:p>
      <w:pPr>
        <w:pStyle w:val="Heading1"/>
      </w:pPr>
      <w:r>
        <w:rPr>
          <w:b/>
        </w:rPr>
        <w:t xml:space="preserve">Author Information</w:t>
      </w:r>
    </w:p>
    <w:p>
      <w:pPr>
        <w:pStyle w:val="Normal"/>
      </w:pPr>
      <w:r>
        <w:rPr>
          <w:b/>
        </w:rPr>
        <w:t xml:space="preserve">[Author Name]</w:t>
      </w:r>
    </w:p>
    <w:p>
      <w:pPr>
        <w:pStyle w:val="Normal"/>
      </w:pPr>
      <w:r>
        <w:t xml:space="preserve">ORCID: [0000-0000-0000-0000]</w:t>
      </w:r>
    </w:p>
    <w:p>
      <w:pPr>
        <w:pStyle w:val="Normal"/>
      </w:pPr>
      <w:r>
        <w:t xml:space="preserve">Affiliation: [Department, Institution, City, Country]</w:t>
      </w:r>
    </w:p>
    <w:p>
      <w:pPr>
        <w:pStyle w:val="Normal"/>
      </w:pPr>
      <w:r>
        <w:t xml:space="preserve">Email: [author.email@institution.edu]</w:t>
      </w:r>
    </w:p>
    <w:p>
      <w:pPr>
        <w:pStyle w:val="Normal"/>
      </w:pPr>
      <w:r>
        <w:rPr>
          <w:b/>
        </w:rPr>
        <w:t xml:space="preserve">Bio:</w:t>
      </w:r>
      <w:r>
        <w:t xml:space="preserve"> [Author Name] is a [title/position] at [Institution]. With over [X] years of experience in higher education policy and accreditation, [he/she/they] has published extensively on quality assurance, institutional effectiveness, and organizational learning in post-secondary education. [His/Her/Their] research focuses on the intersection of accountability frameworks and institutional transformation in a globalized higher education landscape. [He/She/They] has served on multiple accreditation review teams and advisory boards.</w:t>
      </w:r>
    </w:p>
    <w:p>
      <w:pPr>
        <w:pStyle w:val="Normal"/>
      </w:pPr>
      <w:r>
        <w:t xml:space="preserve"/>
      </w:r>
    </w:p>
    <w:p>
      <w:pPr>
        <w:pStyle w:val="Heading1"/>
      </w:pPr>
      <w:r>
        <w:rPr>
          <w:b/>
        </w:rPr>
        <w:t xml:space="preserve">Abstract</w:t>
      </w:r>
    </w:p>
    <w:p>
      <w:pPr>
        <w:pStyle w:val="Normal"/>
      </w:pPr>
      <w:r>
        <w:t xml:space="preserve">This paper reconceptualizes accreditation in contemporary higher education by arguing that its transformative capacity emerges from the synergistic interaction among three interdependent dimensions: accountability, learning, and institutional renewal. Against a backdrop of intensifying public skepticism, rising costs, demographic volatility, and technological disruption, accreditation has evolved from a collegial exercise in mutual recognition into a consequential mechanism through which institutions demonstrate legitimacy, build organizational intelligence, and cultivate adaptive capacity. Moving beyond the reductive framing of accreditation as regulatory compliance, this paper synthesizes insights from organizational learning theory, neo-institutional sociology, and total quality management to articulate a holistic model in which the accreditation cycle serves as higher education's most underutilized instrument for strategic transformation. The analysis proceeds through three interconnected sections: the accountability imperative that grounds institutional credibility in demonstrable evidence of quality; the learning architecture that repositions self-study and peer review as engines of organizational intelligence; and the renewal function that converts institutional self-knowledge into strategic foresight, structural agility, and cultural metamorphosis. The paper concludes by proposing an integrated framework—the Accountability-Learning-Renewal (ALR) model—and argues that institutions capable of operationalizing this cyclical vision will transform accreditation from an episodic bureaucratic obligation into a permanent infrastructure for institutional excellence in the boundaryless landscape of twenty-first-century higher education.</w:t>
      </w:r>
    </w:p>
    <w:p>
      <w:pPr>
        <w:pStyle w:val="Normal"/>
      </w:pPr>
      <w:r>
        <w:rPr>
          <w:b/>
        </w:rPr>
        <w:t xml:space="preserve">Keywords: accreditation, accountability, institutional learning, quality assurance, continuous improvement, higher education, organizational renewal, self-study, peer review, strategic transformation</w:t>
      </w:r>
    </w:p>
    <w:p>
      <w:pPr>
        <w:pStyle w:val="Normal"/>
      </w:pPr>
      <w:r>
        <w:t xml:space="preserve"/>
      </w:r>
    </w:p>
    <w:p>
      <w:pPr>
        <w:pStyle w:val="Heading1"/>
      </w:pPr>
      <w:r>
        <w:rPr>
          <w:b/>
        </w:rPr>
        <w:t xml:space="preserve">1. Introduction</w:t>
      </w:r>
    </w:p>
    <w:p>
      <w:pPr>
        <w:pStyle w:val="Normal"/>
      </w:pPr>
      <w:r>
        <w:t xml:space="preserve">Higher education stands at an inflection point. The structures, assumptions, and social contracts that sustained universities throughout the twentieth century are being simultaneously challenged by demographic contraction, technological acceleration, political polarization, and a fundamental renegotiation of the relationship between educational institutions and the publics they serve [1, 4]. In this volatile environment, the question of how institutions credibly demonstrate their quality, relevance, and capacity for adaptation has become not merely an administrative concern but an existential imperative. The exponential growth of tuition costs has converted higher education from a broadly accessible public good into what many families experience as a high-stakes financial investment demanding quantifiable returns [3, 14]. Simultaneously, the proliferation of post-secondary providers—including for-profit institutions, online platforms, and international competitors—has created a marketplace in which traditional signals of quality are no longer sufficient differentiators [13]. High-profile institutional failures and predatory practices have further eroded public confidence in the capacity of higher education to regulate itself [12].</w:t>
      </w:r>
    </w:p>
    <w:p>
      <w:pPr>
        <w:pStyle w:val="Normal"/>
      </w:pPr>
      <w:r>
        <w:t xml:space="preserve">Accreditation occupies a unique position within this landscape. It is simultaneously the oldest form of quality assurance in American higher education—rooted in nineteenth-century traditions of collegial self-governance—and one of the most contested mechanisms in contemporary educational policy [2]. Its dual identity as both a professional peer-review process and a governmental gatekeeping function creates productive tensions that, when navigated skillfully, generate powerful opportunities for institutional growth [1, 10]. Yet too often, accreditation is experienced by institutional actors as neither collegial nor empowering but rather as a burdensome compliance ritual whose primary purpose is defensive documentation rather than genuine improvement [22, 24]. In the United States, institutional accreditation by a federally recognized agency serves as the gateway to Title IV financial aid—a mechanism channeling over $150 billion annually to students and, through them, to institutions [15]. Internationally, the Bologna Process in Europe, the establishment of national quality assurance agencies across Asia and Africa, and the growth of cross-border quality assurance networks reflect a global convergence toward more systematic accountability mechanisms [16].</w:t>
      </w:r>
    </w:p>
    <w:p>
      <w:pPr>
        <w:pStyle w:val="Normal"/>
      </w:pPr>
      <w:r>
        <w:t xml:space="preserve">This paper advances a fundamentally different proposition: that accreditation, when approached with strategic intentionality and intellectual seriousness, constitutes a uniquely powerful framework for institutional transformation [9, 11]. This proposition rests on the recognition that accreditation simultaneously operates across three distinct but interconnected dimensions. The first dimension—accountability—establishes the non-negotiable foundation of demonstrated quality, ensuring that institutions meet their obligations to students, employers, governments, and society (Figure 1 maps this multi-stakeholder architecture). The second dimension—learning—transforms the mechanics of self-study, data analysis, and peer review into a systematic architecture for building organizational intelligence [5, 25]. The third dimension—renewal—translates institutional self-knowledge into strategic action, structural adaptation, and cultural evolution that position the institution for sustained excellence in a rapidly changing world [9, 47].</w:t>
      </w:r>
    </w:p>
    <w:p>
      <w:pPr>
        <w:pStyle w:val="Normal"/>
      </w:pPr>
      <w:r>
        <w:t xml:space="preserve">These dimensions do not operate sequentially but cyclically and simultaneously. Accountability generates the data and external pressure that catalyze learning; learning produces the insights and self-knowledge that enable strategic renewal; renewal strengthens institutional capacity for deeper accountability and more sophisticated learning. This virtuous cycle—what this paper terms the Accountability-Learning-Renewal (ALR) model (see Figure 3)—represents accreditation's fullest realization: not as a periodic event to be survived but as a permanent infrastructure for institutional excellence.</w:t>
      </w:r>
    </w:p>
    <w:p>
      <w:pPr>
        <w:pStyle w:val="Normal"/>
      </w:pPr>
      <w:r>
        <w:t xml:space="preserve">The theoretical architecture supporting this argument draws on three complementary intellectual traditions. From organizational learning theory [5, 6], the paper adopts the concepts of single-loop and double-loop learning, learning spaces, and the disciplines of the learning organization. From neo-institutional theory [7], it incorporates insights about isomorphic pressures, legitimacy dynamics, and the relationship between institutional environments and organizational behavior. From total quality management [8, 48], it draws on principles of continuous improvement, systems thinking, and the transformation from inspection-based to prevention-based quality cultures. The significance of this argument extends beyond procedural mechanics to address fundamental questions about quality assurance in post-secondary education: as institutions face existential challenges—demographic shifts threatening enrollment stability, technological disruptions challenging traditional pedagogical models, and legitimacy crises eroding public support—the capacity to learn and adapt becomes essential for institutional survival [9, 34].</w:t>
      </w:r>
    </w:p>
    <w:p>
      <w:pPr>
        <w:pStyle w:val="Normal"/>
      </w:pPr>
      <w:r>
        <w:t xml:space="preserve">The paper proceeds as follows. Section 2 examines the accountability dimension, analyzing how the convergence of stakeholder demands has transformed accreditation into a high-stakes mechanism for demonstrating institutional value while identifying the pathologies that emerge from reductive compliance approaches (Table 1 provides a comprehensive mapping of this stakeholder ecology). Section 3 repositions accreditation as a framework for organizational learning, demonstrating how the self-study process, evidence-based inquiry, and peer review create unique conditions for institutional self-discovery [25, 33]. Section 4 explores the renewal dimension, showing how accreditation can catalyze strategic transformation, institutional agility, and the development of a permanent culture of continuous quality improvement [47, 50]. Section 5 synthesizes these dimensions into the integrated ALR model and offers actionable recommendations for institutional leaders, faculty, and accrediting bodies seeking to realize accreditation's full transformative potential.</w:t>
      </w:r>
    </w:p>
    <w:p>
      <w:pPr>
        <w:pStyle w:val="Normal"/>
      </w:pPr>
      <w:r>
        <w:t xml:space="preserve"/>
      </w:r>
    </w:p>
    <w:p>
      <w:pPr>
        <w:pStyle w:val="Heading1"/>
      </w:pPr>
      <w:r>
        <w:rPr>
          <w:b/>
        </w:rPr>
        <w:t xml:space="preserve">2. The Architecture of Accountability: Demonstrating Institutional Value in an Era of Radical Transparency</w:t>
      </w:r>
    </w:p>
    <w:p>
      <w:pPr>
        <w:pStyle w:val="Heading2"/>
      </w:pPr>
      <w:r>
        <w:rPr>
          <w:b/>
        </w:rPr>
        <w:t xml:space="preserve">2.1 The Dissolution of Presumptive Trust</w:t>
      </w:r>
    </w:p>
    <w:p>
      <w:pPr>
        <w:pStyle w:val="Normal"/>
      </w:pPr>
      <w:r>
        <w:t xml:space="preserve">The social compact between higher education and the public has undergone a structural transformation that fundamentally alters the context within which accreditation operates. Throughout much of the twentieth century, higher education institutions functioned within what Trow [10] characterized as a regime of "presumptive trust"—a social arrangement in which society extended substantial autonomy to universities in exchange for the broadly understood public goods of knowledge production, human capital development, and cultural stewardship. Within this regime, accreditation served primarily as a mechanism of collegial recognition: institutions affirmed one another's basic legitimacy through periodic peer review, and the process remained largely invisible to external stakeholders.</w:t>
      </w:r>
    </w:p>
    <w:p>
      <w:pPr>
        <w:pStyle w:val="Normal"/>
      </w:pPr>
      <w:r>
        <w:t xml:space="preserve">This regime has collapsed under the weight of multiple converging pressures. The most visible is economic: the cost of higher education has outpaced inflation for four consecutive decades, transforming what was once a broadly accessible public service into what many families now experience as a high-risk financial decision requiring careful calculation of expected returns [4, 14]. When a bachelor's degree carries a six-figure price tag—funded increasingly through student debt rather than public subsidy—the tolerance for ambiguity about institutional quality evaporates. Students and families demand not vague assurances of educational value but concrete, verifiable evidence that their investment will yield meaningful outcomes.</w:t>
      </w:r>
    </w:p>
    <w:p>
      <w:pPr>
        <w:pStyle w:val="Normal"/>
      </w:pPr>
      <w:r>
        <w:t xml:space="preserve">The proliferation of post-secondary providers has intensified this demand. The higher education marketplace now includes traditional residential universities, community colleges, for-profit chains, online-only institutions, coding bootcamps, corporate universities, and international competitors—all claiming to offer pathways to knowledge and employment [13]. In this crowded and confusing landscape, prospective students require reliable signals of quality that cut through marketing rhetoric. Accreditation has become the primary mechanism for providing this signal, but only insofar as the public trusts that accreditation status represents genuine quality rather than mere institutional longevity or political connection.</w:t>
      </w:r>
    </w:p>
    <w:p>
      <w:pPr>
        <w:pStyle w:val="Normal"/>
      </w:pPr>
      <w:r>
        <w:t xml:space="preserve">High-profile institutional failures have further eroded the foundation of presumptive trust. The collapse of large for-profit chains that held regional accreditation while engaging in predatory recruitment, the sudden closure of accredited institutions that left students stranded mid-degree, and investigative reporting revealing accredited programs with graduation rates in single digits have collectively undermined public confidence in accreditation's protective function [12]. These failures have generated political pressure for more rigorous, transparent, and consequential accountability mechanisms—pressure that accrediting bodies cannot afford to ignore.</w:t>
      </w:r>
    </w:p>
    <w:p>
      <w:pPr>
        <w:pStyle w:val="Normal"/>
      </w:pPr>
      <w:r>
        <w:t xml:space="preserve">The result is what this paper terms the "regime of demonstrable proof" [11]: a new social arrangement in which institutional quality must be continuously evidenced rather than presumed, in which accountability is a permanent condition rather than a periodic exercise, and in which the burden of proof rests squarely on institutions rather than on those who question their value (see Figure 1). This regime fundamentally transforms the context, stakes, and purposes of accreditation—demanding that the process evolve from a private conversation among peers into a public instrument of verified quality.</w:t>
      </w:r>
    </w:p>
    <w:p>
      <w:pPr>
        <w:pStyle w:val="Heading2"/>
      </w:pPr>
      <w:r>
        <w:rPr>
          <w:b/>
        </w:rPr>
        <w:t xml:space="preserve">2.2 The Convergence of Stakeholder Demands</w:t>
      </w:r>
    </w:p>
    <w:p>
      <w:pPr>
        <w:pStyle w:val="Normal"/>
      </w:pPr>
      <w:r>
        <w:t xml:space="preserve">The regime of demonstrable proof is sustained by the convergence of expectations from multiple stakeholder groups, each bringing distinct but overlapping demands to the accreditation process. Understanding this stakeholder ecology is essential for institutions seeking to respond strategically rather than reactively to accountability pressures.</w:t>
      </w:r>
    </w:p>
    <w:p>
      <w:pPr>
        <w:pStyle w:val="Normal"/>
      </w:pPr>
      <w:r>
        <w:rPr>
          <w:b/>
        </w:rPr>
        <w:t xml:space="preserve">Students and families</w:t>
      </w:r>
      <w:r>
        <w:t xml:space="preserve"> approach accreditation primarily through the lens of investment protection and credential portability. For prospective students, accreditation status provides a threshold assurance that credits will transfer, degrees will be recognized by employers, and the educational experience will meet baseline standards of rigor [13]. The increasing sophistication of consumer information tools—institutional scorecards, outcomes databases, and comparison platforms—means that students can now evaluate accredited institutions against one another using metrics that were previously unavailable or inaccessible. This transparency intensifies competitive pressure and raises the baseline of what accreditation must guarantee.</w:t>
      </w:r>
    </w:p>
    <w:p>
      <w:pPr>
        <w:pStyle w:val="Normal"/>
      </w:pPr>
      <w:r>
        <w:rPr>
          <w:b/>
        </w:rPr>
        <w:t xml:space="preserve">Employers</w:t>
      </w:r>
      <w:r>
        <w:t xml:space="preserve"> rely on accreditation as a risk-reduction mechanism in hiring decisions. In fields with professional licensure requirements—medicine, nursing, engineering, accounting, law, education—graduation from an accredited program is a legal prerequisite for practice. But even in fields without formal licensure, employers use accreditation status as a heuristic for graduate quality, trusting that accredited institutions have maintained standards of curriculum rigor, faculty qualification, and learning outcomes assessment [14]. As competency-based hiring gains traction and employers develop more direct methods of assessing candidate capabilities, the relationship between accreditation and employer confidence will face new pressures to demonstrate that accredited programs produce demonstrably competent graduates rather than merely credentialed ones.</w:t>
      </w:r>
    </w:p>
    <w:p>
      <w:pPr>
        <w:pStyle w:val="Normal"/>
      </w:pPr>
      <w:r>
        <w:rPr>
          <w:b/>
        </w:rPr>
        <w:t xml:space="preserve">Governments</w:t>
      </w:r>
      <w:r>
        <w:t xml:space="preserve"> maintain perhaps the most consequential relationship with accreditation. In the United States, institutional accreditation by a federally recognized agency serves as the gateway to Title IV financial aid—a mechanism channeling over $150 billion annually to students and, through them, to institutions [15]. This linkage transforms voluntary professional accreditation into an effective governmental requirement and gives federal policymakers enormous leverage over accreditation standards and processes. State governments have added additional layers of accountability through performance-based funding models that tie appropriations to metrics such as graduation rates, time-to-degree, and post-graduation employment—metrics that overlap with but are not identical to accreditation criteria. Internationally, the establishment of national quality assurance agencies, the Bologna Process in Europe, and the growth of cross-border recognition frameworks reflect a global convergence toward systematic higher education accountability [16].</w:t>
      </w:r>
    </w:p>
    <w:p>
      <w:pPr>
        <w:pStyle w:val="Normal"/>
      </w:pPr>
      <w:r>
        <w:rPr>
          <w:b/>
        </w:rPr>
        <w:t xml:space="preserve">Faculty and professional staff</w:t>
      </w:r>
      <w:r>
        <w:t xml:space="preserve"> represent an internal stakeholder group whose relationship to accountability is complex and often ambivalent. Faculty generally support the principle of quality assurance while resisting accountability mechanisms they perceive as threatening academic freedom, reducing professional autonomy, or imposing inappropriate metrics on scholarly work [34]. Effective accreditation processes must navigate this tension, engaging faculty as genuine partners in quality assurance rather than subjects of surveillance.</w:t>
      </w:r>
    </w:p>
    <w:p>
      <w:pPr>
        <w:pStyle w:val="Normal"/>
      </w:pPr>
      <w:r>
        <w:rPr>
          <w:b/>
        </w:rPr>
        <w:t xml:space="preserve">Society broadly maintains an interest in institutional integrity, equitable access, research productivity, and community engagement—interests that extend beyond the immediate concerns of enrolled students or hiring employers. Accreditation's responsiveness to these broader social interests varies across accrediting bodies and has become a subject of increasing policy debate as questions of equity, inclusion, and democratic citizenship gain prominence in public discourse about higher education's purposes. As Table 1 details, each stakeholder group brings distinctive expectations, and accreditation must respond through differentiated mechanisms and metrics while maintaining systemic coherence.</w:t>
      </w:r>
    </w:p>
    <w:p>
      <w:pPr>
        <w:pStyle w:val="Normal"/>
      </w:pPr>
      <w:r>
        <w:rPr>
          <w:b/>
        </w:rPr>
        <w:t xml:space="preserve">Table 1. Stakeholder Accountability Ecosystem: Demands, Mechanisms, and Metrics</w:t>
      </w:r>
    </w:p>
    <w:tbl>
      <w:tblPr>
        <w:tblStyle w:val="TableGrid"/>
        <w:tblW w:w="5000" w:type="pct"/>
        <w:tblLook w:val="04A0"/>
      </w:tblPr>
      <w:tr>
        <w:trPr>
          <w:tblHeader/>
        </w:trPr>
        <w:tc>
          <w:tcPr>
            <w:tcW w:w="0" w:type="auto"/>
          </w:tcPr>
          <w:p>
            <w:pPr>
              <w:spacing w:after="60"/>
            </w:pPr>
            <w:r>
              <w:rPr>
                <w:b/>
                <w:sz w:val="18"/>
              </w:rPr>
              <w:t xml:space="preserve">Stakeholder Group</w:t>
            </w:r>
          </w:p>
        </w:tc>
        <w:tc>
          <w:tcPr>
            <w:tcW w:w="0" w:type="auto"/>
          </w:tcPr>
          <w:p>
            <w:pPr>
              <w:spacing w:after="60"/>
            </w:pPr>
            <w:r>
              <w:rPr>
                <w:b/>
                <w:sz w:val="18"/>
              </w:rPr>
              <w:t xml:space="preserve">Primary Accountability Demand</w:t>
            </w:r>
          </w:p>
        </w:tc>
        <w:tc>
          <w:tcPr>
            <w:tcW w:w="0" w:type="auto"/>
          </w:tcPr>
          <w:p>
            <w:pPr>
              <w:spacing w:after="60"/>
            </w:pPr>
            <w:r>
              <w:rPr>
                <w:b/>
                <w:sz w:val="18"/>
              </w:rPr>
              <w:t xml:space="preserve">Accreditation Mechanism</w:t>
            </w:r>
          </w:p>
        </w:tc>
        <w:tc>
          <w:tcPr>
            <w:tcW w:w="0" w:type="auto"/>
          </w:tcPr>
          <w:p>
            <w:pPr>
              <w:spacing w:after="60"/>
            </w:pPr>
            <w:r>
              <w:rPr>
                <w:b/>
                <w:sz w:val="18"/>
              </w:rPr>
              <w:t xml:space="preserve">Key Performance Indicators</w:t>
            </w:r>
          </w:p>
        </w:tc>
        <w:tc>
          <w:tcPr>
            <w:tcW w:w="0" w:type="auto"/>
          </w:tcPr>
          <w:p>
            <w:pPr>
              <w:spacing w:after="60"/>
            </w:pPr>
            <w:r>
              <w:rPr>
                <w:b/>
                <w:sz w:val="18"/>
              </w:rPr>
              <w:t xml:space="preserve">Risk of Non-Compliance</w:t>
            </w:r>
          </w:p>
        </w:tc>
      </w:tr>
      <w:tr>
        <w:tc>
          <w:tcPr>
            <w:tcW w:w="0" w:type="auto"/>
          </w:tcPr>
          <w:p>
            <w:pPr>
              <w:spacing w:after="60"/>
            </w:pPr>
            <w:r>
              <w:rPr>
                <w:sz w:val="18"/>
              </w:rPr>
              <w:t xml:space="preserve">Students/Families</w:t>
            </w:r>
          </w:p>
        </w:tc>
        <w:tc>
          <w:tcPr>
            <w:tcW w:w="0" w:type="auto"/>
          </w:tcPr>
          <w:p>
            <w:pPr>
              <w:spacing w:after="60"/>
            </w:pPr>
            <w:r>
              <w:rPr>
                <w:sz w:val="18"/>
              </w:rPr>
              <w:t xml:space="preserve">Return on investment; credential recognition</w:t>
            </w:r>
          </w:p>
        </w:tc>
        <w:tc>
          <w:tcPr>
            <w:tcW w:w="0" w:type="auto"/>
          </w:tcPr>
          <w:p>
            <w:pPr>
              <w:spacing w:after="60"/>
            </w:pPr>
            <w:r>
              <w:rPr>
                <w:sz w:val="18"/>
              </w:rPr>
              <w:t xml:space="preserve">Quality benchmarking; transfer articulation standards</w:t>
            </w:r>
          </w:p>
        </w:tc>
        <w:tc>
          <w:tcPr>
            <w:tcW w:w="0" w:type="auto"/>
          </w:tcPr>
          <w:p>
            <w:pPr>
              <w:spacing w:after="60"/>
            </w:pPr>
            <w:r>
              <w:rPr>
                <w:sz w:val="18"/>
              </w:rPr>
              <w:t xml:space="preserve">Graduation rates; employment rates; debt-to-income ratios</w:t>
            </w:r>
          </w:p>
        </w:tc>
        <w:tc>
          <w:tcPr>
            <w:tcW w:w="0" w:type="auto"/>
          </w:tcPr>
          <w:p>
            <w:pPr>
              <w:spacing w:after="60"/>
            </w:pPr>
            <w:r>
              <w:rPr>
                <w:sz w:val="18"/>
              </w:rPr>
              <w:t xml:space="preserve">Enrollment decline; reputational damage</w:t>
            </w:r>
          </w:p>
        </w:tc>
      </w:tr>
      <w:tr>
        <w:tc>
          <w:tcPr>
            <w:tcW w:w="0" w:type="auto"/>
          </w:tcPr>
          <w:p>
            <w:pPr>
              <w:spacing w:after="60"/>
            </w:pPr>
            <w:r>
              <w:rPr>
                <w:sz w:val="18"/>
              </w:rPr>
              <w:t xml:space="preserve">Employers</w:t>
            </w:r>
          </w:p>
        </w:tc>
        <w:tc>
          <w:tcPr>
            <w:tcW w:w="0" w:type="auto"/>
          </w:tcPr>
          <w:p>
            <w:pPr>
              <w:spacing w:after="60"/>
            </w:pPr>
            <w:r>
              <w:rPr>
                <w:sz w:val="18"/>
              </w:rPr>
              <w:t xml:space="preserve">Graduate competency and readiness</w:t>
            </w:r>
          </w:p>
        </w:tc>
        <w:tc>
          <w:tcPr>
            <w:tcW w:w="0" w:type="auto"/>
          </w:tcPr>
          <w:p>
            <w:pPr>
              <w:spacing w:after="60"/>
            </w:pPr>
            <w:r>
              <w:rPr>
                <w:sz w:val="18"/>
              </w:rPr>
              <w:t xml:space="preserve">Program-level outcomes assessment; professional standards alignment</w:t>
            </w:r>
          </w:p>
        </w:tc>
        <w:tc>
          <w:tcPr>
            <w:tcW w:w="0" w:type="auto"/>
          </w:tcPr>
          <w:p>
            <w:pPr>
              <w:spacing w:after="60"/>
            </w:pPr>
            <w:r>
              <w:rPr>
                <w:sz w:val="18"/>
              </w:rPr>
              <w:t xml:space="preserve">Licensure/certification pass rates; employer satisfaction surveys</w:t>
            </w:r>
          </w:p>
        </w:tc>
        <w:tc>
          <w:tcPr>
            <w:tcW w:w="0" w:type="auto"/>
          </w:tcPr>
          <w:p>
            <w:pPr>
              <w:spacing w:after="60"/>
            </w:pPr>
            <w:r>
              <w:rPr>
                <w:sz w:val="18"/>
              </w:rPr>
              <w:t xml:space="preserve">Workforce pipeline disruption; credential devaluation</w:t>
            </w:r>
          </w:p>
        </w:tc>
      </w:tr>
      <w:tr>
        <w:tc>
          <w:tcPr>
            <w:tcW w:w="0" w:type="auto"/>
          </w:tcPr>
          <w:p>
            <w:pPr>
              <w:spacing w:after="60"/>
            </w:pPr>
            <w:r>
              <w:rPr>
                <w:sz w:val="18"/>
              </w:rPr>
              <w:t xml:space="preserve">Federal Government</w:t>
            </w:r>
          </w:p>
        </w:tc>
        <w:tc>
          <w:tcPr>
            <w:tcW w:w="0" w:type="auto"/>
          </w:tcPr>
          <w:p>
            <w:pPr>
              <w:spacing w:after="60"/>
            </w:pPr>
            <w:r>
              <w:rPr>
                <w:sz w:val="18"/>
              </w:rPr>
              <w:t xml:space="preserve">Responsible stewardship of public funds</w:t>
            </w:r>
          </w:p>
        </w:tc>
        <w:tc>
          <w:tcPr>
            <w:tcW w:w="0" w:type="auto"/>
          </w:tcPr>
          <w:p>
            <w:pPr>
              <w:spacing w:after="60"/>
            </w:pPr>
            <w:r>
              <w:rPr>
                <w:sz w:val="18"/>
              </w:rPr>
              <w:t xml:space="preserve">Financial viability review; compliance monitoring; outcomes thresholds</w:t>
            </w:r>
          </w:p>
        </w:tc>
        <w:tc>
          <w:tcPr>
            <w:tcW w:w="0" w:type="auto"/>
          </w:tcPr>
          <w:p>
            <w:pPr>
              <w:spacing w:after="60"/>
            </w:pPr>
            <w:r>
              <w:rPr>
                <w:sz w:val="18"/>
              </w:rPr>
              <w:t xml:space="preserve">Student loan default rates; completion rates; gainful employment metrics</w:t>
            </w:r>
          </w:p>
        </w:tc>
        <w:tc>
          <w:tcPr>
            <w:tcW w:w="0" w:type="auto"/>
          </w:tcPr>
          <w:p>
            <w:pPr>
              <w:spacing w:after="60"/>
            </w:pPr>
            <w:r>
              <w:rPr>
                <w:sz w:val="18"/>
              </w:rPr>
              <w:t xml:space="preserve">Loss of Title IV eligibility; institutional closure</w:t>
            </w:r>
          </w:p>
        </w:tc>
      </w:tr>
      <w:tr>
        <w:tc>
          <w:tcPr>
            <w:tcW w:w="0" w:type="auto"/>
          </w:tcPr>
          <w:p>
            <w:pPr>
              <w:spacing w:after="60"/>
            </w:pPr>
            <w:r>
              <w:rPr>
                <w:sz w:val="18"/>
              </w:rPr>
              <w:t xml:space="preserve">State Government</w:t>
            </w:r>
          </w:p>
        </w:tc>
        <w:tc>
          <w:tcPr>
            <w:tcW w:w="0" w:type="auto"/>
          </w:tcPr>
          <w:p>
            <w:pPr>
              <w:spacing w:after="60"/>
            </w:pPr>
            <w:r>
              <w:rPr>
                <w:sz w:val="18"/>
              </w:rPr>
              <w:t xml:space="preserve">Economic development; workforce alignment</w:t>
            </w:r>
          </w:p>
        </w:tc>
        <w:tc>
          <w:tcPr>
            <w:tcW w:w="0" w:type="auto"/>
          </w:tcPr>
          <w:p>
            <w:pPr>
              <w:spacing w:after="60"/>
            </w:pPr>
            <w:r>
              <w:rPr>
                <w:sz w:val="18"/>
              </w:rPr>
              <w:t xml:space="preserve">Performance-based metrics; program approval processes</w:t>
            </w:r>
          </w:p>
        </w:tc>
        <w:tc>
          <w:tcPr>
            <w:tcW w:w="0" w:type="auto"/>
          </w:tcPr>
          <w:p>
            <w:pPr>
              <w:spacing w:after="60"/>
            </w:pPr>
            <w:r>
              <w:rPr>
                <w:sz w:val="18"/>
              </w:rPr>
              <w:t xml:space="preserve">Regional employment outcomes; degree production in high-need fields</w:t>
            </w:r>
          </w:p>
        </w:tc>
        <w:tc>
          <w:tcPr>
            <w:tcW w:w="0" w:type="auto"/>
          </w:tcPr>
          <w:p>
            <w:pPr>
              <w:spacing w:after="60"/>
            </w:pPr>
            <w:r>
              <w:rPr>
                <w:sz w:val="18"/>
              </w:rPr>
              <w:t xml:space="preserve">Reduced state appropriations; program elimination</w:t>
            </w:r>
          </w:p>
        </w:tc>
      </w:tr>
      <w:tr>
        <w:tc>
          <w:tcPr>
            <w:tcW w:w="0" w:type="auto"/>
          </w:tcPr>
          <w:p>
            <w:pPr>
              <w:spacing w:after="60"/>
            </w:pPr>
            <w:r>
              <w:rPr>
                <w:sz w:val="18"/>
              </w:rPr>
              <w:t xml:space="preserve">Faculty/Staff</w:t>
            </w:r>
          </w:p>
        </w:tc>
        <w:tc>
          <w:tcPr>
            <w:tcW w:w="0" w:type="auto"/>
          </w:tcPr>
          <w:p>
            <w:pPr>
              <w:spacing w:after="60"/>
            </w:pPr>
            <w:r>
              <w:rPr>
                <w:sz w:val="18"/>
              </w:rPr>
              <w:t xml:space="preserve">Professional autonomy; governance integrity; development support</w:t>
            </w:r>
          </w:p>
        </w:tc>
        <w:tc>
          <w:tcPr>
            <w:tcW w:w="0" w:type="auto"/>
          </w:tcPr>
          <w:p>
            <w:pPr>
              <w:spacing w:after="60"/>
            </w:pPr>
            <w:r>
              <w:rPr>
                <w:sz w:val="18"/>
              </w:rPr>
              <w:t xml:space="preserve">Governance standards; faculty qualification requirements; workload policies</w:t>
            </w:r>
          </w:p>
        </w:tc>
        <w:tc>
          <w:tcPr>
            <w:tcW w:w="0" w:type="auto"/>
          </w:tcPr>
          <w:p>
            <w:pPr>
              <w:spacing w:after="60"/>
            </w:pPr>
            <w:r>
              <w:rPr>
                <w:sz w:val="18"/>
              </w:rPr>
              <w:t xml:space="preserve">Faculty retention rates; shared governance indicators; professional development investment</w:t>
            </w:r>
          </w:p>
        </w:tc>
        <w:tc>
          <w:tcPr>
            <w:tcW w:w="0" w:type="auto"/>
          </w:tcPr>
          <w:p>
            <w:pPr>
              <w:spacing w:after="60"/>
            </w:pPr>
            <w:r>
              <w:rPr>
                <w:sz w:val="18"/>
              </w:rPr>
              <w:t xml:space="preserve">Morale erosion; talent flight; accreditation findings</w:t>
            </w:r>
          </w:p>
        </w:tc>
      </w:tr>
      <w:tr>
        <w:tc>
          <w:tcPr>
            <w:tcW w:w="0" w:type="auto"/>
          </w:tcPr>
          <w:p>
            <w:pPr>
              <w:spacing w:after="60"/>
            </w:pPr>
            <w:r>
              <w:rPr>
                <w:sz w:val="18"/>
              </w:rPr>
              <w:t xml:space="preserve">General Public</w:t>
            </w:r>
          </w:p>
        </w:tc>
        <w:tc>
          <w:tcPr>
            <w:tcW w:w="0" w:type="auto"/>
          </w:tcPr>
          <w:p>
            <w:pPr>
              <w:spacing w:after="60"/>
            </w:pPr>
            <w:r>
              <w:rPr>
                <w:sz w:val="18"/>
              </w:rPr>
              <w:t xml:space="preserve">Institutional integrity; equitable access; social contribution</w:t>
            </w:r>
          </w:p>
        </w:tc>
        <w:tc>
          <w:tcPr>
            <w:tcW w:w="0" w:type="auto"/>
          </w:tcPr>
          <w:p>
            <w:pPr>
              <w:spacing w:after="60"/>
            </w:pPr>
            <w:r>
              <w:rPr>
                <w:sz w:val="18"/>
              </w:rPr>
              <w:t xml:space="preserve">Mission fidelity review; equity audits; transparency requirements</w:t>
            </w:r>
          </w:p>
        </w:tc>
        <w:tc>
          <w:tcPr>
            <w:tcW w:w="0" w:type="auto"/>
          </w:tcPr>
          <w:p>
            <w:pPr>
              <w:spacing w:after="60"/>
            </w:pPr>
            <w:r>
              <w:rPr>
                <w:sz w:val="18"/>
              </w:rPr>
              <w:t xml:space="preserve">Demographic parity indices; community engagement measures; research impact</w:t>
            </w:r>
          </w:p>
        </w:tc>
        <w:tc>
          <w:tcPr>
            <w:tcW w:w="0" w:type="auto"/>
          </w:tcPr>
          <w:p>
            <w:pPr>
              <w:spacing w:after="60"/>
            </w:pPr>
            <w:r>
              <w:rPr>
                <w:sz w:val="18"/>
              </w:rPr>
              <w:t xml:space="preserve">Legitimacy crisis; political intervention; charter revocation</w:t>
            </w:r>
          </w:p>
        </w:tc>
      </w:tr>
    </w:tbl>
    <w:p>
      <w:pPr>
        <w:pStyle w:val="Normal"/>
      </w:pPr>
      <w:r>
        <w:t xml:space="preserve"/>
      </w:r>
    </w:p>
    <w:p>
      <w:pPr>
        <w:pStyle w:val="Heading2"/>
      </w:pPr>
      <w:r>
        <w:rPr>
          <w:b/>
        </w:rPr>
        <w:t xml:space="preserve">2.3 The Mechanics and Standards of Compliance</w:t>
      </w:r>
    </w:p>
    <w:p>
      <w:pPr>
        <w:pStyle w:val="Normal"/>
      </w:pPr>
      <w:r>
        <w:t xml:space="preserve">Accreditation standards constitute the codified operationalization of stakeholder expectations—the specific criteria against which institutional quality is measured and verified. While standards vary across accrediting bodies and evolve over time, they generally address a common set of institutional domains that collectively define the infrastructure of educational integrity [18, 21].</w:t>
      </w:r>
    </w:p>
    <w:p>
      <w:pPr>
        <w:pStyle w:val="Normal"/>
      </w:pPr>
      <w:r>
        <w:rPr>
          <w:b/>
        </w:rPr>
        <w:t xml:space="preserve">Institutional mission and governance</w:t>
      </w:r>
      <w:r>
        <w:t xml:space="preserve"> standards require that institutions articulate clear purposes, maintain transparent and effective governance structures, and demonstrate alignment between stated mission and actual operations [23]. These standards serve a dual function: they respect institutional diversity by evaluating each institution against its own mission rather than a singular model of excellence, while simultaneously requiring that governance structures ensure integrity, competence, and responsiveness to stakeholders.</w:t>
      </w:r>
    </w:p>
    <w:p>
      <w:pPr>
        <w:pStyle w:val="Normal"/>
      </w:pPr>
      <w:r>
        <w:rPr>
          <w:b/>
        </w:rPr>
        <w:t xml:space="preserve">Financial sustainability</w:t>
      </w:r>
      <w:r>
        <w:t xml:space="preserve"> standards address fiscal management, revenue diversification, reserve adequacy, and long-term financial planning [18]. The protective function of financial scrutiny has been dramatically underscored by institutional closures that devastated enrolled students—events that demonstrated the human cost of inadequate financial oversight and strengthened public demand for rigorous financial accountability within accreditation [19].</w:t>
      </w:r>
    </w:p>
    <w:p>
      <w:pPr>
        <w:pStyle w:val="Normal"/>
      </w:pPr>
      <w:r>
        <w:rPr>
          <w:b/>
        </w:rPr>
        <w:t xml:space="preserve">Educational effectiveness</w:t>
      </w:r>
      <w:r>
        <w:t xml:space="preserve"> standards require institutions to demonstrate that students achieve intended learning outcomes through coherent curricula delivered by qualified faculty using appropriate pedagogical methods [33]. This domain has undergone the most significant evolution in recent decades, shifting from input-focused measures (library holdings, faculty credentials, student-to-faculty ratios) toward outcomes-focused assessment that demands evidence of what students actually learn and can do as a result of their educational experience.</w:t>
      </w:r>
    </w:p>
    <w:p>
      <w:pPr>
        <w:pStyle w:val="Normal"/>
      </w:pPr>
      <w:r>
        <w:rPr>
          <w:b/>
        </w:rPr>
        <w:t xml:space="preserve">Student support and success</w:t>
      </w:r>
      <w:r>
        <w:t xml:space="preserve"> standards address the full arc of the student experience: recruitment and admissions integrity, academic advising, financial aid administration, student services, career preparation, and support for diverse student populations [20, 27]. These standards increasingly emphasize not merely the availability of support services but their effectiveness in promoting equitable student outcomes across demographic categories.</w:t>
      </w:r>
    </w:p>
    <w:p>
      <w:pPr>
        <w:pStyle w:val="Normal"/>
      </w:pPr>
      <w:r>
        <w:rPr>
          <w:b/>
        </w:rPr>
        <w:t xml:space="preserve">Institutional resources and infrastructure</w:t>
      </w:r>
      <w:r>
        <w:t xml:space="preserve"> standards ensure that institutions maintain adequate physical, technological, and human resources to fulfill their educational mission [18]. In an era of rapid technological change, these standards must balance specificity (ensuring minimum resource adequacy) with flexibility (accommodating diverse institutional models and delivery modalities).</w:t>
      </w:r>
    </w:p>
    <w:p>
      <w:pPr>
        <w:pStyle w:val="Heading2"/>
      </w:pPr>
      <w:r>
        <w:rPr>
          <w:b/>
        </w:rPr>
        <w:t xml:space="preserve">2.4 The Pathologies of Pure Compliance: When Accountability Becomes Counterproductive</w:t>
      </w:r>
    </w:p>
    <w:p>
      <w:pPr>
        <w:pStyle w:val="Normal"/>
      </w:pPr>
      <w:r>
        <w:t xml:space="preserve">An intellectually honest examination of accreditation's accountability dimension must confront the pathologies that emerge when compliance becomes an institutional end rather than a means toward genuine quality. The concept of "audit culture" [22] provides a critical framework for understanding how accountability mechanisms can generate perverse outcomes that undermine the very purposes they purport to serve.</w:t>
      </w:r>
    </w:p>
    <w:p>
      <w:pPr>
        <w:pStyle w:val="Normal"/>
      </w:pPr>
      <w:r>
        <w:rPr>
          <w:b/>
        </w:rPr>
        <w:t xml:space="preserve">Performative compliance represents the most widespread pathology. When institutions experience accreditation primarily as a high-stakes evaluation with potentially catastrophic consequences for failure, the rational institutional response is to optimize for the appearance of compliance rather than its substance [16]. As Figure 1 illustrates, the convergence of multiple stakeholder demands upon the accreditation process creates enormous pressure that can incentivize defensive documentation over genuine engagement. This manifests as the production of elaborate documentation that presents an idealized institutional narrative, the strategic selection of data that supports favorable interpretations, and the mobilization of resources for site-visit preparation that far exceeds ongoing investment in quality improvement. The result is what organizational theorists term "decoupling"—a systematic disconnection between formal structures (policies, procedures, documented processes) and actual organizational practices [7].</w:t>
      </w:r>
    </w:p>
    <w:p>
      <w:pPr>
        <w:pStyle w:val="Normal"/>
      </w:pPr>
      <w:r>
        <w:rPr>
          <w:b/>
        </w:rPr>
        <w:t xml:space="preserve">Isomorphic homogenization</w:t>
      </w:r>
      <w:r>
        <w:t xml:space="preserve"> represents a subtler but equally consequential pathology. When accreditation standards are perceived as reflecting a singular model of institutional quality—typically the research university—institutions with distinctive missions may experience pressure to conform to expectations misaligned with their unique purposes and student populations [7, 23]. This homogenizing tendency threatens the institutional diversity that represents one of higher education's greatest systemic strengths, potentially converting a rich ecosystem of differentiated institutions into a monoculture of standardized conformity.</w:t>
      </w:r>
    </w:p>
    <w:p>
      <w:pPr>
        <w:pStyle w:val="Normal"/>
      </w:pPr>
      <w:r>
        <w:rPr>
          <w:b/>
        </w:rPr>
        <w:t xml:space="preserve">Resource diversion</w:t>
      </w:r>
      <w:r>
        <w:t xml:space="preserve"> constitutes a practical pathology with direct implications for institutional effectiveness. The preparation of comprehensive self-study reports, the management of site visit logistics, and the production of ongoing compliance documentation require substantial investments of institutional time, energy, and financial resources [24]. When these investments are experienced as disconnected from genuine improvement activities—as costs imposed by external requirements rather than investments in institutional capacity—they generate resentment and opportunity costs that diminish rather than enhance organizational effectiveness.</w:t>
      </w:r>
    </w:p>
    <w:p>
      <w:pPr>
        <w:pStyle w:val="Normal"/>
      </w:pPr>
      <w:r>
        <w:rPr>
          <w:b/>
        </w:rPr>
        <w:t xml:space="preserve">Strategic gaming</w:t>
      </w:r>
      <w:r>
        <w:t xml:space="preserve"> emerges when institutions learn to optimize metrics without improving underlying performance—a phenomenon well-documented in accountability systems across multiple sectors [4]. Institutions may, for example, manipulate graduation rates through selective admissions tightening, inflate placement statistics through generous counting methodologies, or improve retention metrics by lowering academic expectations rather than enhancing student support. These gaming behaviors satisfy the letter of accountability requirements while violating their spirit, demonstrating the limitations of metric-based accountability when disconnected from genuine learning and improvement cultures.</w:t>
      </w:r>
    </w:p>
    <w:p>
      <w:pPr>
        <w:pStyle w:val="Normal"/>
      </w:pPr>
      <w:r>
        <w:t xml:space="preserve">The recognition of these pathologies does not diminish the necessity of accountability but rather underscores the importance of approaching it as one dimension of a larger process rather than as an end in itself. The antidote to compliance pathologies is not less accountability but better accountability—accountability that is integrated with learning and renewal rather than isolated as a standalone regulatory function. Table 1 summarizes the full stakeholder ecosystem and the mechanisms through which accreditation responds to diverse demands—a mapping that reveals both the comprehensiveness and the complexity of the accountability burden institutions must navigate. This integration is the subject of the following sections.</w:t>
      </w:r>
    </w:p>
    <w:p>
      <w:pPr>
        <w:pStyle w:val="Normal"/>
      </w:pPr>
      <w:r>
        <w:rPr>
          <w:b/>
        </w:rPr>
        <w:t xml:space="preserve">Figure 1. The Stakeholder Accountability Architecture</w:t>
      </w:r>
    </w:p>
    <w:p>
      <w:pPr>
        <w:pStyle w:val="CodeBlock"/>
      </w:pPr>
      <w:r>
        <w:t xml:space="preserve">┌─────────────────────────────────────────────────────────────────────────────┐</w:t>
      </w:r>
    </w:p>
    <w:p>
      <w:pPr>
        <w:pStyle w:val="CodeBlock"/>
      </w:pPr>
      <w:r>
        <w:t xml:space="preserve">│                    REGIME OF DEMONSTRABLE PROOF                              │</w:t>
      </w:r>
    </w:p>
    <w:p>
      <w:pPr>
        <w:pStyle w:val="CodeBlock"/>
      </w:pPr>
      <w:r>
        <w:t xml:space="preserve">│                                                                             │</w:t>
      </w:r>
    </w:p>
    <w:p>
      <w:pPr>
        <w:pStyle w:val="CodeBlock"/>
      </w:pPr>
      <w:r>
        <w:t xml:space="preserve">│    ┌──────────────┐     ┌──────────────┐     ┌──────────────┐              │</w:t>
      </w:r>
    </w:p>
    <w:p>
      <w:pPr>
        <w:pStyle w:val="CodeBlock"/>
      </w:pPr>
      <w:r>
        <w:t xml:space="preserve">│    │   STUDENTS   │     │  EMPLOYERS   │     │  GOVERNMENT  │              │</w:t>
      </w:r>
    </w:p>
    <w:p>
      <w:pPr>
        <w:pStyle w:val="CodeBlock"/>
      </w:pPr>
      <w:r>
        <w:t xml:space="preserve">│    │  &amp; FAMILIES  │     │              │     │  (Fed/State) │              │</w:t>
      </w:r>
    </w:p>
    <w:p>
      <w:pPr>
        <w:pStyle w:val="CodeBlock"/>
      </w:pPr>
      <w:r>
        <w:t xml:space="preserve">│    │              │     │              │     │              │              │</w:t>
      </w:r>
    </w:p>
    <w:p>
      <w:pPr>
        <w:pStyle w:val="CodeBlock"/>
      </w:pPr>
      <w:r>
        <w:t xml:space="preserve">│    │ • ROI demand │     │ • Competency │     │ • Public     │              │</w:t>
      </w:r>
    </w:p>
    <w:p>
      <w:pPr>
        <w:pStyle w:val="CodeBlock"/>
      </w:pPr>
      <w:r>
        <w:t xml:space="preserve">│    │ • Credential │     │   assurance  │     │   funds      │              │</w:t>
      </w:r>
    </w:p>
    <w:p>
      <w:pPr>
        <w:pStyle w:val="CodeBlock"/>
      </w:pPr>
      <w:r>
        <w:t xml:space="preserve">│    │   portability│     │ • Licensure  │     │   stewardship│              │</w:t>
      </w:r>
    </w:p>
    <w:p>
      <w:pPr>
        <w:pStyle w:val="CodeBlock"/>
      </w:pPr>
      <w:r>
        <w:t xml:space="preserve">│    │ • Transparency│    │   pipeline   │     │ • Performance│              │</w:t>
      </w:r>
    </w:p>
    <w:p>
      <w:pPr>
        <w:pStyle w:val="CodeBlock"/>
      </w:pPr>
      <w:r>
        <w:t xml:space="preserve">│    └──────┬───────┘     └──────┬───────┘     └──────┬───────┘              │</w:t>
      </w:r>
    </w:p>
    <w:p>
      <w:pPr>
        <w:pStyle w:val="CodeBlock"/>
      </w:pPr>
      <w:r>
        <w:t xml:space="preserve">│           │                    │                    │                       │</w:t>
      </w:r>
    </w:p>
    <w:p>
      <w:pPr>
        <w:pStyle w:val="CodeBlock"/>
      </w:pPr>
      <w:r>
        <w:t xml:space="preserve">│           ▼                    ▼                    ▼                       │</w:t>
      </w:r>
    </w:p>
    <w:p>
      <w:pPr>
        <w:pStyle w:val="CodeBlock"/>
      </w:pPr>
      <w:r>
        <w:t xml:space="preserve">│    ┌─────────────────────────────────────────────────────┐                 │</w:t>
      </w:r>
    </w:p>
    <w:p>
      <w:pPr>
        <w:pStyle w:val="CodeBlock"/>
      </w:pPr>
      <w:r>
        <w:t xml:space="preserve">│    │              ACCREDITATION PROCESS                    │                 │</w:t>
      </w:r>
    </w:p>
    <w:p>
      <w:pPr>
        <w:pStyle w:val="CodeBlock"/>
      </w:pPr>
      <w:r>
        <w:t xml:space="preserve">│    │                                                      │                 │</w:t>
      </w:r>
    </w:p>
    <w:p>
      <w:pPr>
        <w:pStyle w:val="CodeBlock"/>
      </w:pPr>
      <w:r>
        <w:t xml:space="preserve">│    │  Standards → Self-Study → Peer Review → Decision     │                 │</w:t>
      </w:r>
    </w:p>
    <w:p>
      <w:pPr>
        <w:pStyle w:val="CodeBlock"/>
      </w:pPr>
      <w:r>
        <w:t xml:space="preserve">│    │                                                      │                 │</w:t>
      </w:r>
    </w:p>
    <w:p>
      <w:pPr>
        <w:pStyle w:val="CodeBlock"/>
      </w:pPr>
      <w:r>
        <w:t xml:space="preserve">│    │  Functions:                                          │                 │</w:t>
      </w:r>
    </w:p>
    <w:p>
      <w:pPr>
        <w:pStyle w:val="CodeBlock"/>
      </w:pPr>
      <w:r>
        <w:t xml:space="preserve">│    │  • Quality verification    • Risk identification    │                 │</w:t>
      </w:r>
    </w:p>
    <w:p>
      <w:pPr>
        <w:pStyle w:val="CodeBlock"/>
      </w:pPr>
      <w:r>
        <w:t xml:space="preserve">│    │  • Public assurance        • Threshold enforcement  │                 │</w:t>
      </w:r>
    </w:p>
    <w:p>
      <w:pPr>
        <w:pStyle w:val="CodeBlock"/>
      </w:pPr>
      <w:r>
        <w:t xml:space="preserve">│    │  • Credential validation   • Financial oversight    │                 │</w:t>
      </w:r>
    </w:p>
    <w:p>
      <w:pPr>
        <w:pStyle w:val="CodeBlock"/>
      </w:pPr>
      <w:r>
        <w:t xml:space="preserve">│    └──────────────────────┬───────────────────────────────┘                 │</w:t>
      </w:r>
    </w:p>
    <w:p>
      <w:pPr>
        <w:pStyle w:val="CodeBlock"/>
      </w:pPr>
      <w:r>
        <w:t xml:space="preserve">│                           │                                                 │</w:t>
      </w:r>
    </w:p>
    <w:p>
      <w:pPr>
        <w:pStyle w:val="CodeBlock"/>
      </w:pPr>
      <w:r>
        <w:t xml:space="preserve">│           ┌───────────────┼───────────────┐                                │</w:t>
      </w:r>
    </w:p>
    <w:p>
      <w:pPr>
        <w:pStyle w:val="CodeBlock"/>
      </w:pPr>
      <w:r>
        <w:t xml:space="preserve">│           ▼               ▼               ▼                                │</w:t>
      </w:r>
    </w:p>
    <w:p>
      <w:pPr>
        <w:pStyle w:val="CodeBlock"/>
      </w:pPr>
      <w:r>
        <w:t xml:space="preserve">│    ┌──────────────┐ ┌──────────────┐ ┌──────────────┐                      │</w:t>
      </w:r>
    </w:p>
    <w:p>
      <w:pPr>
        <w:pStyle w:val="CodeBlock"/>
      </w:pPr>
      <w:r>
        <w:t xml:space="preserve">│    │   FACULTY    │ │    PUBLIC    │ │ INSTITUTION  │                      │</w:t>
      </w:r>
    </w:p>
    <w:p>
      <w:pPr>
        <w:pStyle w:val="CodeBlock"/>
      </w:pPr>
      <w:r>
        <w:t xml:space="preserve">│    │   &amp; STAFF    │ │   &amp; SOCIETY  │ │   ITSELF     │                      │</w:t>
      </w:r>
    </w:p>
    <w:p>
      <w:pPr>
        <w:pStyle w:val="CodeBlock"/>
      </w:pPr>
      <w:r>
        <w:t xml:space="preserve">│    │              │ │              │ │              │                      │</w:t>
      </w:r>
    </w:p>
    <w:p>
      <w:pPr>
        <w:pStyle w:val="CodeBlock"/>
      </w:pPr>
      <w:r>
        <w:t xml:space="preserve">│    │ • Governance │ │ • Integrity  │ │ • Legitimacy │                      │</w:t>
      </w:r>
    </w:p>
    <w:p>
      <w:pPr>
        <w:pStyle w:val="CodeBlock"/>
      </w:pPr>
      <w:r>
        <w:t xml:space="preserve">│    │ • Autonomy   │ │ • Equity     │ │ • Aid access │                      │</w:t>
      </w:r>
    </w:p>
    <w:p>
      <w:pPr>
        <w:pStyle w:val="CodeBlock"/>
      </w:pPr>
      <w:r>
        <w:t xml:space="preserve">│    │ • Development│ │ • Engagement │ │ • Reputation │                      │</w:t>
      </w:r>
    </w:p>
    <w:p>
      <w:pPr>
        <w:pStyle w:val="CodeBlock"/>
      </w:pPr>
      <w:r>
        <w:t xml:space="preserve">│    └──────────────┘ └──────────────┘ └──────────────┘                      │</w:t>
      </w:r>
    </w:p>
    <w:p>
      <w:pPr>
        <w:pStyle w:val="CodeBlock"/>
      </w:pPr>
      <w:r>
        <w:t xml:space="preserve">│                                                                             │</w:t>
      </w:r>
    </w:p>
    <w:p>
      <w:pPr>
        <w:pStyle w:val="CodeBlock"/>
      </w:pPr>
      <w:r>
        <w:t xml:space="preserve">└─────────────────────────────────────────────────────────────────────────────┘</w:t>
      </w:r>
    </w:p>
    <w:p>
      <w:pPr>
        <w:pStyle w:val="Normal"/>
      </w:pPr>
      <w:r>
        <w:t xml:space="preserve"/>
      </w:r>
    </w:p>
    <w:p>
      <w:pPr>
        <w:pStyle w:val="Caption"/>
      </w:pPr>
      <w:r>
        <w:rPr>
          <w:i/>
        </w:rPr>
        <w:t xml:space="preserve">Figure 1 illustrates the multi-directional convergence of stakeholder demands upon the accreditation process within the contemporary regime of demonstrable proof. Arrows flowing downward represent external pressures from primary accountability constituencies (students, employers, government), while the lower tier represents constituencies that both influence and are influenced by accreditation outcomes (faculty, public, the institution itself). The accreditation process mediates between these constituencies, translating diverse demands into coherent standards and actionable feedback.</w:t>
      </w:r>
    </w:p>
    <w:p>
      <w:pPr>
        <w:pStyle w:val="Normal"/>
      </w:pPr>
      <w:r>
        <w:t xml:space="preserve"/>
      </w:r>
    </w:p>
    <w:p>
      <w:pPr>
        <w:pStyle w:val="Heading1"/>
      </w:pPr>
      <w:r>
        <w:rPr>
          <w:b/>
        </w:rPr>
        <w:t xml:space="preserve">3. The Architecture of Learning: Accreditation as Organizational Intelligence</w:t>
      </w:r>
    </w:p>
    <w:p>
      <w:pPr>
        <w:pStyle w:val="Heading2"/>
      </w:pPr>
      <w:r>
        <w:rPr>
          <w:b/>
        </w:rPr>
        <w:t xml:space="preserve">3.1 Theoretical Foundations: From Compliance Documentation to Organizational Learning</w:t>
      </w:r>
    </w:p>
    <w:p>
      <w:pPr>
        <w:pStyle w:val="Normal"/>
      </w:pPr>
      <w:r>
        <w:t xml:space="preserve">If Section 2 addressed the accountability dimension of accreditation—the non-negotiable baseline of demonstrated quality—this section fundamentally repositions the accreditation process as a uniquely powerful architecture for building organizational intelligence. This repositioning draws on Peter Senge's [5] concept of the "learning organization": an entity that continuously expands its collective capacity to create desired outcomes through systematic processes of inquiry, reflection, and adaptive action. It further incorporates Argyris and Schön's [6] distinction between single-loop learning (correcting errors within existing assumptions) and double-loop learning (questioning and revising the assumptions themselves)—a distinction that illuminates the difference between superficial compliance and genuine institutional transformation.</w:t>
      </w:r>
    </w:p>
    <w:p>
      <w:pPr>
        <w:pStyle w:val="Normal"/>
      </w:pPr>
      <w:r>
        <w:t xml:space="preserve">The accreditation process contains structural elements that create conditions uniquely conducive to organizational learning—conditions that rarely arise in the normal flow of institutional life. The comprehensive self-study requires institutions to examine themselves holistically rather than fragmentarily. The evidentiary requirements demand systematic data collection and analysis rather than reliance on intuition or anecdote. The peer review introduces external perspectives that challenge internal narratives. And the improvement mandate requires that insights be translated into action rather than remaining as abstract knowledge. When these elements are approached with genuine intellectual engagement rather than defensive compliance, they constitute a complete learning architecture: diagnosis, evidence, external validation, and responsive action (as depicted in Figure 2).</w:t>
      </w:r>
    </w:p>
    <w:p>
      <w:pPr>
        <w:pStyle w:val="Normal"/>
      </w:pPr>
      <w:r>
        <w:t xml:space="preserve">The challenge lies in the transition from what might be termed "learning for accreditation" to "accreditation for learning." In the former mode, institutions collect data, analyze evidence, and document improvements primarily to satisfy external reviewers—the learning is instrumental and often performative. In the latter mode, institutions use the structures and rhythms of accreditation as scaffolding for genuine organizational inquiry—the accreditation process serves as occasion and framework for learning that the institution values intrinsically [25]. This transition requires both cultural transformation within institutions and evolutionary change within accrediting bodies—a dual transformation that is underway but far from complete.</w:t>
      </w:r>
    </w:p>
    <w:p>
      <w:pPr>
        <w:pStyle w:val="Heading2"/>
      </w:pPr>
      <w:r>
        <w:rPr>
          <w:b/>
        </w:rPr>
        <w:t xml:space="preserve">3.2 The Self-Study as Institutional Epistemology: Knowing What We Know and What We Don't</w:t>
      </w:r>
    </w:p>
    <w:p>
      <w:pPr>
        <w:pStyle w:val="Normal"/>
      </w:pPr>
      <w:r>
        <w:t xml:space="preserve">The self-study—the comprehensive institutional examination that forms the centerpiece of most accreditation processes—represents far more than a report to be produced and submitted. When approached with genuine intellectual ambition, the self-study functions as an exercise in institutional epistemology: a systematic investigation of what the institution knows about itself, how it knows it, what it doesn't know, and what it needs to learn [25].</w:t>
      </w:r>
    </w:p>
    <w:p>
      <w:pPr>
        <w:pStyle w:val="Normal"/>
      </w:pPr>
      <w:r>
        <w:rPr>
          <w:b/>
        </w:rPr>
        <w:t xml:space="preserve">Surfacing tacit knowledge. Every institution contains vast repositories of tacit knowledge—understanding that exists in the minds and practices of experienced faculty, staff, and administrators but has never been articulated, documented, or made available for collective sense-making [28]. As Table 2 details, each component of the self-study activates a distinct learning process and produces a specific organizational outcome. The veteran registrar understands enrollment patterns that no database captures. The experienced advisor recognizes at-risk student profiles that no algorithm has formalized. The department chair knows which curriculum sequences produce the strongest outcomes despite the absence of formal assessment data. The self-study process, by requiring comprehensive institutional examination, creates occasions for this tacit knowledge to surface—to be named, examined, validated, and integrated into institutional understanding.</w:t>
      </w:r>
    </w:p>
    <w:p>
      <w:pPr>
        <w:pStyle w:val="Normal"/>
      </w:pPr>
      <w:r>
        <w:rPr>
          <w:b/>
        </w:rPr>
        <w:t xml:space="preserve">Bridging organizational silos.</w:t>
      </w:r>
      <w:r>
        <w:t xml:space="preserve"> The self-study's requirement to examine the institution as an integrated system forces communication across traditional organizational boundaries that normally function as impermeable membranes [27]. Academic affairs must engage with student affairs to understand how co-curricular experiences complement classroom learning. Enrollment management must dialogue with academic departments about the alignment between recruitment promises and programmatic realities. Information technology must connect its infrastructure planning to pedagogical innovation strategies. Financial planning must engage with academic program development to ensure resource alignment with strategic priorities. These cross-functional conversations—often difficult and sometimes uncomfortable—represent precisely the kind of boundary-spanning communication that organizational learning theory identifies as essential for systemic understanding [5].</w:t>
      </w:r>
    </w:p>
    <w:p>
      <w:pPr>
        <w:pStyle w:val="Normal"/>
      </w:pPr>
      <w:r>
        <w:rPr>
          <w:b/>
        </w:rPr>
        <w:t xml:space="preserve">Revealing unknown unknowns.</w:t>
      </w:r>
      <w:r>
        <w:t xml:space="preserve"> Perhaps most valuably, a genuine self-study process exposes what organizational theorists term the "zone of ignorance"—the gaps in institutional knowledge that are not merely unanswered questions but unasked ones [28]. Through systematic data collection and cross-functional dialogue, institutions may discover patterns that were invisible from any single departmental vantage point: that retention rates diverge dramatically across demographic groups in ways that challenge institutional narratives of equity; that students in high-satisfaction programs paradoxically show weaker learning gains than those in programs with lower satisfaction ratings; that substantial resources are being allocated to activities whose contribution to the institutional mission has never been assessed. These discoveries—invariably uncomfortable but invaluably informative—constitute the raw material of organizational learning and the foundation for evidence-based renewal.</w:t>
      </w:r>
    </w:p>
    <w:p>
      <w:pPr>
        <w:pStyle w:val="Normal"/>
      </w:pPr>
      <w:r>
        <w:rPr>
          <w:b/>
        </w:rPr>
        <w:t xml:space="preserve">Establishing longitudinal perspective. The temporal dimension of the self-study merits particular attention (see Table 2, "Longitudinal trend analysis" row). While annual reporting cycles provide snapshots of institutional performance, the self-study's examination of five- to ten-year trajectories reveals longitudinal patterns that shorter timeframes obscure [29]. Gradual shifts in student demographics, slow erosion of completion rates within specific populations, incremental drift between mission rhetoric and operational reality—these phenomena become visible only when data are examined across extended timeframes. This longitudinal perspective provides the empirical foundation for distinguishing between random fluctuations and meaningful trends, enabling more informed strategic projection and resource allocation.</w:t>
      </w:r>
    </w:p>
    <w:p>
      <w:pPr>
        <w:pStyle w:val="Normal"/>
      </w:pPr>
      <w:r>
        <w:rPr>
          <w:b/>
        </w:rPr>
        <w:t xml:space="preserve">Creating psychological safety for honest inquiry.</w:t>
      </w:r>
      <w:r>
        <w:t xml:space="preserve"> The self-study process, by virtue of its institutional legitimacy and external mandate, creates what Edmondson [26] terms "psychological safety"—the shared belief that the environment is safe for interpersonal risk-taking. The accreditation mandate provides institutional permission to ask difficult questions that might otherwise be deemed threatening or politically inappropriate: Are our students actually learning what we claim to teach? Are our support services reaching those who need them most? Are our resource allocation decisions aligned with our stated priorities? Is our governance structure functioning effectively? Are we achieving equitable outcomes? The external requirement to address these questions provides cover for honest inquiry that internal political dynamics might otherwise suppress.</w:t>
      </w:r>
    </w:p>
    <w:p>
      <w:pPr>
        <w:pStyle w:val="Normal"/>
      </w:pPr>
      <w:r>
        <w:rPr>
          <w:b/>
        </w:rPr>
        <w:t xml:space="preserve">Table 2. The Self-Study as Organizational Learning Architecture</w:t>
      </w:r>
    </w:p>
    <w:tbl>
      <w:tblPr>
        <w:tblStyle w:val="TableGrid"/>
        <w:tblW w:w="5000" w:type="pct"/>
        <w:tblLook w:val="04A0"/>
      </w:tblPr>
      <w:tr>
        <w:trPr>
          <w:tblHeader/>
        </w:trPr>
        <w:tc>
          <w:tcPr>
            <w:tcW w:w="0" w:type="auto"/>
          </w:tcPr>
          <w:p>
            <w:pPr>
              <w:spacing w:after="60"/>
            </w:pPr>
            <w:r>
              <w:rPr>
                <w:b/>
                <w:sz w:val="18"/>
              </w:rPr>
              <w:t xml:space="preserve">Self-Study Component</w:t>
            </w:r>
          </w:p>
        </w:tc>
        <w:tc>
          <w:tcPr>
            <w:tcW w:w="0" w:type="auto"/>
          </w:tcPr>
          <w:p>
            <w:pPr>
              <w:spacing w:after="60"/>
            </w:pPr>
            <w:r>
              <w:rPr>
                <w:b/>
                <w:sz w:val="18"/>
              </w:rPr>
              <w:t xml:space="preserve">Learning Type (Argyris &amp; Schön)</w:t>
            </w:r>
          </w:p>
        </w:tc>
        <w:tc>
          <w:tcPr>
            <w:tcW w:w="0" w:type="auto"/>
          </w:tcPr>
          <w:p>
            <w:pPr>
              <w:spacing w:after="60"/>
            </w:pPr>
            <w:r>
              <w:rPr>
                <w:b/>
                <w:sz w:val="18"/>
              </w:rPr>
              <w:t xml:space="preserve">Cognitive Process</w:t>
            </w:r>
          </w:p>
        </w:tc>
        <w:tc>
          <w:tcPr>
            <w:tcW w:w="0" w:type="auto"/>
          </w:tcPr>
          <w:p>
            <w:pPr>
              <w:spacing w:after="60"/>
            </w:pPr>
            <w:r>
              <w:rPr>
                <w:b/>
                <w:sz w:val="18"/>
              </w:rPr>
              <w:t xml:space="preserve">Organizational Outcome</w:t>
            </w:r>
          </w:p>
        </w:tc>
        <w:tc>
          <w:tcPr>
            <w:tcW w:w="0" w:type="auto"/>
          </w:tcPr>
          <w:p>
            <w:pPr>
              <w:spacing w:after="60"/>
            </w:pPr>
            <w:r>
              <w:rPr>
                <w:b/>
                <w:sz w:val="18"/>
              </w:rPr>
              <w:t xml:space="preserve">Enabling Conditions</w:t>
            </w:r>
          </w:p>
        </w:tc>
      </w:tr>
      <w:tr>
        <w:tc>
          <w:tcPr>
            <w:tcW w:w="0" w:type="auto"/>
          </w:tcPr>
          <w:p>
            <w:pPr>
              <w:spacing w:after="60"/>
            </w:pPr>
            <w:r>
              <w:rPr>
                <w:sz w:val="18"/>
              </w:rPr>
              <w:t xml:space="preserve">Comprehensive data collection</w:t>
            </w:r>
          </w:p>
        </w:tc>
        <w:tc>
          <w:tcPr>
            <w:tcW w:w="0" w:type="auto"/>
          </w:tcPr>
          <w:p>
            <w:pPr>
              <w:spacing w:after="60"/>
            </w:pPr>
            <w:r>
              <w:rPr>
                <w:sz w:val="18"/>
              </w:rPr>
              <w:t xml:space="preserve">Single-loop: error detection within existing frames</w:t>
            </w:r>
          </w:p>
        </w:tc>
        <w:tc>
          <w:tcPr>
            <w:tcW w:w="0" w:type="auto"/>
          </w:tcPr>
          <w:p>
            <w:pPr>
              <w:spacing w:after="60"/>
            </w:pPr>
            <w:r>
              <w:rPr>
                <w:sz w:val="18"/>
              </w:rPr>
              <w:t xml:space="preserve">Pattern recognition; gap identification</w:t>
            </w:r>
          </w:p>
        </w:tc>
        <w:tc>
          <w:tcPr>
            <w:tcW w:w="0" w:type="auto"/>
          </w:tcPr>
          <w:p>
            <w:pPr>
              <w:spacing w:after="60"/>
            </w:pPr>
            <w:r>
              <w:rPr>
                <w:sz w:val="18"/>
              </w:rPr>
              <w:t xml:space="preserve">Performance baseline establishment; variance analysis</w:t>
            </w:r>
          </w:p>
        </w:tc>
        <w:tc>
          <w:tcPr>
            <w:tcW w:w="0" w:type="auto"/>
          </w:tcPr>
          <w:p>
            <w:pPr>
              <w:spacing w:after="60"/>
            </w:pPr>
            <w:r>
              <w:rPr>
                <w:sz w:val="18"/>
              </w:rPr>
              <w:t xml:space="preserve">Integrated data systems; institutional research capacity</w:t>
            </w:r>
          </w:p>
        </w:tc>
      </w:tr>
      <w:tr>
        <w:tc>
          <w:tcPr>
            <w:tcW w:w="0" w:type="auto"/>
          </w:tcPr>
          <w:p>
            <w:pPr>
              <w:spacing w:after="60"/>
            </w:pPr>
            <w:r>
              <w:rPr>
                <w:sz w:val="18"/>
              </w:rPr>
              <w:t xml:space="preserve">Cross-functional dialogue</w:t>
            </w:r>
          </w:p>
        </w:tc>
        <w:tc>
          <w:tcPr>
            <w:tcW w:w="0" w:type="auto"/>
          </w:tcPr>
          <w:p>
            <w:pPr>
              <w:spacing w:after="60"/>
            </w:pPr>
            <w:r>
              <w:rPr>
                <w:sz w:val="18"/>
              </w:rPr>
              <w:t xml:space="preserve">Boundary-spanning: breaking silo mentalities</w:t>
            </w:r>
          </w:p>
        </w:tc>
        <w:tc>
          <w:tcPr>
            <w:tcW w:w="0" w:type="auto"/>
          </w:tcPr>
          <w:p>
            <w:pPr>
              <w:spacing w:after="60"/>
            </w:pPr>
            <w:r>
              <w:rPr>
                <w:sz w:val="18"/>
              </w:rPr>
              <w:t xml:space="preserve">Perspective-taking; assumption challenging</w:t>
            </w:r>
          </w:p>
        </w:tc>
        <w:tc>
          <w:tcPr>
            <w:tcW w:w="0" w:type="auto"/>
          </w:tcPr>
          <w:p>
            <w:pPr>
              <w:spacing w:after="60"/>
            </w:pPr>
            <w:r>
              <w:rPr>
                <w:sz w:val="18"/>
              </w:rPr>
              <w:t xml:space="preserve">Holistic understanding of student experience; systems view</w:t>
            </w:r>
          </w:p>
        </w:tc>
        <w:tc>
          <w:tcPr>
            <w:tcW w:w="0" w:type="auto"/>
          </w:tcPr>
          <w:p>
            <w:pPr>
              <w:spacing w:after="60"/>
            </w:pPr>
            <w:r>
              <w:rPr>
                <w:sz w:val="18"/>
              </w:rPr>
              <w:t xml:space="preserve">Inclusive committee structures; dedicated time allocation</w:t>
            </w:r>
          </w:p>
        </w:tc>
      </w:tr>
      <w:tr>
        <w:tc>
          <w:tcPr>
            <w:tcW w:w="0" w:type="auto"/>
          </w:tcPr>
          <w:p>
            <w:pPr>
              <w:spacing w:after="60"/>
            </w:pPr>
            <w:r>
              <w:rPr>
                <w:sz w:val="18"/>
              </w:rPr>
              <w:t xml:space="preserve">Mission alignment review</w:t>
            </w:r>
          </w:p>
        </w:tc>
        <w:tc>
          <w:tcPr>
            <w:tcW w:w="0" w:type="auto"/>
          </w:tcPr>
          <w:p>
            <w:pPr>
              <w:spacing w:after="60"/>
            </w:pPr>
            <w:r>
              <w:rPr>
                <w:sz w:val="18"/>
              </w:rPr>
              <w:t xml:space="preserve">Double-loop: questioning foundational assumptions</w:t>
            </w:r>
          </w:p>
        </w:tc>
        <w:tc>
          <w:tcPr>
            <w:tcW w:w="0" w:type="auto"/>
          </w:tcPr>
          <w:p>
            <w:pPr>
              <w:spacing w:after="60"/>
            </w:pPr>
            <w:r>
              <w:rPr>
                <w:sz w:val="18"/>
              </w:rPr>
              <w:t xml:space="preserve">Critical reflection on institutional identity</w:t>
            </w:r>
          </w:p>
        </w:tc>
        <w:tc>
          <w:tcPr>
            <w:tcW w:w="0" w:type="auto"/>
          </w:tcPr>
          <w:p>
            <w:pPr>
              <w:spacing w:after="60"/>
            </w:pPr>
            <w:r>
              <w:rPr>
                <w:sz w:val="18"/>
              </w:rPr>
              <w:t xml:space="preserve">Strategic clarity; mission-practice coherence</w:t>
            </w:r>
          </w:p>
        </w:tc>
        <w:tc>
          <w:tcPr>
            <w:tcW w:w="0" w:type="auto"/>
          </w:tcPr>
          <w:p>
            <w:pPr>
              <w:spacing w:after="60"/>
            </w:pPr>
            <w:r>
              <w:rPr>
                <w:sz w:val="18"/>
              </w:rPr>
              <w:t xml:space="preserve">Leadership support for honest self-assessment</w:t>
            </w:r>
          </w:p>
        </w:tc>
      </w:tr>
      <w:tr>
        <w:tc>
          <w:tcPr>
            <w:tcW w:w="0" w:type="auto"/>
          </w:tcPr>
          <w:p>
            <w:pPr>
              <w:spacing w:after="60"/>
            </w:pPr>
            <w:r>
              <w:rPr>
                <w:sz w:val="18"/>
              </w:rPr>
              <w:t xml:space="preserve">Stakeholder engagement surveys</w:t>
            </w:r>
          </w:p>
        </w:tc>
        <w:tc>
          <w:tcPr>
            <w:tcW w:w="0" w:type="auto"/>
          </w:tcPr>
          <w:p>
            <w:pPr>
              <w:spacing w:after="60"/>
            </w:pPr>
            <w:r>
              <w:rPr>
                <w:sz w:val="18"/>
              </w:rPr>
              <w:t xml:space="preserve">Environmental scanning: reading external signals</w:t>
            </w:r>
          </w:p>
        </w:tc>
        <w:tc>
          <w:tcPr>
            <w:tcW w:w="0" w:type="auto"/>
          </w:tcPr>
          <w:p>
            <w:pPr>
              <w:spacing w:after="60"/>
            </w:pPr>
            <w:r>
              <w:rPr>
                <w:sz w:val="18"/>
              </w:rPr>
              <w:t xml:space="preserve">Market intelligence; expectation mapping</w:t>
            </w:r>
          </w:p>
        </w:tc>
        <w:tc>
          <w:tcPr>
            <w:tcW w:w="0" w:type="auto"/>
          </w:tcPr>
          <w:p>
            <w:pPr>
              <w:spacing w:after="60"/>
            </w:pPr>
            <w:r>
              <w:rPr>
                <w:sz w:val="18"/>
              </w:rPr>
              <w:t xml:space="preserve">Responsiveness to constituent needs; relevance assurance</w:t>
            </w:r>
          </w:p>
        </w:tc>
        <w:tc>
          <w:tcPr>
            <w:tcW w:w="0" w:type="auto"/>
          </w:tcPr>
          <w:p>
            <w:pPr>
              <w:spacing w:after="60"/>
            </w:pPr>
            <w:r>
              <w:rPr>
                <w:sz w:val="18"/>
              </w:rPr>
              <w:t xml:space="preserve">Robust survey instruments; representative sampling</w:t>
            </w:r>
          </w:p>
        </w:tc>
      </w:tr>
      <w:tr>
        <w:tc>
          <w:tcPr>
            <w:tcW w:w="0" w:type="auto"/>
          </w:tcPr>
          <w:p>
            <w:pPr>
              <w:spacing w:after="60"/>
            </w:pPr>
            <w:r>
              <w:rPr>
                <w:sz w:val="18"/>
              </w:rPr>
              <w:t xml:space="preserve">Learning outcomes assessment</w:t>
            </w:r>
          </w:p>
        </w:tc>
        <w:tc>
          <w:tcPr>
            <w:tcW w:w="0" w:type="auto"/>
          </w:tcPr>
          <w:p>
            <w:pPr>
              <w:spacing w:after="60"/>
            </w:pPr>
            <w:r>
              <w:rPr>
                <w:sz w:val="18"/>
              </w:rPr>
              <w:t xml:space="preserve">Evidence-based inquiry: testing educational hypotheses</w:t>
            </w:r>
          </w:p>
        </w:tc>
        <w:tc>
          <w:tcPr>
            <w:tcW w:w="0" w:type="auto"/>
          </w:tcPr>
          <w:p>
            <w:pPr>
              <w:spacing w:after="60"/>
            </w:pPr>
            <w:r>
              <w:rPr>
                <w:sz w:val="18"/>
              </w:rPr>
              <w:t xml:space="preserve">Hypothesis testing; causal reasoning</w:t>
            </w:r>
          </w:p>
        </w:tc>
        <w:tc>
          <w:tcPr>
            <w:tcW w:w="0" w:type="auto"/>
          </w:tcPr>
          <w:p>
            <w:pPr>
              <w:spacing w:after="60"/>
            </w:pPr>
            <w:r>
              <w:rPr>
                <w:sz w:val="18"/>
              </w:rPr>
              <w:t xml:space="preserve">Pedagogical improvement; curriculum refinement</w:t>
            </w:r>
          </w:p>
        </w:tc>
        <w:tc>
          <w:tcPr>
            <w:tcW w:w="0" w:type="auto"/>
          </w:tcPr>
          <w:p>
            <w:pPr>
              <w:spacing w:after="60"/>
            </w:pPr>
            <w:r>
              <w:rPr>
                <w:sz w:val="18"/>
              </w:rPr>
              <w:t xml:space="preserve">Assessment expertise; faculty engagement; closing the loop</w:t>
            </w:r>
          </w:p>
        </w:tc>
      </w:tr>
      <w:tr>
        <w:tc>
          <w:tcPr>
            <w:tcW w:w="0" w:type="auto"/>
          </w:tcPr>
          <w:p>
            <w:pPr>
              <w:spacing w:after="60"/>
            </w:pPr>
            <w:r>
              <w:rPr>
                <w:sz w:val="18"/>
              </w:rPr>
              <w:t xml:space="preserve">Resource utilization analysis</w:t>
            </w:r>
          </w:p>
        </w:tc>
        <w:tc>
          <w:tcPr>
            <w:tcW w:w="0" w:type="auto"/>
          </w:tcPr>
          <w:p>
            <w:pPr>
              <w:spacing w:after="60"/>
            </w:pPr>
            <w:r>
              <w:rPr>
                <w:sz w:val="18"/>
              </w:rPr>
              <w:t xml:space="preserve">Systems thinking: understanding interdependencies</w:t>
            </w:r>
          </w:p>
        </w:tc>
        <w:tc>
          <w:tcPr>
            <w:tcW w:w="0" w:type="auto"/>
          </w:tcPr>
          <w:p>
            <w:pPr>
              <w:spacing w:after="60"/>
            </w:pPr>
            <w:r>
              <w:rPr>
                <w:sz w:val="18"/>
              </w:rPr>
              <w:t xml:space="preserve">Efficiency evaluation; opportunity cost assessment</w:t>
            </w:r>
          </w:p>
        </w:tc>
        <w:tc>
          <w:tcPr>
            <w:tcW w:w="0" w:type="auto"/>
          </w:tcPr>
          <w:p>
            <w:pPr>
              <w:spacing w:after="60"/>
            </w:pPr>
            <w:r>
              <w:rPr>
                <w:sz w:val="18"/>
              </w:rPr>
              <w:t xml:space="preserve">Strategic resource reallocation; investment optimization</w:t>
            </w:r>
          </w:p>
        </w:tc>
        <w:tc>
          <w:tcPr>
            <w:tcW w:w="0" w:type="auto"/>
          </w:tcPr>
          <w:p>
            <w:pPr>
              <w:spacing w:after="60"/>
            </w:pPr>
            <w:r>
              <w:rPr>
                <w:sz w:val="18"/>
              </w:rPr>
              <w:t xml:space="preserve">Transparent financial data; activity-based costing</w:t>
            </w:r>
          </w:p>
        </w:tc>
      </w:tr>
      <w:tr>
        <w:tc>
          <w:tcPr>
            <w:tcW w:w="0" w:type="auto"/>
          </w:tcPr>
          <w:p>
            <w:pPr>
              <w:spacing w:after="60"/>
            </w:pPr>
            <w:r>
              <w:rPr>
                <w:sz w:val="18"/>
              </w:rPr>
              <w:t xml:space="preserve">Equity and access audit</w:t>
            </w:r>
          </w:p>
        </w:tc>
        <w:tc>
          <w:tcPr>
            <w:tcW w:w="0" w:type="auto"/>
          </w:tcPr>
          <w:p>
            <w:pPr>
              <w:spacing w:after="60"/>
            </w:pPr>
            <w:r>
              <w:rPr>
                <w:sz w:val="18"/>
              </w:rPr>
              <w:t xml:space="preserve">Double-loop: examining structural assumptions about fairness</w:t>
            </w:r>
          </w:p>
        </w:tc>
        <w:tc>
          <w:tcPr>
            <w:tcW w:w="0" w:type="auto"/>
          </w:tcPr>
          <w:p>
            <w:pPr>
              <w:spacing w:after="60"/>
            </w:pPr>
            <w:r>
              <w:rPr>
                <w:sz w:val="18"/>
              </w:rPr>
              <w:t xml:space="preserve">Disaggregated analysis; structural critique</w:t>
            </w:r>
          </w:p>
        </w:tc>
        <w:tc>
          <w:tcPr>
            <w:tcW w:w="0" w:type="auto"/>
          </w:tcPr>
          <w:p>
            <w:pPr>
              <w:spacing w:after="60"/>
            </w:pPr>
            <w:r>
              <w:rPr>
                <w:sz w:val="18"/>
              </w:rPr>
              <w:t xml:space="preserve">Identification of systemic barriers; equity-focused intervention</w:t>
            </w:r>
          </w:p>
        </w:tc>
        <w:tc>
          <w:tcPr>
            <w:tcW w:w="0" w:type="auto"/>
          </w:tcPr>
          <w:p>
            <w:pPr>
              <w:spacing w:after="60"/>
            </w:pPr>
            <w:r>
              <w:rPr>
                <w:sz w:val="18"/>
              </w:rPr>
              <w:t xml:space="preserve">Disaggregated data; cultural competence; institutional will</w:t>
            </w:r>
          </w:p>
        </w:tc>
      </w:tr>
      <w:tr>
        <w:tc>
          <w:tcPr>
            <w:tcW w:w="0" w:type="auto"/>
          </w:tcPr>
          <w:p>
            <w:pPr>
              <w:spacing w:after="60"/>
            </w:pPr>
            <w:r>
              <w:rPr>
                <w:sz w:val="18"/>
              </w:rPr>
              <w:t xml:space="preserve">Longitudinal trend analysis</w:t>
            </w:r>
          </w:p>
        </w:tc>
        <w:tc>
          <w:tcPr>
            <w:tcW w:w="0" w:type="auto"/>
          </w:tcPr>
          <w:p>
            <w:pPr>
              <w:spacing w:after="60"/>
            </w:pPr>
            <w:r>
              <w:rPr>
                <w:sz w:val="18"/>
              </w:rPr>
              <w:t xml:space="preserve">Temporal learning: detecting trajectories invisible in snapshots</w:t>
            </w:r>
          </w:p>
        </w:tc>
        <w:tc>
          <w:tcPr>
            <w:tcW w:w="0" w:type="auto"/>
          </w:tcPr>
          <w:p>
            <w:pPr>
              <w:spacing w:after="60"/>
            </w:pPr>
            <w:r>
              <w:rPr>
                <w:sz w:val="18"/>
              </w:rPr>
              <w:t xml:space="preserve">Trend identification; predictive modeling</w:t>
            </w:r>
          </w:p>
        </w:tc>
        <w:tc>
          <w:tcPr>
            <w:tcW w:w="0" w:type="auto"/>
          </w:tcPr>
          <w:p>
            <w:pPr>
              <w:spacing w:after="60"/>
            </w:pPr>
            <w:r>
              <w:rPr>
                <w:sz w:val="18"/>
              </w:rPr>
              <w:t xml:space="preserve">Strategic foresight; early warning systems</w:t>
            </w:r>
          </w:p>
        </w:tc>
        <w:tc>
          <w:tcPr>
            <w:tcW w:w="0" w:type="auto"/>
          </w:tcPr>
          <w:p>
            <w:pPr>
              <w:spacing w:after="60"/>
            </w:pPr>
            <w:r>
              <w:rPr>
                <w:sz w:val="18"/>
              </w:rPr>
              <w:t xml:space="preserve">Multi-year data archives; analytical capacity</w:t>
            </w:r>
          </w:p>
        </w:tc>
      </w:tr>
    </w:tbl>
    <w:p>
      <w:pPr>
        <w:pStyle w:val="Normal"/>
      </w:pPr>
      <w:r>
        <w:t xml:space="preserve"/>
      </w:r>
    </w:p>
    <w:p>
      <w:pPr>
        <w:pStyle w:val="Heading2"/>
      </w:pPr>
      <w:r>
        <w:rPr>
          <w:b/>
        </w:rPr>
        <w:t xml:space="preserve">3.3 From Data Collection to Organizational Intelligence: Building the Evidence Culture</w:t>
      </w:r>
    </w:p>
    <w:p>
      <w:pPr>
        <w:pStyle w:val="Normal"/>
      </w:pPr>
      <w:r>
        <w:t xml:space="preserve">The shift from "data for compliance" to "data for understanding" constitutes one of the most consequential conceptual advances in contemporary accreditation practice—and one of the most challenging cultural transitions that institutions undertake. This shift parallels broader developments in knowledge management, where the movement from "information" to "intelligence" recognizes that data's value lies not in its accumulation but in its capacity to inform judgment, guide action, and generate insight [30].</w:t>
      </w:r>
    </w:p>
    <w:p>
      <w:pPr>
        <w:pStyle w:val="Normal"/>
      </w:pPr>
      <w:r>
        <w:rPr>
          <w:b/>
        </w:rPr>
        <w:t xml:space="preserve">The antidote to anecdotal reasoning.</w:t>
      </w:r>
      <w:r>
        <w:t xml:space="preserve"> Academic institutions are paradoxical organizations: they are dedicated to evidence-based knowledge production in their research and teaching functions while often relying on anecdote, tradition, and political intuition in their administrative and governance decisions [31]. Faculty may hold strong convictions about what constitutes effective pedagogy, which students are "prepared" for college-level work, and which programs represent institutional strengths—convictions grounded in individual experience but not necessarily supported by systematic evidence. The accreditation requirement to produce evidence of student learning outcomes, retention and completion patterns, and graduate success can productively challenge these assumptions, creating occasions for institutional actors to confront the gap between belief and evidence.</w:t>
      </w:r>
    </w:p>
    <w:p>
      <w:pPr>
        <w:pStyle w:val="Normal"/>
      </w:pPr>
      <w:r>
        <w:rPr>
          <w:b/>
        </w:rPr>
        <w:t xml:space="preserve">Learning analytics as organizational intelligence.</w:t>
      </w:r>
      <w:r>
        <w:t xml:space="preserve"> The development of sophisticated learning analytics represents an emerging frontier in accreditation-driven institutional intelligence [32]. Rather than merely reporting historical outcomes—what happened—institutions are increasingly using the data infrastructure developed for accreditation purposes to build predictive models—what is likely to happen—and prescriptive capacity—what should be done. By analyzing patterns in student engagement, course-level performance, utilization of support services, and early academic indicators, institutions can identify students at risk of departure early enough to intervene effectively. This predictive and prescriptive capacity transforms the institution from a passive recorder of outcomes to an active agent in student success—embodying the learning organization's aspiration to create its desired future rather than merely responding to its past.</w:t>
      </w:r>
    </w:p>
    <w:p>
      <w:pPr>
        <w:pStyle w:val="Normal"/>
      </w:pPr>
      <w:r>
        <w:rPr>
          <w:b/>
        </w:rPr>
        <w:t xml:space="preserve">Closing the assessment loop. The concept of "closing the loop" represents the critical mechanism that distinguishes genuine organizational learning from mere data accumulation [33]. As Figure 2 illustrates, the responsive action stage feeds back into the self-study stage, creating a perpetual cycle rather than a linear sequence. This concept requires institutions not merely to measure outcomes but to use those measurements to diagnose problems, design interventions, implement changes, and reassess to determine whether interventions produced intended improvements. This iterative cycle—identify, analyze, act, evaluate—constitutes the engine of institutional learning. When assessment reveals that students in a particular program consistently fail to achieve specific learning outcomes, the institution must demonstrate investigation of root causes, design and implementation of targeted interventions, and subsequent re-measurement to evaluate effectiveness. This requirement transforms accreditation from a static judgment into a dynamic narrative of improvement—rewarding not perfection but demonstrated capacity for self-correction.</w:t>
      </w:r>
    </w:p>
    <w:p>
      <w:pPr>
        <w:pStyle w:val="Normal"/>
      </w:pPr>
      <w:r>
        <w:rPr>
          <w:b/>
        </w:rPr>
        <w:t xml:space="preserve">The cultural challenge.</w:t>
      </w:r>
      <w:r>
        <w:t xml:space="preserve"> The transition from data collection to genuine evidence-informed decision-making should not be underestimated as a cultural undertaking. Academic institutions have historically been characterized by what Kezar and Eckel [34] describe as a "culture of autonomous professional judgment" in which individual expertise is sovereign and external metrics are viewed with suspicion. Faculty may experience learning outcomes assessment as an intrusion on academic freedom, viewing standardized measurement as incompatible with the complexity and individuality of educational processes. Navigating this cultural terrain requires institutional leaders to frame assessment not as surveillance or standardization but as professional enhancement—a means by which educators deepen their understanding of their own effectiveness and refine their practice based on evidence rather than assumption. The most successful institutions cultivate what Suskie [31] terms an "assessment culture"—an environment in which curiosity about one's own effectiveness is a professional norm rather than a bureaucratic imposition.</w:t>
      </w:r>
    </w:p>
    <w:p>
      <w:pPr>
        <w:pStyle w:val="Heading2"/>
      </w:pPr>
      <w:r>
        <w:rPr>
          <w:b/>
        </w:rPr>
        <w:t xml:space="preserve">3.4 Peer Review as Epistemic Intervention: The Power of the External Gaze</w:t>
      </w:r>
    </w:p>
    <w:p>
      <w:pPr>
        <w:pStyle w:val="Normal"/>
      </w:pPr>
      <w:r>
        <w:t xml:space="preserve">The peer review visit—in which a team of experienced academics and administrators from peer institutions conducts an intensive on-site evaluation—represents one of accreditation's most distinctive features and one of its most powerful mechanisms for organizational learning. Unlike governmental inspection regimes or commercial auditing processes, peer review operates on the principle that institutions are most productively evaluated by those who share their fundamental purposes and understand their operational complexities from the inside [1]. This collegial foundation creates unique conditions for the kind of honest, constructive dialogue that generates genuine insight.</w:t>
      </w:r>
    </w:p>
    <w:p>
      <w:pPr>
        <w:pStyle w:val="Normal"/>
      </w:pPr>
      <w:r>
        <w:rPr>
          <w:b/>
        </w:rPr>
        <w:t xml:space="preserve">Challenging organizational groupthink.</w:t>
      </w:r>
      <w:r>
        <w:t xml:space="preserve"> Every organization develops internal narratives—stories it tells itself about its identity, its strengths, its challenges, and its trajectory—that over time become so deeply embedded in organizational culture that they are no longer subject to critical examination [35]. These narratives function as shared mental models that guide interpretation and action but can also create collective blind spots. External reviewers, precisely because they do not share these narratives, possess the capacity to perceive what insiders cannot: that an institution's self-description as "student-centered" may be contradicted by policies that systematically privilege administrative convenience; that claims of "innovation" may mask fundamental resistance to pedagogical evolution; that assertions of "shared governance" may coexist with decision-making processes that are opaque and exclusionary. The external gaze functions as an epistemic intervention—a structured disruption of organizational consensus that opens space for new understanding.</w:t>
      </w:r>
    </w:p>
    <w:p>
      <w:pPr>
        <w:pStyle w:val="Normal"/>
      </w:pPr>
      <w:r>
        <w:rPr>
          <w:b/>
        </w:rPr>
        <w:t xml:space="preserve">Bidirectional knowledge transfer.</w:t>
      </w:r>
      <w:r>
        <w:t xml:space="preserve"> The peer review process generates learning in multiple directions simultaneously [36]. Visiting team members bring knowledge of effective practices at their own institutions—solutions to common problems, innovative approaches to persistent challenges, examples of successful adaptation to changing environments. The host institution's innovations, in turn, may inspire visitors to implement changes upon their return. This bidirectional knowledge exchange represents a form of structured, non-competitive intelligence sharing that has few parallels in other sectors. Unlike commercial competitors who guard proprietary processes, academic institutions participating in peer review engage in open practice-sharing—a manifestation of academic values of collective advancement that benefits the entire system.</w:t>
      </w:r>
    </w:p>
    <w:p>
      <w:pPr>
        <w:pStyle w:val="Normal"/>
      </w:pPr>
      <w:r>
        <w:rPr>
          <w:b/>
        </w:rPr>
        <w:t xml:space="preserve">Validation and motivational energy.</w:t>
      </w:r>
      <w:r>
        <w:t xml:space="preserve"> The legitimacy-conferring function of peer review should not be underestimated as a factor in organizational vitality [37]. When respected colleagues from peer institutions affirm that an institution's efforts are producing meaningful results—that innovations are working, that faculty are exceptional, that students are thriving—the psychological effects ripple through the organization. This validation energizes staff, reinforces institutional identity, and provides political capital for continued investment in quality improvement. Moreover, the preparation for peer review itself catalyzes collective reflection that extends well beyond the formal evaluation period [38]. Faculty and staff who participate in presentations to visiting teams frequently report that the preparation process deepens their own understanding of their work and its connection to broader institutional purposes—a learning benefit that accrues regardless of the review's formal outcomes.</w:t>
      </w:r>
    </w:p>
    <w:p>
      <w:pPr>
        <w:pStyle w:val="Normal"/>
      </w:pPr>
      <w:r>
        <w:rPr>
          <w:b/>
        </w:rPr>
        <w:t xml:space="preserve">The preparation effect.</w:t>
      </w:r>
      <w:r>
        <w:t xml:space="preserve"> A phenomenon deserving greater scholarly attention is what might be termed the "preparation effect"—the organizational learning that occurs not during the peer review itself but in the months of preparation preceding it. As institutional actors prepare to articulate their work to external audiences, they are forced to make explicit what has been tacit, to justify what has been habitual, and to evaluate what has been assumed. This preparation—the act of rendering institutional practice visible and explicable to informed outsiders—constitutes a powerful form of collective sense-making that often generates more insight than the formal review itself [38].</w:t>
      </w:r>
    </w:p>
    <w:p>
      <w:pPr>
        <w:pStyle w:val="Normal"/>
      </w:pPr>
      <w:r>
        <w:rPr>
          <w:b/>
        </w:rPr>
        <w:t xml:space="preserve">Figure 2. The Organizational Learning Cycle in Accreditation</w:t>
      </w:r>
    </w:p>
    <w:p>
      <w:pPr>
        <w:pStyle w:val="CodeBlock"/>
      </w:pPr>
      <w:r>
        <w:t xml:space="preserve">┌─────────────────────────────────────────────────────────────────────────────┐</w:t>
      </w:r>
    </w:p>
    <w:p>
      <w:pPr>
        <w:pStyle w:val="CodeBlock"/>
      </w:pPr>
      <w:r>
        <w:t xml:space="preserve">│                                                                             │</w:t>
      </w:r>
    </w:p>
    <w:p>
      <w:pPr>
        <w:pStyle w:val="CodeBlock"/>
      </w:pPr>
      <w:r>
        <w:t xml:space="preserve">│                    ORGANIZATIONAL LEARNING CYCLE                             │</w:t>
      </w:r>
    </w:p>
    <w:p>
      <w:pPr>
        <w:pStyle w:val="CodeBlock"/>
      </w:pPr>
      <w:r>
        <w:t xml:space="preserve">│                                                                             │</w:t>
      </w:r>
    </w:p>
    <w:p>
      <w:pPr>
        <w:pStyle w:val="CodeBlock"/>
      </w:pPr>
      <w:r>
        <w:t xml:space="preserve">│         ┌─────────────────────────────────────────────┐                     │</w:t>
      </w:r>
    </w:p>
    <w:p>
      <w:pPr>
        <w:pStyle w:val="CodeBlock"/>
      </w:pPr>
      <w:r>
        <w:t xml:space="preserve">│         │                                             │                     │</w:t>
      </w:r>
    </w:p>
    <w:p>
      <w:pPr>
        <w:pStyle w:val="CodeBlock"/>
      </w:pPr>
      <w:r>
        <w:t xml:space="preserve">│         │              SELF-STUDY                     │                     │</w:t>
      </w:r>
    </w:p>
    <w:p>
      <w:pPr>
        <w:pStyle w:val="CodeBlock"/>
      </w:pPr>
      <w:r>
        <w:t xml:space="preserve">│         │                                             │                     │</w:t>
      </w:r>
    </w:p>
    <w:p>
      <w:pPr>
        <w:pStyle w:val="CodeBlock"/>
      </w:pPr>
      <w:r>
        <w:t xml:space="preserve">│         │  • Institutional epistemology               │                     │</w:t>
      </w:r>
    </w:p>
    <w:p>
      <w:pPr>
        <w:pStyle w:val="CodeBlock"/>
      </w:pPr>
      <w:r>
        <w:t xml:space="preserve">│         │  • Tacit knowledge surfacing                │                     │</w:t>
      </w:r>
    </w:p>
    <w:p>
      <w:pPr>
        <w:pStyle w:val="CodeBlock"/>
      </w:pPr>
      <w:r>
        <w:t xml:space="preserve">│         │  • Cross-functional dialogue                │                     │</w:t>
      </w:r>
    </w:p>
    <w:p>
      <w:pPr>
        <w:pStyle w:val="CodeBlock"/>
      </w:pPr>
      <w:r>
        <w:t xml:space="preserve">│         │  • Longitudinal pattern identification      │                     │</w:t>
      </w:r>
    </w:p>
    <w:p>
      <w:pPr>
        <w:pStyle w:val="CodeBlock"/>
      </w:pPr>
      <w:r>
        <w:t xml:space="preserve">│         │                                             │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                     │</w:t>
      </w:r>
    </w:p>
    <w:p>
      <w:pPr>
        <w:pStyle w:val="CodeBlock"/>
      </w:pPr>
      <w:r>
        <w:t xml:space="preserve">│         │           EVIDENCE ANALYSIS                 │                     │</w:t>
      </w:r>
    </w:p>
    <w:p>
      <w:pPr>
        <w:pStyle w:val="CodeBlock"/>
      </w:pPr>
      <w:r>
        <w:t xml:space="preserve">│         │                                             │                     │</w:t>
      </w:r>
    </w:p>
    <w:p>
      <w:pPr>
        <w:pStyle w:val="CodeBlock"/>
      </w:pPr>
      <w:r>
        <w:t xml:space="preserve">│         │  • Quantitative outcomes assessment         │                     │</w:t>
      </w:r>
    </w:p>
    <w:p>
      <w:pPr>
        <w:pStyle w:val="CodeBlock"/>
      </w:pPr>
      <w:r>
        <w:t xml:space="preserve">│         │  • Qualitative stakeholder inquiry          │                     │</w:t>
      </w:r>
    </w:p>
    <w:p>
      <w:pPr>
        <w:pStyle w:val="CodeBlock"/>
      </w:pPr>
      <w:r>
        <w:t xml:space="preserve">│         │  • Disaggregated equity analysis            │                     │</w:t>
      </w:r>
    </w:p>
    <w:p>
      <w:pPr>
        <w:pStyle w:val="CodeBlock"/>
      </w:pPr>
      <w:r>
        <w:t xml:space="preserve">│         │  • Predictive analytics and modeling        │                     │</w:t>
      </w:r>
    </w:p>
    <w:p>
      <w:pPr>
        <w:pStyle w:val="CodeBlock"/>
      </w:pPr>
      <w:r>
        <w:t xml:space="preserve">│         │                                             │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                     │</w:t>
      </w:r>
    </w:p>
    <w:p>
      <w:pPr>
        <w:pStyle w:val="CodeBlock"/>
      </w:pPr>
      <w:r>
        <w:t xml:space="preserve">│         │            PEER REVIEW                      │                     │</w:t>
      </w:r>
    </w:p>
    <w:p>
      <w:pPr>
        <w:pStyle w:val="CodeBlock"/>
      </w:pPr>
      <w:r>
        <w:t xml:space="preserve">│         │                                             │                     │</w:t>
      </w:r>
    </w:p>
    <w:p>
      <w:pPr>
        <w:pStyle w:val="CodeBlock"/>
      </w:pPr>
      <w:r>
        <w:t xml:space="preserve">│         │  • External perspective introduction        │                     │</w:t>
      </w:r>
    </w:p>
    <w:p>
      <w:pPr>
        <w:pStyle w:val="CodeBlock"/>
      </w:pPr>
      <w:r>
        <w:t xml:space="preserve">│         │  • Groupthink disruption                    │                     │</w:t>
      </w:r>
    </w:p>
    <w:p>
      <w:pPr>
        <w:pStyle w:val="CodeBlock"/>
      </w:pPr>
      <w:r>
        <w:t xml:space="preserve">│         │  • Best practice exchange                   │                     │</w:t>
      </w:r>
    </w:p>
    <w:p>
      <w:pPr>
        <w:pStyle w:val="CodeBlock"/>
      </w:pPr>
      <w:r>
        <w:t xml:space="preserve">│         │  • Validation and legitimation              │                     │</w:t>
      </w:r>
    </w:p>
    <w:p>
      <w:pPr>
        <w:pStyle w:val="CodeBlock"/>
      </w:pPr>
      <w:r>
        <w:t xml:space="preserve">│         │                                             │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                     │</w:t>
      </w:r>
    </w:p>
    <w:p>
      <w:pPr>
        <w:pStyle w:val="CodeBlock"/>
      </w:pPr>
      <w:r>
        <w:t xml:space="preserve">│         │         RESPONSIVE ACTION                   │                     │</w:t>
      </w:r>
    </w:p>
    <w:p>
      <w:pPr>
        <w:pStyle w:val="CodeBlock"/>
      </w:pPr>
      <w:r>
        <w:t xml:space="preserve">│         │                                             │                     │</w:t>
      </w:r>
    </w:p>
    <w:p>
      <w:pPr>
        <w:pStyle w:val="CodeBlock"/>
      </w:pPr>
      <w:r>
        <w:t xml:space="preserve">│         │  • Evidence-based intervention design       │                     │</w:t>
      </w:r>
    </w:p>
    <w:p>
      <w:pPr>
        <w:pStyle w:val="CodeBlock"/>
      </w:pPr>
      <w:r>
        <w:t xml:space="preserve">│         │  • Resource reallocation                    │                     │</w:t>
      </w:r>
    </w:p>
    <w:p>
      <w:pPr>
        <w:pStyle w:val="CodeBlock"/>
      </w:pPr>
      <w:r>
        <w:t xml:space="preserve">│         │  • Policy and practice revision             │                     │</w:t>
      </w:r>
    </w:p>
    <w:p>
      <w:pPr>
        <w:pStyle w:val="CodeBlock"/>
      </w:pPr>
      <w:r>
        <w:t xml:space="preserve">│         │  • Assessment loop closure                  │                     │</w:t>
      </w:r>
    </w:p>
    <w:p>
      <w:pPr>
        <w:pStyle w:val="CodeBlock"/>
      </w:pPr>
      <w:r>
        <w:t xml:space="preserve">│         │                                             │                     │</w:t>
      </w:r>
    </w:p>
    <w:p>
      <w:pPr>
        <w:pStyle w:val="CodeBlock"/>
      </w:pPr>
      <w:r>
        <w:t xml:space="preserve">│         └──────────────────┬──────────────────────────┘                     │</w:t>
      </w:r>
    </w:p>
    <w:p>
      <w:pPr>
        <w:pStyle w:val="CodeBlock"/>
      </w:pPr>
      <w:r>
        <w:t xml:space="preserve">│                            │                                                │</w:t>
      </w:r>
    </w:p>
    <w:p>
      <w:pPr>
        <w:pStyle w:val="CodeBlock"/>
      </w:pPr>
      <w:r>
        <w:t xml:space="preserve">│                            │         ┌──────────────────────┐               │</w:t>
      </w:r>
    </w:p>
    <w:p>
      <w:pPr>
        <w:pStyle w:val="CodeBlock"/>
      </w:pPr>
      <w:r>
        <w:t xml:space="preserve">│                            └────────►│  CONTINUOUS LEARNING │               │</w:t>
      </w:r>
    </w:p>
    <w:p>
      <w:pPr>
        <w:pStyle w:val="CodeBlock"/>
      </w:pPr>
      <w:r>
        <w:t xml:space="preserve">│                                      │      (CENTER)        │───────┐       │</w:t>
      </w:r>
    </w:p>
    <w:p>
      <w:pPr>
        <w:pStyle w:val="CodeBlock"/>
      </w:pPr>
      <w:r>
        <w:t xml:space="preserve">│                                      └──────────────────────┘       │       │</w:t>
      </w:r>
    </w:p>
    <w:p>
      <w:pPr>
        <w:pStyle w:val="CodeBlock"/>
      </w:pPr>
      <w:r>
        <w:t xml:space="preserve">│         ▲                                                           │       │</w:t>
      </w:r>
    </w:p>
    <w:p>
      <w:pPr>
        <w:pStyle w:val="CodeBlock"/>
      </w:pPr>
      <w:r>
        <w:t xml:space="preserve">│         │                                                           │       │</w:t>
      </w:r>
    </w:p>
    <w:p>
      <w:pPr>
        <w:pStyle w:val="CodeBlock"/>
      </w:pPr>
      <w:r>
        <w:t xml:space="preserve">│         └───────────────────────────────────────────────────────────┘       │</w:t>
      </w:r>
    </w:p>
    <w:p>
      <w:pPr>
        <w:pStyle w:val="CodeBlock"/>
      </w:pPr>
      <w:r>
        <w:t xml:space="preserve">│                          (Feeds back to Self-Study)                          │</w:t>
      </w:r>
    </w:p>
    <w:p>
      <w:pPr>
        <w:pStyle w:val="CodeBlock"/>
      </w:pPr>
      <w:r>
        <w:t xml:space="preserve">│                                                                             │</w:t>
      </w:r>
    </w:p>
    <w:p>
      <w:pPr>
        <w:pStyle w:val="CodeBlock"/>
      </w:pPr>
      <w:r>
        <w:t xml:space="preserve">└─────────────────────────────────────────────────────────────────────────────┘</w:t>
      </w:r>
    </w:p>
    <w:p>
      <w:pPr>
        <w:pStyle w:val="Normal"/>
      </w:pPr>
      <w:r>
        <w:t xml:space="preserve"/>
      </w:r>
    </w:p>
    <w:p>
      <w:pPr>
        <w:pStyle w:val="Caption"/>
      </w:pPr>
      <w:r>
        <w:rPr>
          <w:i/>
        </w:rPr>
        <w:t xml:space="preserve">Figure 2 depicts the cyclical nature of organizational learning within the accreditation framework. The four primary stages—Self-Study, Evidence Analysis, Peer Review, and Responsive Action—flow sequentially while being connected through a central hub of Continuous Learning that ensures insights from each stage inform all others. The feedback loop from Responsive Action back to Self-Study illustrates the perpetual nature of organizational learning, distinguishing the cyclical model from linear compliance approaches.</w:t>
      </w:r>
    </w:p>
    <w:p>
      <w:pPr>
        <w:pStyle w:val="Normal"/>
      </w:pPr>
      <w:r>
        <w:t xml:space="preserve"/>
      </w:r>
    </w:p>
    <w:p>
      <w:pPr>
        <w:pStyle w:val="Heading1"/>
      </w:pPr>
      <w:r>
        <w:rPr>
          <w:b/>
        </w:rPr>
        <w:t xml:space="preserve">4. The Engine of Renewal: Translating Learning into Institutional Transformation</w:t>
      </w:r>
    </w:p>
    <w:p>
      <w:pPr>
        <w:pStyle w:val="Heading2"/>
      </w:pPr>
      <w:r>
        <w:rPr>
          <w:b/>
        </w:rPr>
        <w:t xml:space="preserve">4.1 From Knowledge to Strategy: Accreditation as Strategic Infrastructure</w:t>
      </w:r>
    </w:p>
    <w:p>
      <w:pPr>
        <w:pStyle w:val="Normal"/>
      </w:pPr>
      <w:r>
        <w:t xml:space="preserve">The transition from learning to renewal marks the point at which institutional self-knowledge is translated into strategic action—where understanding becomes transformation. This section argues that the most effective institutions approach accreditation not as an isolated compliance activity occurring at the margins of institutional life but as a central component of their strategic architecture—using the structures, rhythms, and insights of the accreditation process to energize and discipline long-term institutional transformation [39].</w:t>
      </w:r>
    </w:p>
    <w:p>
      <w:pPr>
        <w:pStyle w:val="Normal"/>
      </w:pPr>
      <w:r>
        <w:rPr>
          <w:b/>
        </w:rPr>
        <w:t xml:space="preserve">The rhythm of renewal. The concept of the "rhythm of renewal" offers a powerful reframing of the accreditation cycle (see Figure 4 for the integrated timeline model). Rather than experiencing the reaffirmation cycle as a periodic disruption—a frantic scramble of documentation and preparation that interrupts normal operations—institutions can reconceive this rhythm as a structured timeline for strategic implementation [40]. The years immediately following reaffirmation become a period for bold strategic planning, informed by the self-study's findings and the peer review team's recommendations. The middle years become a period of implementation, piloting, and iterative refinement. The years preceding the next review become a period of assessment, course correction, and documentation of impact. This alignment transforms the accreditation cycle from an external imposition into an internal strategic discipline—a recurring occasion for institutional stocktaking that few other organizational mechanisms provide with comparable regularity and comprehensiveness.</w:t>
      </w:r>
    </w:p>
    <w:p>
      <w:pPr>
        <w:pStyle w:val="Normal"/>
      </w:pPr>
      <w:r>
        <w:rPr>
          <w:b/>
        </w:rPr>
        <w:t xml:space="preserve">Mission as strategic compass.</w:t>
      </w:r>
      <w:r>
        <w:t xml:space="preserve"> Mission occupies a unique position in accreditation-driven renewal. Unlike commercial organizations that may pivot rapidly in response to market signals, educational institutions derive their identity and coherence from missions that typically evolve gradually rather than transform abruptly [23]. Yet the self-study process—if genuinely conducted—forces institutions to critically evaluate whether their current strategic direction remains aligned with their foundational purposes and responsive to evolving realities. An institution whose mission emphasizes preparation for professional life must continuously evaluate whether its programs align with emerging workforce needs. A liberal arts institution committed to developing critical thinking must assess whether its pedagogical approaches remain effective for contemporary student populations. A community college dedicated to access must examine whether its structures truly serve the diverse communities within its service area. The self-study provides a structured occasion for this essential strategic reflection—asking not merely "Are we doing things right?" but "Are we doing the right things?"</w:t>
      </w:r>
    </w:p>
    <w:p>
      <w:pPr>
        <w:pStyle w:val="Normal"/>
      </w:pPr>
      <w:r>
        <w:rPr>
          <w:b/>
        </w:rPr>
        <w:t xml:space="preserve">Evidence-based resource reallocation.</w:t>
      </w:r>
      <w:r>
        <w:t xml:space="preserve"> Resource allocation represents the critical bridge between strategic insight and institutional transformation—the point where rhetoric meets reality. The findings from a thorough self-study provide an evidence base for difficult resource decisions that might otherwise be determined by political power, historical precedent, or institutional inertia [41]. When accreditation findings reveal that a program produces excellent outcomes with minimal resources while substantial investment in another area yields disappointing results, institutional leaders gain both the evidence and the political legitimacy to advocate for strategic reallocation. This evidence-based approach to resource stewardship—while never eliminating the political dimensions of budgeting—provides a counterweight to the purely political dynamics that often drive resource allocation in academic organizations.</w:t>
      </w:r>
    </w:p>
    <w:p>
      <w:pPr>
        <w:pStyle w:val="Normal"/>
      </w:pPr>
      <w:r>
        <w:rPr>
          <w:b/>
        </w:rPr>
        <w:t xml:space="preserve">Building institutional capacity as strategic investment. The most strategically sophisticated institutions recognize that the infrastructure required for effective accreditation—data systems, assessment expertise, institutional research capacity, communication structures, planning processes—represents not an accreditation expense but a strategic investment in permanent institutional capacity [42]. As Figure 4 demonstrates through its "Underlying Continuous Processes" layer, this infrastructure operates throughout the cycle regardless of the current phase, sustaining institutional capacity even outside formal review periods. Rather than assembling this infrastructure temporarily for each accreditation cycle and allowing it to atrophy between reviews, these institutions maintain and continuously develop their capacity for self-assessment, environmental scanning, and evidence-informed planning as core organizational competencies. This approach transforms accreditation preparation from a periodic project into a permanent institutional capability—one that serves strategic planning, budget development, program innovation, and stakeholder communication continuously rather than episodically.</w:t>
      </w:r>
    </w:p>
    <w:p>
      <w:pPr>
        <w:pStyle w:val="Heading2"/>
      </w:pPr>
      <w:r>
        <w:rPr>
          <w:b/>
        </w:rPr>
        <w:t xml:space="preserve">4.2 Institutional Agility in a Boundaryless World: Innovation Within Quality Frameworks</w:t>
      </w:r>
    </w:p>
    <w:p>
      <w:pPr>
        <w:pStyle w:val="Normal"/>
      </w:pPr>
      <w:r>
        <w:t xml:space="preserve">The theme of higher education beyond boundaries invites direct consideration of how accreditation can facilitate rather than impede institutional agility in a landscape characterized by rapid and often unpredictable change. The tension between quality assurance and institutional innovation represents one of the most consequential challenges facing both accrediting bodies and institutions—a tension that requires thoughtful navigation rather than simple resolution [43].</w:t>
      </w:r>
    </w:p>
    <w:p>
      <w:pPr>
        <w:pStyle w:val="Normal"/>
      </w:pPr>
      <w:r>
        <w:rPr>
          <w:b/>
        </w:rPr>
        <w:t xml:space="preserve">The innovation paradox.</w:t>
      </w:r>
      <w:r>
        <w:t xml:space="preserve"> Accreditation faces a structural paradox: its credibility depends on maintaining consistent standards that the public can trust, while the institutions it accredits must innovate continuously to remain relevant in a rapidly evolving environment. Standards developed for traditional residential institutions may inadequately address the realities of asynchronous online learning, competency-based progression, work-integrated education, micro-credentialing, or international collaborative programs. Yet abandoning standards in favor of unbounded experimentation would undermine the public trust that gives accreditation its value. Navigating this paradox requires what might be termed "disciplined innovation"—experimentation that occurs within frameworks of evidence, assessment, and self-correction rather than unconstrained improvisation.</w:t>
      </w:r>
    </w:p>
    <w:p>
      <w:pPr>
        <w:pStyle w:val="Normal"/>
      </w:pPr>
      <w:r>
        <w:rPr>
          <w:b/>
        </w:rPr>
        <w:t xml:space="preserve">Innovation sandboxes and experimental spaces.</w:t>
      </w:r>
      <w:r>
        <w:t xml:space="preserve"> Several accrediting bodies have begun developing mechanisms that explicitly accommodate innovation within quality frameworks [44]. These "innovation sandbox" approaches allow institutions to pilot new models—competency-based programs, stackable credentials, employer-embedded learning, accelerated pathways—within frameworks of enhanced monitoring rather than standard compliance. The sandbox model acknowledges that innovation inherently involves uncertainty and that demanding full compliance with traditional standards before new approaches have matured would prevent the experimentation that the future of higher education requires. The most forward-thinking accrediting bodies are moving toward frameworks that weight demonstrated capacity for self-assessment and self-correction as heavily as current compliance with specific standards—rewarding institutional learning maturity rather than merely documenting conformity to inherited models.</w:t>
      </w:r>
    </w:p>
    <w:p>
      <w:pPr>
        <w:pStyle w:val="Normal"/>
      </w:pPr>
      <w:r>
        <w:rPr>
          <w:b/>
        </w:rPr>
        <w:t xml:space="preserve">Workforce responsiveness as institutional agility.</w:t>
      </w:r>
      <w:r>
        <w:t xml:space="preserve"> The acceleration of technological change, the emergence of new industries, and the obsolescence of traditional occupations create relentless pressure on institutions to adapt their offerings [14]. Accreditation can support this responsiveness by requiring institutions to demonstrate active, systematic engagement with labor market intelligence, employer feedback, alumni outcomes data, and workforce trend analysis—not as a one-time compliance exercise but as an ongoing practice of environmental scanning and curricular adaptation. The most agile institutions have developed internal processes for rapid program modification that remain within accreditation parameters: streamlined curriculum revision processes, modular program architectures that allow component updating without wholesale redesign, and standing advisory relationships with industry partners that provide continuous rather than episodic workforce intelligence.</w:t>
      </w:r>
    </w:p>
    <w:p>
      <w:pPr>
        <w:pStyle w:val="Normal"/>
      </w:pPr>
      <w:r>
        <w:rPr>
          <w:b/>
        </w:rPr>
        <w:t xml:space="preserve">Serving the new majority.</w:t>
      </w:r>
      <w:r>
        <w:t xml:space="preserve"> The demographic composition of higher education has transformed fundamentally. Adult learners, first-generation students, working professionals, caregiving parents, military-connected students, and internationally mobile learners now constitute the majority of post-secondary enrollments [45]. These "new majority" students require educational models that differ substantially from the traditional full-time residential paradigm around which many accreditation standards were originally designed. Accreditation must evolve to evaluate quality across diverse delivery modalities and student populations—recognizing that excellence for a working adult taking asynchronous courses may manifest differently than excellence for a traditional-age residential student, without accepting lower quality as an acceptable accommodation [46]. Institutions that proactively address the needs of diverse learner populations—while demonstrating through evidence that quality is maintained—position themselves at the forefront of institutional renewal rather than clinging to models designed for populations that no longer dominate their enrollments.</w:t>
      </w:r>
    </w:p>
    <w:p>
      <w:pPr>
        <w:pStyle w:val="Normal"/>
      </w:pPr>
      <w:r>
        <w:rPr>
          <w:b/>
        </w:rPr>
        <w:t xml:space="preserve">Table 3. Evolution from Compliance Event to Continuous Quality Improvement Culture</w:t>
      </w:r>
    </w:p>
    <w:tbl>
      <w:tblPr>
        <w:tblStyle w:val="TableGrid"/>
        <w:tblW w:w="5000" w:type="pct"/>
        <w:tblLook w:val="04A0"/>
      </w:tblPr>
      <w:tr>
        <w:trPr>
          <w:tblHeader/>
        </w:trPr>
        <w:tc>
          <w:tcPr>
            <w:tcW w:w="0" w:type="auto"/>
          </w:tcPr>
          <w:p>
            <w:pPr>
              <w:spacing w:after="60"/>
            </w:pPr>
            <w:r>
              <w:rPr>
                <w:b/>
                <w:sz w:val="18"/>
              </w:rPr>
              <w:t xml:space="preserve">Dimension</w:t>
            </w:r>
          </w:p>
        </w:tc>
        <w:tc>
          <w:tcPr>
            <w:tcW w:w="0" w:type="auto"/>
          </w:tcPr>
          <w:p>
            <w:pPr>
              <w:spacing w:after="60"/>
            </w:pPr>
            <w:r>
              <w:rPr>
                <w:b/>
                <w:sz w:val="18"/>
              </w:rPr>
              <w:t xml:space="preserve">Traditional Model (Compliance Event)</w:t>
            </w:r>
          </w:p>
        </w:tc>
        <w:tc>
          <w:tcPr>
            <w:tcW w:w="0" w:type="auto"/>
          </w:tcPr>
          <w:p>
            <w:pPr>
              <w:spacing w:after="60"/>
            </w:pPr>
            <w:r>
              <w:rPr>
                <w:b/>
                <w:sz w:val="18"/>
              </w:rPr>
              <w:t xml:space="preserve">Transitional Model (Enhanced Compliance)</w:t>
            </w:r>
          </w:p>
        </w:tc>
        <w:tc>
          <w:tcPr>
            <w:tcW w:w="0" w:type="auto"/>
          </w:tcPr>
          <w:p>
            <w:pPr>
              <w:spacing w:after="60"/>
            </w:pPr>
            <w:r>
              <w:rPr>
                <w:b/>
                <w:sz w:val="18"/>
              </w:rPr>
              <w:t xml:space="preserve">Mature Model (CQI Culture)</w:t>
            </w:r>
          </w:p>
        </w:tc>
        <w:tc>
          <w:tcPr>
            <w:tcW w:w="0" w:type="auto"/>
          </w:tcPr>
          <w:p>
            <w:pPr>
              <w:spacing w:after="60"/>
            </w:pPr>
            <w:r>
              <w:rPr>
                <w:b/>
                <w:sz w:val="18"/>
              </w:rPr>
              <w:t xml:space="preserve">Enabling Infrastructure</w:t>
            </w:r>
          </w:p>
        </w:tc>
      </w:tr>
      <w:tr>
        <w:tc>
          <w:tcPr>
            <w:tcW w:w="0" w:type="auto"/>
          </w:tcPr>
          <w:p>
            <w:pPr>
              <w:spacing w:after="60"/>
            </w:pPr>
            <w:r>
              <w:rPr>
                <w:sz w:val="18"/>
              </w:rPr>
              <w:t xml:space="preserve">Temporal orientation</w:t>
            </w:r>
          </w:p>
        </w:tc>
        <w:tc>
          <w:tcPr>
            <w:tcW w:w="0" w:type="auto"/>
          </w:tcPr>
          <w:p>
            <w:pPr>
              <w:spacing w:after="60"/>
            </w:pPr>
            <w:r>
              <w:rPr>
                <w:sz w:val="18"/>
              </w:rPr>
              <w:t xml:space="preserve">Decennial preparation; reactive documentation</w:t>
            </w:r>
          </w:p>
        </w:tc>
        <w:tc>
          <w:tcPr>
            <w:tcW w:w="0" w:type="auto"/>
          </w:tcPr>
          <w:p>
            <w:pPr>
              <w:spacing w:after="60"/>
            </w:pPr>
            <w:r>
              <w:rPr>
                <w:sz w:val="18"/>
              </w:rPr>
              <w:t xml:space="preserve">Mid-cycle reporting; periodic check-ins</w:t>
            </w:r>
          </w:p>
        </w:tc>
        <w:tc>
          <w:tcPr>
            <w:tcW w:w="0" w:type="auto"/>
          </w:tcPr>
          <w:p>
            <w:pPr>
              <w:spacing w:after="60"/>
            </w:pPr>
            <w:r>
              <w:rPr>
                <w:sz w:val="18"/>
              </w:rPr>
              <w:t xml:space="preserve">Continuous annual cycles; real-time monitoring</w:t>
            </w:r>
          </w:p>
        </w:tc>
        <w:tc>
          <w:tcPr>
            <w:tcW w:w="0" w:type="auto"/>
          </w:tcPr>
          <w:p>
            <w:pPr>
              <w:spacing w:after="60"/>
            </w:pPr>
            <w:r>
              <w:rPr>
                <w:sz w:val="18"/>
              </w:rPr>
              <w:t xml:space="preserve">Embedded data systems; automated dashboards; living documents</w:t>
            </w:r>
          </w:p>
        </w:tc>
      </w:tr>
      <w:tr>
        <w:tc>
          <w:tcPr>
            <w:tcW w:w="0" w:type="auto"/>
          </w:tcPr>
          <w:p>
            <w:pPr>
              <w:spacing w:after="60"/>
            </w:pPr>
            <w:r>
              <w:rPr>
                <w:sz w:val="18"/>
              </w:rPr>
              <w:t xml:space="preserve">Leadership model</w:t>
            </w:r>
          </w:p>
        </w:tc>
        <w:tc>
          <w:tcPr>
            <w:tcW w:w="0" w:type="auto"/>
          </w:tcPr>
          <w:p>
            <w:pPr>
              <w:spacing w:after="60"/>
            </w:pPr>
            <w:r>
              <w:rPr>
                <w:sz w:val="18"/>
              </w:rPr>
              <w:t xml:space="preserve">Top-down mandate; administrator-driven</w:t>
            </w:r>
          </w:p>
        </w:tc>
        <w:tc>
          <w:tcPr>
            <w:tcW w:w="0" w:type="auto"/>
          </w:tcPr>
          <w:p>
            <w:pPr>
              <w:spacing w:after="60"/>
            </w:pPr>
            <w:r>
              <w:rPr>
                <w:sz w:val="18"/>
              </w:rPr>
              <w:t xml:space="preserve">Distributed committees; shared reporting responsibility</w:t>
            </w:r>
          </w:p>
        </w:tc>
        <w:tc>
          <w:tcPr>
            <w:tcW w:w="0" w:type="auto"/>
          </w:tcPr>
          <w:p>
            <w:pPr>
              <w:spacing w:after="60"/>
            </w:pPr>
            <w:r>
              <w:rPr>
                <w:sz w:val="18"/>
              </w:rPr>
              <w:t xml:space="preserve">Distributed ownership; faculty-led inquiry; grassroots innovation</w:t>
            </w:r>
          </w:p>
        </w:tc>
        <w:tc>
          <w:tcPr>
            <w:tcW w:w="0" w:type="auto"/>
          </w:tcPr>
          <w:p>
            <w:pPr>
              <w:spacing w:after="60"/>
            </w:pPr>
            <w:r>
              <w:rPr>
                <w:sz w:val="18"/>
              </w:rPr>
              <w:t xml:space="preserve">Empowerment structures; assessment coordinators; incentive alignment</w:t>
            </w:r>
          </w:p>
        </w:tc>
      </w:tr>
      <w:tr>
        <w:tc>
          <w:tcPr>
            <w:tcW w:w="0" w:type="auto"/>
          </w:tcPr>
          <w:p>
            <w:pPr>
              <w:spacing w:after="60"/>
            </w:pPr>
            <w:r>
              <w:rPr>
                <w:sz w:val="18"/>
              </w:rPr>
              <w:t xml:space="preserve">Data philosophy</w:t>
            </w:r>
          </w:p>
        </w:tc>
        <w:tc>
          <w:tcPr>
            <w:tcW w:w="0" w:type="auto"/>
          </w:tcPr>
          <w:p>
            <w:pPr>
              <w:spacing w:after="60"/>
            </w:pPr>
            <w:r>
              <w:rPr>
                <w:sz w:val="18"/>
              </w:rPr>
              <w:t xml:space="preserve">Retrospective reporting; selective presentation</w:t>
            </w:r>
          </w:p>
        </w:tc>
        <w:tc>
          <w:tcPr>
            <w:tcW w:w="0" w:type="auto"/>
          </w:tcPr>
          <w:p>
            <w:pPr>
              <w:spacing w:after="60"/>
            </w:pPr>
            <w:r>
              <w:rPr>
                <w:sz w:val="18"/>
              </w:rPr>
              <w:t xml:space="preserve">Systematic collection; comprehensive documentation</w:t>
            </w:r>
          </w:p>
        </w:tc>
        <w:tc>
          <w:tcPr>
            <w:tcW w:w="0" w:type="auto"/>
          </w:tcPr>
          <w:p>
            <w:pPr>
              <w:spacing w:after="60"/>
            </w:pPr>
            <w:r>
              <w:rPr>
                <w:sz w:val="18"/>
              </w:rPr>
              <w:t xml:space="preserve">Real-time analytics; predictive modeling; prescriptive intervention</w:t>
            </w:r>
          </w:p>
        </w:tc>
        <w:tc>
          <w:tcPr>
            <w:tcW w:w="0" w:type="auto"/>
          </w:tcPr>
          <w:p>
            <w:pPr>
              <w:spacing w:after="60"/>
            </w:pPr>
            <w:r>
              <w:rPr>
                <w:sz w:val="18"/>
              </w:rPr>
              <w:t xml:space="preserve">Learning analytics platforms; integrated information systems; data literacy programs</w:t>
            </w:r>
          </w:p>
        </w:tc>
      </w:tr>
      <w:tr>
        <w:tc>
          <w:tcPr>
            <w:tcW w:w="0" w:type="auto"/>
          </w:tcPr>
          <w:p>
            <w:pPr>
              <w:spacing w:after="60"/>
            </w:pPr>
            <w:r>
              <w:rPr>
                <w:sz w:val="18"/>
              </w:rPr>
              <w:t xml:space="preserve">Organizational culture</w:t>
            </w:r>
          </w:p>
        </w:tc>
        <w:tc>
          <w:tcPr>
            <w:tcW w:w="0" w:type="auto"/>
          </w:tcPr>
          <w:p>
            <w:pPr>
              <w:spacing w:after="60"/>
            </w:pPr>
            <w:r>
              <w:rPr>
                <w:sz w:val="18"/>
              </w:rPr>
              <w:t xml:space="preserve">Fear-based compliance; defensive documentation</w:t>
            </w:r>
          </w:p>
        </w:tc>
        <w:tc>
          <w:tcPr>
            <w:tcW w:w="0" w:type="auto"/>
          </w:tcPr>
          <w:p>
            <w:pPr>
              <w:spacing w:after="60"/>
            </w:pPr>
            <w:r>
              <w:rPr>
                <w:sz w:val="18"/>
              </w:rPr>
              <w:t xml:space="preserve">Obligation with emerging curiosity; mixed motivations</w:t>
            </w:r>
          </w:p>
        </w:tc>
        <w:tc>
          <w:tcPr>
            <w:tcW w:w="0" w:type="auto"/>
          </w:tcPr>
          <w:p>
            <w:pPr>
              <w:spacing w:after="60"/>
            </w:pPr>
            <w:r>
              <w:rPr>
                <w:sz w:val="18"/>
              </w:rPr>
              <w:t xml:space="preserve">Curiosity-driven improvement; professional learning ethos</w:t>
            </w:r>
          </w:p>
        </w:tc>
        <w:tc>
          <w:tcPr>
            <w:tcW w:w="0" w:type="auto"/>
          </w:tcPr>
          <w:p>
            <w:pPr>
              <w:spacing w:after="60"/>
            </w:pPr>
            <w:r>
              <w:rPr>
                <w:sz w:val="18"/>
              </w:rPr>
              <w:t xml:space="preserve">Psychological safety; celebration of improvement; tolerance for productive failure</w:t>
            </w:r>
          </w:p>
        </w:tc>
      </w:tr>
      <w:tr>
        <w:tc>
          <w:tcPr>
            <w:tcW w:w="0" w:type="auto"/>
          </w:tcPr>
          <w:p>
            <w:pPr>
              <w:spacing w:after="60"/>
            </w:pPr>
            <w:r>
              <w:rPr>
                <w:sz w:val="18"/>
              </w:rPr>
              <w:t xml:space="preserve">Scope of engagement</w:t>
            </w:r>
          </w:p>
        </w:tc>
        <w:tc>
          <w:tcPr>
            <w:tcW w:w="0" w:type="auto"/>
          </w:tcPr>
          <w:p>
            <w:pPr>
              <w:spacing w:after="60"/>
            </w:pPr>
            <w:r>
              <w:rPr>
                <w:sz w:val="18"/>
              </w:rPr>
              <w:t xml:space="preserve">Document production by assigned committees</w:t>
            </w:r>
          </w:p>
        </w:tc>
        <w:tc>
          <w:tcPr>
            <w:tcW w:w="0" w:type="auto"/>
          </w:tcPr>
          <w:p>
            <w:pPr>
              <w:spacing w:after="60"/>
            </w:pPr>
            <w:r>
              <w:rPr>
                <w:sz w:val="18"/>
              </w:rPr>
              <w:t xml:space="preserve">Broader involvement with centralized coordination</w:t>
            </w:r>
          </w:p>
        </w:tc>
        <w:tc>
          <w:tcPr>
            <w:tcW w:w="0" w:type="auto"/>
          </w:tcPr>
          <w:p>
            <w:pPr>
              <w:spacing w:after="60"/>
            </w:pPr>
            <w:r>
              <w:rPr>
                <w:sz w:val="18"/>
              </w:rPr>
              <w:t xml:space="preserve">Systemic organizational learning; universal participation</w:t>
            </w:r>
          </w:p>
        </w:tc>
        <w:tc>
          <w:tcPr>
            <w:tcW w:w="0" w:type="auto"/>
          </w:tcPr>
          <w:p>
            <w:pPr>
              <w:spacing w:after="60"/>
            </w:pPr>
            <w:r>
              <w:rPr>
                <w:sz w:val="18"/>
              </w:rPr>
              <w:t xml:space="preserve">Cross-functional teams; embedded assessment practices; community of practice</w:t>
            </w:r>
          </w:p>
        </w:tc>
      </w:tr>
      <w:tr>
        <w:tc>
          <w:tcPr>
            <w:tcW w:w="0" w:type="auto"/>
          </w:tcPr>
          <w:p>
            <w:pPr>
              <w:spacing w:after="60"/>
            </w:pPr>
            <w:r>
              <w:rPr>
                <w:sz w:val="18"/>
              </w:rPr>
              <w:t xml:space="preserve">Relationship to outcomes</w:t>
            </w:r>
          </w:p>
        </w:tc>
        <w:tc>
          <w:tcPr>
            <w:tcW w:w="0" w:type="auto"/>
          </w:tcPr>
          <w:p>
            <w:pPr>
              <w:spacing w:after="60"/>
            </w:pPr>
            <w:r>
              <w:rPr>
                <w:sz w:val="18"/>
              </w:rPr>
              <w:t xml:space="preserve">Status reaffirmation as primary goal</w:t>
            </w:r>
          </w:p>
        </w:tc>
        <w:tc>
          <w:tcPr>
            <w:tcW w:w="0" w:type="auto"/>
          </w:tcPr>
          <w:p>
            <w:pPr>
              <w:spacing w:after="60"/>
            </w:pPr>
            <w:r>
              <w:rPr>
                <w:sz w:val="18"/>
              </w:rPr>
              <w:t xml:space="preserve">Improvement recommendations as secondary benefit</w:t>
            </w:r>
          </w:p>
        </w:tc>
        <w:tc>
          <w:tcPr>
            <w:tcW w:w="0" w:type="auto"/>
          </w:tcPr>
          <w:p>
            <w:pPr>
              <w:spacing w:after="60"/>
            </w:pPr>
            <w:r>
              <w:rPr>
                <w:sz w:val="18"/>
              </w:rPr>
              <w:t xml:space="preserve">Institutional transformation as primary aspiration; status as byproduct</w:t>
            </w:r>
          </w:p>
        </w:tc>
        <w:tc>
          <w:tcPr>
            <w:tcW w:w="0" w:type="auto"/>
          </w:tcPr>
          <w:p>
            <w:pPr>
              <w:spacing w:after="60"/>
            </w:pPr>
            <w:r>
              <w:rPr>
                <w:sz w:val="18"/>
              </w:rPr>
              <w:t xml:space="preserve">Strategic alignment; mission-driven assessment; leadership vision</w:t>
            </w:r>
          </w:p>
        </w:tc>
      </w:tr>
      <w:tr>
        <w:tc>
          <w:tcPr>
            <w:tcW w:w="0" w:type="auto"/>
          </w:tcPr>
          <w:p>
            <w:pPr>
              <w:spacing w:after="60"/>
            </w:pPr>
            <w:r>
              <w:rPr>
                <w:sz w:val="18"/>
              </w:rPr>
              <w:t xml:space="preserve">Innovation posture</w:t>
            </w:r>
          </w:p>
        </w:tc>
        <w:tc>
          <w:tcPr>
            <w:tcW w:w="0" w:type="auto"/>
          </w:tcPr>
          <w:p>
            <w:pPr>
              <w:spacing w:after="60"/>
            </w:pPr>
            <w:r>
              <w:rPr>
                <w:sz w:val="18"/>
              </w:rPr>
              <w:t xml:space="preserve">Conservative; risk-averse; standard-adherent</w:t>
            </w:r>
          </w:p>
        </w:tc>
        <w:tc>
          <w:tcPr>
            <w:tcW w:w="0" w:type="auto"/>
          </w:tcPr>
          <w:p>
            <w:pPr>
              <w:spacing w:after="60"/>
            </w:pPr>
            <w:r>
              <w:rPr>
                <w:sz w:val="18"/>
              </w:rPr>
              <w:t xml:space="preserve">Cautiously experimental; bounded innovation</w:t>
            </w:r>
          </w:p>
        </w:tc>
        <w:tc>
          <w:tcPr>
            <w:tcW w:w="0" w:type="auto"/>
          </w:tcPr>
          <w:p>
            <w:pPr>
              <w:spacing w:after="60"/>
            </w:pPr>
            <w:r>
              <w:rPr>
                <w:sz w:val="18"/>
              </w:rPr>
              <w:t xml:space="preserve">Disciplined experimentation; evidence-based risk-taking; learning from failure</w:t>
            </w:r>
          </w:p>
        </w:tc>
        <w:tc>
          <w:tcPr>
            <w:tcW w:w="0" w:type="auto"/>
          </w:tcPr>
          <w:p>
            <w:pPr>
              <w:spacing w:after="60"/>
            </w:pPr>
            <w:r>
              <w:rPr>
                <w:sz w:val="18"/>
              </w:rPr>
              <w:t xml:space="preserve">Innovation sandboxes; rapid-cycle testing; portfolio approach to change</w:t>
            </w:r>
          </w:p>
        </w:tc>
      </w:tr>
    </w:tbl>
    <w:p>
      <w:pPr>
        <w:pStyle w:val="Normal"/>
      </w:pPr>
      <w:r>
        <w:t xml:space="preserve"/>
      </w:r>
    </w:p>
    <w:p>
      <w:pPr>
        <w:pStyle w:val="Heading2"/>
      </w:pPr>
      <w:r>
        <w:rPr>
          <w:b/>
        </w:rPr>
        <w:t xml:space="preserve">4.3 Cultivating a Permanent Culture of Continuous Quality Improvement</w:t>
      </w:r>
    </w:p>
    <w:p>
      <w:pPr>
        <w:pStyle w:val="Normal"/>
      </w:pPr>
      <w:r>
        <w:t xml:space="preserve">The ultimate aspiration of accreditation as renewal is the institutionalization of a culture of continuous quality improvement (CQI)—a permanent organizational condition in which systematic inquiry, evidence-based decision-making, and adaptive action become integral features of institutional life rather than episodic responses to external review [47]. This aspiration draws on the quality management traditions pioneered by Deming [8] and Juran [48] and adapted to educational contexts by scholars including Seymour [49] and Freed et al. [50].</w:t>
      </w:r>
    </w:p>
    <w:p>
      <w:pPr>
        <w:pStyle w:val="Normal"/>
      </w:pPr>
      <w:r>
        <w:rPr>
          <w:b/>
        </w:rPr>
        <w:t xml:space="preserve">From event to process: The fundamental transformation. The single most important shift in achieving a CQI culture is the transformation of accreditation from an "event" experienced periodically to a "process" embedded permanently (Table 3 contrasts these orientations across seven dimensions). When institutions experience accreditation as a decennial event—a project with defined beginning and end—quality improvement work surges during preparation periods and dissipates once the site visit concludes, creating a destructive pattern of neglect followed by panic [40]. The CQI alternative institutionalizes the core practices of self-study on an ongoing, cyclical basis: annual assessment cycles feed into regular program reviews; program reviews inform strategic planning; strategic planning guides resource allocation; resource allocation enables implementation; and implementation generates new data for the next assessment cycle. This perpetual engagement with evidence and improvement eliminates the feast-or-famine pattern and creates conditions for sustainable institutional growth.</w:t>
      </w:r>
    </w:p>
    <w:p>
      <w:pPr>
        <w:pStyle w:val="Normal"/>
      </w:pPr>
      <w:r>
        <w:rPr>
          <w:b/>
        </w:rPr>
        <w:t xml:space="preserve">Faculty and staff as agents of quality.</w:t>
      </w:r>
      <w:r>
        <w:t xml:space="preserve"> The traditional approach to accreditation is predominantly top-down: administrators define the agenda, assign tasks, manage logistics, and control the narrative, while faculty and staff experience the process as an administrative burden imposed upon their substantive work [39]. The CQI model fundamentally inverts this dynamic, positioning faculty and staff as the primary agents of quality improvement rather than its reluctant subjects. When instructors participate authentically in designing learning outcomes, selecting assessment methods, analyzing results, and implementing evidence-based improvements, they develop genuine ownership of the quality improvement process. This ownership transforms assessment from an externally imposed requirement into an internally valued professional practice—a natural extension of the scholarly commitment to evidence and the pedagogical commitment to student learning.</w:t>
      </w:r>
    </w:p>
    <w:p>
      <w:pPr>
        <w:pStyle w:val="Normal"/>
      </w:pPr>
      <w:r>
        <w:rPr>
          <w:b/>
        </w:rPr>
        <w:t xml:space="preserve">The learning organization as organizational aspiration. Senge's [5] concept of the learning organization provides the theoretical capstone for CQI culture. As depicted in the center of Figure 3, the five disciplines of the learning organization constitute the CQI culture that integrates and sustains the ALR cycle. A learning organization embodies five interrelated disciplines: personal mastery (individual commitment to continuous professional growth); mental models (systematic examination of shared assumptions); team learning (collective inquiry that transcends individual understanding); systems thinking (comprehension of complex interdependencies); and shared vision (collective aspiration that energizes and aligns effort). An institution that has achieved genuine CQI culture manifests these disciplines throughout its operations: its members pursue professional development not because it is required but because they are committed to growth; its shared assumptions are regularly surfaced and examined rather than remaining invisible and unchallenged; its teams engage in genuine dialogue rather than advocacy and debate; its leaders think systemically about the connections among institutional functions; and its community shares a compelling vision of educational quality that motivates collective effort.</w:t>
      </w:r>
    </w:p>
    <w:p>
      <w:pPr>
        <w:pStyle w:val="Normal"/>
      </w:pPr>
      <w:r>
        <w:rPr>
          <w:b/>
        </w:rPr>
        <w:t xml:space="preserve">Structural and cultural prerequisites.</w:t>
      </w:r>
      <w:r>
        <w:t xml:space="preserve"> Achieving CQI culture requires simultaneous attention to both structural enablers and cultural conditions. Structurally, institutions must develop the infrastructure for continuous improvement: regular assessment cycles with clear timelines and responsibilities; functioning program review processes that produce actionable findings; accessible data dashboards that put evidence in the hands of decision-makers; and governance mechanisms that ensure assessment findings genuinely inform resource allocation and policy development [30]. Culturally, institutions must cultivate values of intellectual curiosity, professional humility, and collective responsibility—values that make it acceptable to acknowledge challenges, learn from failures, and celebrate improvement rather than merely defend the status quo [51].</w:t>
      </w:r>
    </w:p>
    <w:p>
      <w:pPr>
        <w:pStyle w:val="Normal"/>
      </w:pPr>
      <w:r>
        <w:rPr>
          <w:b/>
        </w:rPr>
        <w:t xml:space="preserve">Leadership as cultural modeling. Leadership plays a critical role in establishing CQI culture—not through mandates and monitoring but through modeling and permission-giving (Table 4 identifies the progression from "top-down mandate" at Level 1 to "distributed leadership" at Levels 4 and 5). When presidents publicly engage with institutional data that reveals challenges; when provosts acknowledge areas needing improvement without defensiveness; when deans celebrate evidence of progress rather than only evidence of excellence; they signal that quality improvement is a shared institutional commitment rather than a peripheral administrative function. This modeling function is particularly important in the early stages of cultural transformation, when institutional actors are uncertain whether honest self-assessment will be rewarded or punished [9, 51].</w:t>
      </w:r>
    </w:p>
    <w:p>
      <w:pPr>
        <w:pStyle w:val="Normal"/>
      </w:pPr>
      <w:r>
        <w:rPr>
          <w:b/>
        </w:rPr>
        <w:t xml:space="preserve">Technology as CQI accelerator. Contemporary institutions can leverage technological infrastructure to dramatically accelerate the CQI cycle [32, 52]. As Table 3 indicates, the mature CQI model relies on real-time analytics, predictive modeling, and prescriptive intervention—capabilities enabled by learning analytics platforms and integrated information systems. Data analytics platforms enable real-time monitoring of key performance indicators that previously required months to compile. Learning management system data provide granular insight into student engagement patterns. Integrated planning software connects assessment findings to strategic priorities and resource allocation decisions. Automated early-warning systems identify at-risk students and trigger interventions before academic difficulties become insurmountable. These technological capabilities reduce the lag between evidence generation and responsive action—enabling the "rapid-cycle improvement" that distinguishes high-performing organizations from those trapped in slow feedback loops.</w:t>
      </w:r>
    </w:p>
    <w:p>
      <w:pPr>
        <w:pStyle w:val="Normal"/>
      </w:pPr>
      <w:r>
        <w:rPr>
          <w:b/>
        </w:rPr>
        <w:t xml:space="preserve">Figure 3. The Accountability-Learning-Renewal (ALR) Integrated Model</w:t>
      </w:r>
    </w:p>
    <w:p>
      <w:pPr>
        <w:pStyle w:val="CodeBlock"/>
      </w:pPr>
      <w:r>
        <w:t xml:space="preserve">┌─────────────────────────────────────────────────────────────────────────────┐</w:t>
      </w:r>
    </w:p>
    <w:p>
      <w:pPr>
        <w:pStyle w:val="CodeBlock"/>
      </w:pPr>
      <w:r>
        <w:t xml:space="preserve">│                                                                             │</w:t>
      </w:r>
    </w:p>
    <w:p>
      <w:pPr>
        <w:pStyle w:val="CodeBlock"/>
      </w:pPr>
      <w:r>
        <w:t xml:space="preserve">│              THE ACCOUNTABILITY-LEARNING-RENEWAL (ALR) MODEL                │</w:t>
      </w:r>
    </w:p>
    <w:p>
      <w:pPr>
        <w:pStyle w:val="CodeBlock"/>
      </w:pPr>
      <w:r>
        <w:t xml:space="preserve">│                                                                             │</w:t>
      </w:r>
    </w:p>
    <w:p>
      <w:pPr>
        <w:pStyle w:val="CodeBlock"/>
      </w:pPr>
      <w:r>
        <w:t xml:space="preserve">│                         ACCOUNTABILITY                                      │</w:t>
      </w:r>
    </w:p>
    <w:p>
      <w:pPr>
        <w:pStyle w:val="CodeBlock"/>
      </w:pPr>
      <w:r>
        <w:t xml:space="preserve">│                              ▲                                              │</w:t>
      </w:r>
    </w:p>
    <w:p>
      <w:pPr>
        <w:pStyle w:val="CodeBlock"/>
      </w:pPr>
      <w:r>
        <w:t xml:space="preserve">│                             /│\                                             │</w:t>
      </w:r>
    </w:p>
    <w:p>
      <w:pPr>
        <w:pStyle w:val="CodeBlock"/>
      </w:pPr>
      <w:r>
        <w:t xml:space="preserve">│                            / │ \                                            │</w:t>
      </w:r>
    </w:p>
    <w:p>
      <w:pPr>
        <w:pStyle w:val="CodeBlock"/>
      </w:pPr>
      <w:r>
        <w:t xml:space="preserve">│                           /  │  \                                           │</w:t>
      </w:r>
    </w:p>
    <w:p>
      <w:pPr>
        <w:pStyle w:val="CodeBlock"/>
      </w:pPr>
      <w:r>
        <w:t xml:space="preserve">│                          /   │   \                                          │</w:t>
      </w:r>
    </w:p>
    <w:p>
      <w:pPr>
        <w:pStyle w:val="CodeBlock"/>
      </w:pPr>
      <w:r>
        <w:t xml:space="preserve">│                         /    │    \                                         │</w:t>
      </w:r>
    </w:p>
    <w:p>
      <w:pPr>
        <w:pStyle w:val="CodeBlock"/>
      </w:pPr>
      <w:r>
        <w:t xml:space="preserve">│                        /     │     \                                        │</w:t>
      </w:r>
    </w:p>
    <w:p>
      <w:pPr>
        <w:pStyle w:val="CodeBlock"/>
      </w:pPr>
      <w:r>
        <w:t xml:space="preserve">│              Evidence /      │      \ Legitimacy                            │</w:t>
      </w:r>
    </w:p>
    <w:p>
      <w:pPr>
        <w:pStyle w:val="CodeBlock"/>
      </w:pPr>
      <w:r>
        <w:t xml:space="preserve">│              demands /       │       \ &amp; trust                              │</w:t>
      </w:r>
    </w:p>
    <w:p>
      <w:pPr>
        <w:pStyle w:val="CodeBlock"/>
      </w:pPr>
      <w:r>
        <w:t xml:space="preserve">│                     /        │        \                                     │</w:t>
      </w:r>
    </w:p>
    <w:p>
      <w:pPr>
        <w:pStyle w:val="CodeBlock"/>
      </w:pPr>
      <w:r>
        <w:t xml:space="preserve">│                    /         │         \                                    │</w:t>
      </w:r>
    </w:p>
    <w:p>
      <w:pPr>
        <w:pStyle w:val="CodeBlock"/>
      </w:pPr>
      <w:r>
        <w:t xml:space="preserve">│                   /    ┌─────┴─────┐    \                                  │</w:t>
      </w:r>
    </w:p>
    <w:p>
      <w:pPr>
        <w:pStyle w:val="CodeBlock"/>
      </w:pPr>
      <w:r>
        <w:t xml:space="preserve">│                  /     │           │     \                                  │</w:t>
      </w:r>
    </w:p>
    <w:p>
      <w:pPr>
        <w:pStyle w:val="CodeBlock"/>
      </w:pPr>
      <w:r>
        <w:t xml:space="preserve">│                 /      │    CQI    │      \                                 │</w:t>
      </w:r>
    </w:p>
    <w:p>
      <w:pPr>
        <w:pStyle w:val="CodeBlock"/>
      </w:pPr>
      <w:r>
        <w:t xml:space="preserve">│                /       │  CULTURE  │       \                                │</w:t>
      </w:r>
    </w:p>
    <w:p>
      <w:pPr>
        <w:pStyle w:val="CodeBlock"/>
      </w:pPr>
      <w:r>
        <w:t xml:space="preserve">│               /        │           │        \                               │</w:t>
      </w:r>
    </w:p>
    <w:p>
      <w:pPr>
        <w:pStyle w:val="CodeBlock"/>
      </w:pPr>
      <w:r>
        <w:t xml:space="preserve">│              /         │ • Systems │         \                              │</w:t>
      </w:r>
    </w:p>
    <w:p>
      <w:pPr>
        <w:pStyle w:val="CodeBlock"/>
      </w:pPr>
      <w:r>
        <w:t xml:space="preserve">│             /          │   thinking│          \                             │</w:t>
      </w:r>
    </w:p>
    <w:p>
      <w:pPr>
        <w:pStyle w:val="CodeBlock"/>
      </w:pPr>
      <w:r>
        <w:t xml:space="preserve">│            /           │ • Shared  │           \                            │</w:t>
      </w:r>
    </w:p>
    <w:p>
      <w:pPr>
        <w:pStyle w:val="CodeBlock"/>
      </w:pPr>
      <w:r>
        <w:t xml:space="preserve">│           /            │   vision  │            \                           │</w:t>
      </w:r>
    </w:p>
    <w:p>
      <w:pPr>
        <w:pStyle w:val="CodeBlock"/>
      </w:pPr>
      <w:r>
        <w:t xml:space="preserve">│          /             │ • Team    │             \                          │</w:t>
      </w:r>
    </w:p>
    <w:p>
      <w:pPr>
        <w:pStyle w:val="CodeBlock"/>
      </w:pPr>
      <w:r>
        <w:t xml:space="preserve">│         /              │   learning│              \                         │</w:t>
      </w:r>
    </w:p>
    <w:p>
      <w:pPr>
        <w:pStyle w:val="CodeBlock"/>
      </w:pPr>
      <w:r>
        <w:t xml:space="preserve">│        /               │ • Personal│               \                       │</w:t>
      </w:r>
    </w:p>
    <w:p>
      <w:pPr>
        <w:pStyle w:val="CodeBlock"/>
      </w:pPr>
      <w:r>
        <w:t xml:space="preserve">│       /                │   mastery │                \                       │</w:t>
      </w:r>
    </w:p>
    <w:p>
      <w:pPr>
        <w:pStyle w:val="CodeBlock"/>
      </w:pPr>
      <w:r>
        <w:t xml:space="preserve">│      /                 │ • Mental  │                 \                      │</w:t>
      </w:r>
    </w:p>
    <w:p>
      <w:pPr>
        <w:pStyle w:val="CodeBlock"/>
      </w:pPr>
      <w:r>
        <w:t xml:space="preserve">│     ▼                  │   models  │                  ▼                     │</w:t>
      </w:r>
    </w:p>
    <w:p>
      <w:pPr>
        <w:pStyle w:val="CodeBlock"/>
      </w:pPr>
      <w:r>
        <w:t xml:space="preserve">│  LEARNING ◄────────────┴───────────┴────────────► RENEWAL                  │</w:t>
      </w:r>
    </w:p>
    <w:p>
      <w:pPr>
        <w:pStyle w:val="CodeBlock"/>
      </w:pPr>
      <w:r>
        <w:t xml:space="preserve">│                                                                             │</w:t>
      </w:r>
    </w:p>
    <w:p>
      <w:pPr>
        <w:pStyle w:val="CodeBlock"/>
      </w:pPr>
      <w:r>
        <w:t xml:space="preserve">│  Self-knowledge           Mutual              Strategic                     │</w:t>
      </w:r>
    </w:p>
    <w:p>
      <w:pPr>
        <w:pStyle w:val="CodeBlock"/>
      </w:pPr>
      <w:r>
        <w:t xml:space="preserve">│  &amp; organizational    reinforcement &amp;          transformation               │</w:t>
      </w:r>
    </w:p>
    <w:p>
      <w:pPr>
        <w:pStyle w:val="CodeBlock"/>
      </w:pPr>
      <w:r>
        <w:t xml:space="preserve">│  intelligence         integration            &amp; adaptation                  │</w:t>
      </w:r>
    </w:p>
    <w:p>
      <w:pPr>
        <w:pStyle w:val="CodeBlock"/>
      </w:pPr>
      <w:r>
        <w:t xml:space="preserve">│                                                                             │</w:t>
      </w:r>
    </w:p>
    <w:p>
      <w:pPr>
        <w:pStyle w:val="CodeBlock"/>
      </w:pPr>
      <w:r>
        <w:t xml:space="preserve">│  ─────────────────────────────────────────────────────────────              │</w:t>
      </w:r>
    </w:p>
    <w:p>
      <w:pPr>
        <w:pStyle w:val="CodeBlock"/>
      </w:pPr>
      <w:r>
        <w:t xml:space="preserve">│  KEY DYNAMICS:                                                              │</w:t>
      </w:r>
    </w:p>
    <w:p>
      <w:pPr>
        <w:pStyle w:val="CodeBlock"/>
      </w:pPr>
      <w:r>
        <w:t xml:space="preserve">│  • Accountability → Learning: Evidence demands catalyze inquiry             │</w:t>
      </w:r>
    </w:p>
    <w:p>
      <w:pPr>
        <w:pStyle w:val="CodeBlock"/>
      </w:pPr>
      <w:r>
        <w:t xml:space="preserve">│  • Learning → Renewal: Self-knowledge enables strategic action              │</w:t>
      </w:r>
    </w:p>
    <w:p>
      <w:pPr>
        <w:pStyle w:val="CodeBlock"/>
      </w:pPr>
      <w:r>
        <w:t xml:space="preserve">│  • Renewal → Accountability: Transformation strengthens credibility         │</w:t>
      </w:r>
    </w:p>
    <w:p>
      <w:pPr>
        <w:pStyle w:val="CodeBlock"/>
      </w:pPr>
      <w:r>
        <w:t xml:space="preserve">│  • CQI Culture: The integrating force that sustains the cycle               │</w:t>
      </w:r>
    </w:p>
    <w:p>
      <w:pPr>
        <w:pStyle w:val="CodeBlock"/>
      </w:pPr>
      <w:r>
        <w:t xml:space="preserve">│                                                                             │</w:t>
      </w:r>
    </w:p>
    <w:p>
      <w:pPr>
        <w:pStyle w:val="CodeBlock"/>
      </w:pPr>
      <w:r>
        <w:t xml:space="preserve">└─────────────────────────────────────────────────────────────────────────────┘</w:t>
      </w:r>
    </w:p>
    <w:p>
      <w:pPr>
        <w:pStyle w:val="Normal"/>
      </w:pPr>
      <w:r>
        <w:t xml:space="preserve"/>
      </w:r>
    </w:p>
    <w:p>
      <w:pPr>
        <w:pStyle w:val="Caption"/>
      </w:pPr>
      <w:r>
        <w:rPr>
          <w:i/>
        </w:rPr>
        <w:t xml:space="preserve">Figure 3 presents the integrated Accountability-Learning-Renewal (ALR) model that constitutes this paper's central theoretical contribution. The triangular structure illustrates the three dimensions as co-equal and mutually reinforcing, with bidirectional arrows indicating that each dimension both enables and is enabled by the others. The CQI culture at the center represents the integrating force—the organizational ethos—that sustains the cycle and prevents any single dimension from dominating or atrophying. The key dynamics listed below the triangle articulate the specific mechanisms through which each dimension catalyzes the others.</w:t>
      </w:r>
    </w:p>
    <w:p>
      <w:pPr>
        <w:pStyle w:val="Normal"/>
      </w:pPr>
      <w:r>
        <w:t xml:space="preserve"/>
      </w:r>
    </w:p>
    <w:p>
      <w:pPr>
        <w:pStyle w:val="Normal"/>
      </w:pPr>
      <w:r>
        <w:rPr>
          <w:b/>
        </w:rPr>
        <w:t xml:space="preserve">Table 4. Institutional Maturity Matrix: Assessing ALR Integration</w:t>
      </w:r>
    </w:p>
    <w:tbl>
      <w:tblPr>
        <w:tblStyle w:val="TableGrid"/>
        <w:tblW w:w="5000" w:type="pct"/>
        <w:tblLook w:val="04A0"/>
      </w:tblPr>
      <w:tr>
        <w:trPr>
          <w:tblHeader/>
        </w:trPr>
        <w:tc>
          <w:tcPr>
            <w:tcW w:w="0" w:type="auto"/>
          </w:tcPr>
          <w:p>
            <w:pPr>
              <w:spacing w:after="60"/>
            </w:pPr>
            <w:r>
              <w:rPr>
                <w:b/>
                <w:sz w:val="18"/>
              </w:rPr>
              <w:t xml:space="preserve">Maturity Level</w:t>
            </w:r>
          </w:p>
        </w:tc>
        <w:tc>
          <w:tcPr>
            <w:tcW w:w="0" w:type="auto"/>
          </w:tcPr>
          <w:p>
            <w:pPr>
              <w:spacing w:after="60"/>
            </w:pPr>
            <w:r>
              <w:rPr>
                <w:b/>
                <w:sz w:val="18"/>
              </w:rPr>
              <w:t xml:space="preserve">Accountability Posture</w:t>
            </w:r>
          </w:p>
        </w:tc>
        <w:tc>
          <w:tcPr>
            <w:tcW w:w="0" w:type="auto"/>
          </w:tcPr>
          <w:p>
            <w:pPr>
              <w:spacing w:after="60"/>
            </w:pPr>
            <w:r>
              <w:rPr>
                <w:b/>
                <w:sz w:val="18"/>
              </w:rPr>
              <w:t xml:space="preserve">Learning Capacity</w:t>
            </w:r>
          </w:p>
        </w:tc>
        <w:tc>
          <w:tcPr>
            <w:tcW w:w="0" w:type="auto"/>
          </w:tcPr>
          <w:p>
            <w:pPr>
              <w:spacing w:after="60"/>
            </w:pPr>
            <w:r>
              <w:rPr>
                <w:b/>
                <w:sz w:val="18"/>
              </w:rPr>
              <w:t xml:space="preserve">Renewal Orientation</w:t>
            </w:r>
          </w:p>
        </w:tc>
        <w:tc>
          <w:tcPr>
            <w:tcW w:w="0" w:type="auto"/>
          </w:tcPr>
          <w:p>
            <w:pPr>
              <w:spacing w:after="60"/>
            </w:pPr>
            <w:r>
              <w:rPr>
                <w:b/>
                <w:sz w:val="18"/>
              </w:rPr>
              <w:t xml:space="preserve">Organizational Indicators</w:t>
            </w:r>
          </w:p>
        </w:tc>
        <w:tc>
          <w:tcPr>
            <w:tcW w:w="0" w:type="auto"/>
          </w:tcPr>
          <w:p>
            <w:pPr>
              <w:spacing w:after="60"/>
            </w:pPr>
            <w:r>
              <w:rPr>
                <w:b/>
                <w:sz w:val="18"/>
              </w:rPr>
              <w:t xml:space="preserve">Accreditation Experience</w:t>
            </w:r>
          </w:p>
        </w:tc>
      </w:tr>
      <w:tr>
        <w:tc>
          <w:tcPr>
            <w:tcW w:w="0" w:type="auto"/>
          </w:tcPr>
          <w:p>
            <w:pPr>
              <w:spacing w:after="60"/>
            </w:pPr>
            <w:r>
              <w:rPr>
                <w:sz w:val="18"/>
              </w:rPr>
              <w:t xml:space="preserve">**Level 1: Reactive Compliance**</w:t>
            </w:r>
          </w:p>
        </w:tc>
        <w:tc>
          <w:tcPr>
            <w:tcW w:w="0" w:type="auto"/>
          </w:tcPr>
          <w:p>
            <w:pPr>
              <w:spacing w:after="60"/>
            </w:pPr>
            <w:r>
              <w:rPr>
                <w:sz w:val="18"/>
              </w:rPr>
              <w:t xml:space="preserve">Defensive; minimal documentation; crisis-driven</w:t>
            </w:r>
          </w:p>
        </w:tc>
        <w:tc>
          <w:tcPr>
            <w:tcW w:w="0" w:type="auto"/>
          </w:tcPr>
          <w:p>
            <w:pPr>
              <w:spacing w:after="60"/>
            </w:pPr>
            <w:r>
              <w:rPr>
                <w:sz w:val="18"/>
              </w:rPr>
              <w:t xml:space="preserve">Absent or superficial; data collected but not analyzed</w:t>
            </w:r>
          </w:p>
        </w:tc>
        <w:tc>
          <w:tcPr>
            <w:tcW w:w="0" w:type="auto"/>
          </w:tcPr>
          <w:p>
            <w:pPr>
              <w:spacing w:after="60"/>
            </w:pPr>
            <w:r>
              <w:rPr>
                <w:sz w:val="18"/>
              </w:rPr>
              <w:t xml:space="preserve">None; change occurs only under external pressure</w:t>
            </w:r>
          </w:p>
        </w:tc>
        <w:tc>
          <w:tcPr>
            <w:tcW w:w="0" w:type="auto"/>
          </w:tcPr>
          <w:p>
            <w:pPr>
              <w:spacing w:after="60"/>
            </w:pPr>
            <w:r>
              <w:rPr>
                <w:sz w:val="18"/>
              </w:rPr>
              <w:t xml:space="preserve">Siloed operations; accreditation coordinator as sole owner; episodic engagement</w:t>
            </w:r>
          </w:p>
        </w:tc>
        <w:tc>
          <w:tcPr>
            <w:tcW w:w="0" w:type="auto"/>
          </w:tcPr>
          <w:p>
            <w:pPr>
              <w:spacing w:after="60"/>
            </w:pPr>
            <w:r>
              <w:rPr>
                <w:sz w:val="18"/>
              </w:rPr>
              <w:t xml:space="preserve">Stressful; experienced as threat; minimal lasting impact</w:t>
            </w:r>
          </w:p>
        </w:tc>
      </w:tr>
      <w:tr>
        <w:tc>
          <w:tcPr>
            <w:tcW w:w="0" w:type="auto"/>
          </w:tcPr>
          <w:p>
            <w:pPr>
              <w:spacing w:after="60"/>
            </w:pPr>
            <w:r>
              <w:rPr>
                <w:sz w:val="18"/>
              </w:rPr>
              <w:t xml:space="preserve">**Level 2: Structured Compliance**</w:t>
            </w:r>
          </w:p>
        </w:tc>
        <w:tc>
          <w:tcPr>
            <w:tcW w:w="0" w:type="auto"/>
          </w:tcPr>
          <w:p>
            <w:pPr>
              <w:spacing w:after="60"/>
            </w:pPr>
            <w:r>
              <w:rPr>
                <w:sz w:val="18"/>
              </w:rPr>
              <w:t xml:space="preserve">Systematic; well-organized documentation; standard-aligned</w:t>
            </w:r>
          </w:p>
        </w:tc>
        <w:tc>
          <w:tcPr>
            <w:tcW w:w="0" w:type="auto"/>
          </w:tcPr>
          <w:p>
            <w:pPr>
              <w:spacing w:after="60"/>
            </w:pPr>
            <w:r>
              <w:rPr>
                <w:sz w:val="18"/>
              </w:rPr>
              <w:t xml:space="preserve">Emerging; data analyzed for reporting; limited use in decisions</w:t>
            </w:r>
          </w:p>
        </w:tc>
        <w:tc>
          <w:tcPr>
            <w:tcW w:w="0" w:type="auto"/>
          </w:tcPr>
          <w:p>
            <w:pPr>
              <w:spacing w:after="60"/>
            </w:pPr>
            <w:r>
              <w:rPr>
                <w:sz w:val="18"/>
              </w:rPr>
              <w:t xml:space="preserve">Minimal; improvement plans written but inconsistently implemented</w:t>
            </w:r>
          </w:p>
        </w:tc>
        <w:tc>
          <w:tcPr>
            <w:tcW w:w="0" w:type="auto"/>
          </w:tcPr>
          <w:p>
            <w:pPr>
              <w:spacing w:after="60"/>
            </w:pPr>
            <w:r>
              <w:rPr>
                <w:sz w:val="18"/>
              </w:rPr>
              <w:t xml:space="preserve">Committees active during cycle; some cross-functional awareness; administrator-driven</w:t>
            </w:r>
          </w:p>
        </w:tc>
        <w:tc>
          <w:tcPr>
            <w:tcW w:w="0" w:type="auto"/>
          </w:tcPr>
          <w:p>
            <w:pPr>
              <w:spacing w:after="60"/>
            </w:pPr>
            <w:r>
              <w:rPr>
                <w:sz w:val="18"/>
              </w:rPr>
              <w:t xml:space="preserve">Manageable; produces useful report; improvements attempted</w:t>
            </w:r>
          </w:p>
        </w:tc>
      </w:tr>
      <w:tr>
        <w:tc>
          <w:tcPr>
            <w:tcW w:w="0" w:type="auto"/>
          </w:tcPr>
          <w:p>
            <w:pPr>
              <w:spacing w:after="60"/>
            </w:pPr>
            <w:r>
              <w:rPr>
                <w:sz w:val="18"/>
              </w:rPr>
              <w:t xml:space="preserve">**Level 3: Integrated Assessment**</w:t>
            </w:r>
          </w:p>
        </w:tc>
        <w:tc>
          <w:tcPr>
            <w:tcW w:w="0" w:type="auto"/>
          </w:tcPr>
          <w:p>
            <w:pPr>
              <w:spacing w:after="60"/>
            </w:pPr>
            <w:r>
              <w:rPr>
                <w:sz w:val="18"/>
              </w:rPr>
              <w:t xml:space="preserve">Proactive; continuous evidence gathering; transparent reporting</w:t>
            </w:r>
          </w:p>
        </w:tc>
        <w:tc>
          <w:tcPr>
            <w:tcW w:w="0" w:type="auto"/>
          </w:tcPr>
          <w:p>
            <w:pPr>
              <w:spacing w:after="60"/>
            </w:pPr>
            <w:r>
              <w:rPr>
                <w:sz w:val="18"/>
              </w:rPr>
              <w:t xml:space="preserve">Developing; assessment embedded in programs; loop partially closed</w:t>
            </w:r>
          </w:p>
        </w:tc>
        <w:tc>
          <w:tcPr>
            <w:tcW w:w="0" w:type="auto"/>
          </w:tcPr>
          <w:p>
            <w:pPr>
              <w:spacing w:after="60"/>
            </w:pPr>
            <w:r>
              <w:rPr>
                <w:sz w:val="18"/>
              </w:rPr>
              <w:t xml:space="preserve">Growing; findings inform planning; strategic connections forming</w:t>
            </w:r>
          </w:p>
        </w:tc>
        <w:tc>
          <w:tcPr>
            <w:tcW w:w="0" w:type="auto"/>
          </w:tcPr>
          <w:p>
            <w:pPr>
              <w:spacing w:after="60"/>
            </w:pPr>
            <w:r>
              <w:rPr>
                <w:sz w:val="18"/>
              </w:rPr>
              <w:t xml:space="preserve">Faculty engaged in assessment; data systems maturing; annual cycles emerging</w:t>
            </w:r>
          </w:p>
        </w:tc>
        <w:tc>
          <w:tcPr>
            <w:tcW w:w="0" w:type="auto"/>
          </w:tcPr>
          <w:p>
            <w:pPr>
              <w:spacing w:after="60"/>
            </w:pPr>
            <w:r>
              <w:rPr>
                <w:sz w:val="18"/>
              </w:rPr>
              <w:t xml:space="preserve">Productive; generates genuine insights; improvement becoming habitual</w:t>
            </w:r>
          </w:p>
        </w:tc>
      </w:tr>
      <w:tr>
        <w:tc>
          <w:tcPr>
            <w:tcW w:w="0" w:type="auto"/>
          </w:tcPr>
          <w:p>
            <w:pPr>
              <w:spacing w:after="60"/>
            </w:pPr>
            <w:r>
              <w:rPr>
                <w:sz w:val="18"/>
              </w:rPr>
              <w:t xml:space="preserve">**Level 4: Organizational Learning**</w:t>
            </w:r>
          </w:p>
        </w:tc>
        <w:tc>
          <w:tcPr>
            <w:tcW w:w="0" w:type="auto"/>
          </w:tcPr>
          <w:p>
            <w:pPr>
              <w:spacing w:after="60"/>
            </w:pPr>
            <w:r>
              <w:rPr>
                <w:sz w:val="18"/>
              </w:rPr>
              <w:t xml:space="preserve">Sophisticated; evidence-informed culture; self-correcting systems</w:t>
            </w:r>
          </w:p>
        </w:tc>
        <w:tc>
          <w:tcPr>
            <w:tcW w:w="0" w:type="auto"/>
          </w:tcPr>
          <w:p>
            <w:pPr>
              <w:spacing w:after="60"/>
            </w:pPr>
            <w:r>
              <w:rPr>
                <w:sz w:val="18"/>
              </w:rPr>
              <w:t xml:space="preserve">Mature; double-loop learning occurring; assumptions examined</w:t>
            </w:r>
          </w:p>
        </w:tc>
        <w:tc>
          <w:tcPr>
            <w:tcW w:w="0" w:type="auto"/>
          </w:tcPr>
          <w:p>
            <w:pPr>
              <w:spacing w:after="60"/>
            </w:pPr>
            <w:r>
              <w:rPr>
                <w:sz w:val="18"/>
              </w:rPr>
              <w:t xml:space="preserve">Active; strategic planning driven by evidence; innovation emerging</w:t>
            </w:r>
          </w:p>
        </w:tc>
        <w:tc>
          <w:tcPr>
            <w:tcW w:w="0" w:type="auto"/>
          </w:tcPr>
          <w:p>
            <w:pPr>
              <w:spacing w:after="60"/>
            </w:pPr>
            <w:r>
              <w:rPr>
                <w:sz w:val="18"/>
              </w:rPr>
              <w:t xml:space="preserve">Learning organization disciplines evident; psychological safety established; distributed leadership</w:t>
            </w:r>
          </w:p>
        </w:tc>
        <w:tc>
          <w:tcPr>
            <w:tcW w:w="0" w:type="auto"/>
          </w:tcPr>
          <w:p>
            <w:pPr>
              <w:spacing w:after="60"/>
            </w:pPr>
            <w:r>
              <w:rPr>
                <w:sz w:val="18"/>
              </w:rPr>
              <w:t xml:space="preserve">Energizing; experienced as valuable; continuous rather than episodic</w:t>
            </w:r>
          </w:p>
        </w:tc>
      </w:tr>
      <w:tr>
        <w:tc>
          <w:tcPr>
            <w:tcW w:w="0" w:type="auto"/>
          </w:tcPr>
          <w:p>
            <w:pPr>
              <w:spacing w:after="60"/>
            </w:pPr>
            <w:r>
              <w:rPr>
                <w:sz w:val="18"/>
              </w:rPr>
              <w:t xml:space="preserve">**Level 5: Transformative Renewal**</w:t>
            </w:r>
          </w:p>
        </w:tc>
        <w:tc>
          <w:tcPr>
            <w:tcW w:w="0" w:type="auto"/>
          </w:tcPr>
          <w:p>
            <w:pPr>
              <w:spacing w:after="60"/>
            </w:pPr>
            <w:r>
              <w:rPr>
                <w:sz w:val="18"/>
              </w:rPr>
              <w:t xml:space="preserve">Exemplary; accountability as natural byproduct of excellence culture</w:t>
            </w:r>
          </w:p>
        </w:tc>
        <w:tc>
          <w:tcPr>
            <w:tcW w:w="0" w:type="auto"/>
          </w:tcPr>
          <w:p>
            <w:pPr>
              <w:spacing w:after="60"/>
            </w:pPr>
            <w:r>
              <w:rPr>
                <w:sz w:val="18"/>
              </w:rPr>
              <w:t xml:space="preserve">Advanced; organizational intelligence generating foresight and prediction</w:t>
            </w:r>
          </w:p>
        </w:tc>
        <w:tc>
          <w:tcPr>
            <w:tcW w:w="0" w:type="auto"/>
          </w:tcPr>
          <w:p>
            <w:pPr>
              <w:spacing w:after="60"/>
            </w:pPr>
            <w:r>
              <w:rPr>
                <w:sz w:val="18"/>
              </w:rPr>
              <w:t xml:space="preserve">Transformative; institution continuously reinventing while maintaining coherence</w:t>
            </w:r>
          </w:p>
        </w:tc>
        <w:tc>
          <w:tcPr>
            <w:tcW w:w="0" w:type="auto"/>
          </w:tcPr>
          <w:p>
            <w:pPr>
              <w:spacing w:after="60"/>
            </w:pPr>
            <w:r>
              <w:rPr>
                <w:sz w:val="18"/>
              </w:rPr>
              <w:t xml:space="preserve">CQI culture fully embedded; all dimensions mutually reinforcing; institution serves as model</w:t>
            </w:r>
          </w:p>
        </w:tc>
        <w:tc>
          <w:tcPr>
            <w:tcW w:w="0" w:type="auto"/>
          </w:tcPr>
          <w:p>
            <w:pPr>
              <w:spacing w:after="60"/>
            </w:pPr>
            <w:r>
              <w:rPr>
                <w:sz w:val="18"/>
              </w:rPr>
              <w:t xml:space="preserve">Effortless; accreditation is natural expression of institutional way of being</w:t>
            </w:r>
          </w:p>
        </w:tc>
      </w:tr>
    </w:tbl>
    <w:p>
      <w:pPr>
        <w:pStyle w:val="Normal"/>
      </w:pPr>
      <w:r>
        <w:t xml:space="preserve"/>
      </w:r>
    </w:p>
    <w:p>
      <w:pPr>
        <w:pStyle w:val="Heading2"/>
      </w:pPr>
      <w:r>
        <w:rPr>
          <w:b/>
        </w:rPr>
        <w:t xml:space="preserve">4.4 The Future of Accreditation: Evolving the Process to Match the Promise</w:t>
      </w:r>
    </w:p>
    <w:p>
      <w:pPr>
        <w:pStyle w:val="Normal"/>
      </w:pPr>
      <w:r>
        <w:t xml:space="preserve">If institutions must evolve to realize accreditation's transformative potential, accrediting bodies themselves face a parallel imperative for self-renewal. The future credibility and relevance of accreditation depend on the capacity of accrediting organizations to evolve their standards, processes, and relationships in ways that support rather than constrain institutional innovation and learning.</w:t>
      </w:r>
    </w:p>
    <w:p>
      <w:pPr>
        <w:pStyle w:val="Normal"/>
      </w:pPr>
      <w:r>
        <w:rPr>
          <w:b/>
        </w:rPr>
        <w:t xml:space="preserve">Risk-based and differentiated review. One promising evolutionary direction involves the development of risk-based review approaches that differentiate the intensity and focus of accreditation oversight based on institutional track record and demonstrated capacity for self-assessment [44]. As Table 4 suggests, institutions operating at Level 4 or Level 5 of the maturity matrix demonstrate the self-correcting capacity that warrants streamlined oversight, while those at Levels 1 or 2 require more intensive engagement. Institutions with established CQI cultures and strong track records might undergo streamlined reviews focused on continued innovation and strategic direction, while institutions showing signs of difficulty receive more intensive scrutiny and support. This differentiation acknowledges that a one-size-fits-all approach to accreditation review wastes resources and creates perverse incentives—requiring mature institutions to document what they have long demonstrated while potentially giving inadequate attention to institutions that most need oversight and assistance.</w:t>
      </w:r>
    </w:p>
    <w:p>
      <w:pPr>
        <w:pStyle w:val="Normal"/>
      </w:pPr>
      <w:r>
        <w:rPr>
          <w:b/>
        </w:rPr>
        <w:t xml:space="preserve">Technology-enhanced review processes.</w:t>
      </w:r>
      <w:r>
        <w:t xml:space="preserve"> The integration of technology into accreditation review offers opportunities to reduce burden while increasing insight [52]. Real-time data dashboards could replace much of the documentation currently compiled specifically for accreditation visits. Virtual site visits and ongoing digital engagement could complement or partially replace traditional on-site reviews. Analytics platforms could enable accrediting bodies to monitor institutional trajectories continuously rather than assessing them episodically. These technological enhancements could shift the accreditation relationship from periodic inspection to ongoing partnership—a transformation that more closely aligns with the CQI model advocated in this paper.</w:t>
      </w:r>
    </w:p>
    <w:p>
      <w:pPr>
        <w:pStyle w:val="Normal"/>
      </w:pPr>
      <w:r>
        <w:rPr>
          <w:b/>
        </w:rPr>
        <w:t xml:space="preserve">Internationalization and mutual recognition.</w:t>
      </w:r>
      <w:r>
        <w:t xml:space="preserve"> In an era of global student mobility and cross-border educational delivery, accreditation must develop genuinely international dimensions [16]. This requires not only the recognition of credentials across national boundaries but the development of shared frameworks for quality assurance that accommodate cultural diversity while maintaining meaningful standards. International mutual recognition agreements, cross-border joint reviews, and the development of global quality assurance principles represent frontier developments that will shape accreditation's evolution in coming decades.</w:t>
      </w:r>
    </w:p>
    <w:p>
      <w:pPr>
        <w:pStyle w:val="Normal"/>
      </w:pPr>
      <w:r>
        <w:rPr>
          <w:b/>
        </w:rPr>
        <w:t xml:space="preserve">From gatekeeping to partnership.</w:t>
      </w:r>
      <w:r>
        <w:t xml:space="preserve"> Perhaps most fundamentally, the future of accreditation requires a philosophical evolution from a primarily gatekeeping orientation—determining which institutions are "in" and which are "out"—toward a primarily developmental orientation that emphasizes institutional growth, learning, and continuous improvement [9]. This evolution does not abandon the gatekeeping function; minimum standards and consequences for egregious failure remain essential for public protection. But it subordinates gatekeeping to a larger purpose: supporting institutions in their continuous pursuit of excellence and their ongoing adaptation to changing circumstances. The accreditor's role, in this evolved model, is less that of a judge pronouncing verdict and more that of a critical friend offering perspective, challenge, and support.</w:t>
      </w:r>
    </w:p>
    <w:p>
      <w:pPr>
        <w:pStyle w:val="Normal"/>
      </w:pPr>
      <w:r>
        <w:rPr>
          <w:b/>
        </w:rPr>
        <w:t xml:space="preserve">Figure 4. The Accreditation Renewal Timeline: Strategic Integration Across the Cycle</w:t>
      </w:r>
    </w:p>
    <w:p>
      <w:pPr>
        <w:pStyle w:val="CodeBlock"/>
      </w:pPr>
      <w:r>
        <w:t xml:space="preserve">┌─────────────────────────────────────────────────────────────────────────────┐</w:t>
      </w:r>
    </w:p>
    <w:p>
      <w:pPr>
        <w:pStyle w:val="CodeBlock"/>
      </w:pPr>
      <w:r>
        <w:t xml:space="preserve">│                                                                             │</w:t>
      </w:r>
    </w:p>
    <w:p>
      <w:pPr>
        <w:pStyle w:val="CodeBlock"/>
      </w:pPr>
      <w:r>
        <w:t xml:space="preserve">│         STRATEGIC INTEGRATION ACROSS THE ACCREDITATION CYCLE                │</w:t>
      </w:r>
    </w:p>
    <w:p>
      <w:pPr>
        <w:pStyle w:val="CodeBlock"/>
      </w:pPr>
      <w:r>
        <w:t xml:space="preserve">│                  (10-Year Reaffirmation Model)                              │</w:t>
      </w:r>
    </w:p>
    <w:p>
      <w:pPr>
        <w:pStyle w:val="CodeBlock"/>
      </w:pPr>
      <w:r>
        <w:t xml:space="preserve">│                                                                             │</w:t>
      </w:r>
    </w:p>
    <w:p>
      <w:pPr>
        <w:pStyle w:val="CodeBlock"/>
      </w:pPr>
      <w:r>
        <w:t xml:space="preserve">│  Year 1-2          Year 3-4          Year 5-6          Year 7-8    Year 9-10│</w:t>
      </w:r>
    </w:p>
    <w:p>
      <w:pPr>
        <w:pStyle w:val="CodeBlock"/>
      </w:pPr>
      <w:r>
        <w:t xml:space="preserve">│  ─────────────────────────────────────────────────────────────────────────  │</w:t>
      </w:r>
    </w:p>
    <w:p>
      <w:pPr>
        <w:pStyle w:val="CodeBlock"/>
      </w:pPr>
      <w:r>
        <w:t xml:space="preserve">│                                                                             │</w:t>
      </w:r>
    </w:p>
    <w:p>
      <w:pPr>
        <w:pStyle w:val="CodeBlock"/>
      </w:pPr>
      <w:r>
        <w:t xml:space="preserve">│  ┌───────────┐   ┌───────────┐   ┌───────────┐   ┌───────────┐ ┌────────┐ │</w:t>
      </w:r>
    </w:p>
    <w:p>
      <w:pPr>
        <w:pStyle w:val="CodeBlock"/>
      </w:pPr>
      <w:r>
        <w:t xml:space="preserve">│  │  STRATEGIC │   │IMPLEMENTA-│   │ MID-CYCLE │   │  ASSESS &amp; │ │SELF-   │ │</w:t>
      </w:r>
    </w:p>
    <w:p>
      <w:pPr>
        <w:pStyle w:val="CodeBlock"/>
      </w:pPr>
      <w:r>
        <w:t xml:space="preserve">│  │  VISIONING │   │   TION    │   │  REVIEW   │   │  REFINE   │ │STUDY &amp; │ │</w:t>
      </w:r>
    </w:p>
    <w:p>
      <w:pPr>
        <w:pStyle w:val="CodeBlock"/>
      </w:pPr>
      <w:r>
        <w:t xml:space="preserve">│  │  &amp; PLANNING│   │ &amp; PILOTING│   │&amp; CHECKING │   │           │ │REVIEW  │ │</w:t>
      </w:r>
    </w:p>
    <w:p>
      <w:pPr>
        <w:pStyle w:val="CodeBlock"/>
      </w:pPr>
      <w:r>
        <w:t xml:space="preserve">│  └─────┬─────┘   └─────┬─────┘   └─────┬─────┘   └─────┬─────┘ └───┬────┘ │</w:t>
      </w:r>
    </w:p>
    <w:p>
      <w:pPr>
        <w:pStyle w:val="CodeBlock"/>
      </w:pPr>
      <w:r>
        <w:t xml:space="preserve">│        │               │               │               │            │      │</w:t>
      </w:r>
    </w:p>
    <w:p>
      <w:pPr>
        <w:pStyle w:val="CodeBlock"/>
      </w:pPr>
      <w:r>
        <w:t xml:space="preserve">│        ▼               ▼               ▼               ▼            ▼      │</w:t>
      </w:r>
    </w:p>
    <w:p>
      <w:pPr>
        <w:pStyle w:val="CodeBlock"/>
      </w:pPr>
      <w:r>
        <w:t xml:space="preserve">│  ┌───────────┐   ┌───────────┐   ┌───────────┐   ┌───────────┐ ┌────────┐ │</w:t>
      </w:r>
    </w:p>
    <w:p>
      <w:pPr>
        <w:pStyle w:val="CodeBlock"/>
      </w:pPr>
      <w:r>
        <w:t xml:space="preserve">│  │• Bold goals│   │• New prog-│   │• Progress │   │• Outcome  │ │• Compre│ │</w:t>
      </w:r>
    </w:p>
    <w:p>
      <w:pPr>
        <w:pStyle w:val="CodeBlock"/>
      </w:pPr>
      <w:r>
        <w:t xml:space="preserve">│  │  informed  │   │  rams     │   │  against  │   │  evaluati-│ │  hensive│ │</w:t>
      </w:r>
    </w:p>
    <w:p>
      <w:pPr>
        <w:pStyle w:val="CodeBlock"/>
      </w:pPr>
      <w:r>
        <w:t xml:space="preserve">│  │  by prior  │   │  launched │   │  goals    │   │  on       │ │  self-  │ │</w:t>
      </w:r>
    </w:p>
    <w:p>
      <w:pPr>
        <w:pStyle w:val="CodeBlock"/>
      </w:pPr>
      <w:r>
        <w:t xml:space="preserve">│  │  review    │   │• Pedagogi-│   │• Data     │   │• Course   │ │  examina│ │</w:t>
      </w:r>
    </w:p>
    <w:p>
      <w:pPr>
        <w:pStyle w:val="CodeBlock"/>
      </w:pPr>
      <w:r>
        <w:t xml:space="preserve">│  │• Mission   │   │  cal inno-│   │  systems  │   │  correct- │ │  tion   │ │</w:t>
      </w:r>
    </w:p>
    <w:p>
      <w:pPr>
        <w:pStyle w:val="CodeBlock"/>
      </w:pPr>
      <w:r>
        <w:t xml:space="preserve">│  │  reexamina-│   │  vations  │   │  refined  │   │  ion      │ │• Peer   │ │</w:t>
      </w:r>
    </w:p>
    <w:p>
      <w:pPr>
        <w:pStyle w:val="CodeBlock"/>
      </w:pPr>
      <w:r>
        <w:t xml:space="preserve">│  │  tion      │   │  tested   │   │• Mid-term │   │• Evidence │ │  review │ │</w:t>
      </w:r>
    </w:p>
    <w:p>
      <w:pPr>
        <w:pStyle w:val="CodeBlock"/>
      </w:pPr>
      <w:r>
        <w:t xml:space="preserve">│  │• Resource  │   │• Faculty  │   │  adjust-  │   │  compiled │ │• Reaffir│ │</w:t>
      </w:r>
    </w:p>
    <w:p>
      <w:pPr>
        <w:pStyle w:val="CodeBlock"/>
      </w:pPr>
      <w:r>
        <w:t xml:space="preserve">│  │  reallocat-│   │  develop- │   │  ments    │   │• Story of │ │  mation │ │</w:t>
      </w:r>
    </w:p>
    <w:p>
      <w:pPr>
        <w:pStyle w:val="CodeBlock"/>
      </w:pPr>
      <w:r>
        <w:t xml:space="preserve">│  │  ion       │   │  ment     │   │• Report   │   │  improve- │ │  decision│ │</w:t>
      </w:r>
    </w:p>
    <w:p>
      <w:pPr>
        <w:pStyle w:val="CodeBlock"/>
      </w:pPr>
      <w:r>
        <w:t xml:space="preserve">│  │• Capacity  │   │• Infrastr-│   │  to       │   │  ment     │ │         │ │</w:t>
      </w:r>
    </w:p>
    <w:p>
      <w:pPr>
        <w:pStyle w:val="CodeBlock"/>
      </w:pPr>
      <w:r>
        <w:t xml:space="preserve">│  │  building  │   │  ucture   │   │  accreditor│  │  documented│ │         │ │</w:t>
      </w:r>
    </w:p>
    <w:p>
      <w:pPr>
        <w:pStyle w:val="CodeBlock"/>
      </w:pPr>
      <w:r>
        <w:t xml:space="preserve">│  └───────────┘   └───────────┘   └───────────┘   └───────────┘ └────────┘ │</w:t>
      </w:r>
    </w:p>
    <w:p>
      <w:pPr>
        <w:pStyle w:val="CodeBlock"/>
      </w:pPr>
      <w:r>
        <w:t xml:space="preserve">│                                                                             │</w:t>
      </w:r>
    </w:p>
    <w:p>
      <w:pPr>
        <w:pStyle w:val="CodeBlock"/>
      </w:pPr>
      <w:r>
        <w:t xml:space="preserve">│  ═══════════════════════════════════════════════════════════════════════════ │</w:t>
      </w:r>
    </w:p>
    <w:p>
      <w:pPr>
        <w:pStyle w:val="CodeBlock"/>
      </w:pPr>
      <w:r>
        <w:t xml:space="preserve">│  UNDERLYING CONTINUOUS PROCESSES (Operating Throughout):                     │</w:t>
      </w:r>
    </w:p>
    <w:p>
      <w:pPr>
        <w:pStyle w:val="CodeBlock"/>
      </w:pPr>
      <w:r>
        <w:t xml:space="preserve">│                                                                             │</w:t>
      </w:r>
    </w:p>
    <w:p>
      <w:pPr>
        <w:pStyle w:val="CodeBlock"/>
      </w:pPr>
      <w:r>
        <w:t xml:space="preserve">│  ► Annual assessment cycles    ► Regular program review                     │</w:t>
      </w:r>
    </w:p>
    <w:p>
      <w:pPr>
        <w:pStyle w:val="CodeBlock"/>
      </w:pPr>
      <w:r>
        <w:t xml:space="preserve">│  ► Ongoing data monitoring     ► Continuous stakeholder engagement          │</w:t>
      </w:r>
    </w:p>
    <w:p>
      <w:pPr>
        <w:pStyle w:val="CodeBlock"/>
      </w:pPr>
      <w:r>
        <w:t xml:space="preserve">│  ► Environmental scanning      ► Professional development investment        │</w:t>
      </w:r>
    </w:p>
    <w:p>
      <w:pPr>
        <w:pStyle w:val="CodeBlock"/>
      </w:pPr>
      <w:r>
        <w:t xml:space="preserve">│  ► Equity monitoring           ► Innovation incubation                      │</w:t>
      </w:r>
    </w:p>
    <w:p>
      <w:pPr>
        <w:pStyle w:val="CodeBlock"/>
      </w:pPr>
      <w:r>
        <w:t xml:space="preserve">│                                                                             │</w:t>
      </w:r>
    </w:p>
    <w:p>
      <w:pPr>
        <w:pStyle w:val="CodeBlock"/>
      </w:pPr>
      <w:r>
        <w:t xml:space="preserve">│  ═══════════════════════════════════════════════════════════════════════════ │</w:t>
      </w:r>
    </w:p>
    <w:p>
      <w:pPr>
        <w:pStyle w:val="CodeBlock"/>
      </w:pPr>
      <w:r>
        <w:t xml:space="preserve">│  OUTPUTS AT EACH PHASE:                                                     │</w:t>
      </w:r>
    </w:p>
    <w:p>
      <w:pPr>
        <w:pStyle w:val="CodeBlock"/>
      </w:pPr>
      <w:r>
        <w:t xml:space="preserve">│                                                                             │</w:t>
      </w:r>
    </w:p>
    <w:p>
      <w:pPr>
        <w:pStyle w:val="CodeBlock"/>
      </w:pPr>
      <w:r>
        <w:t xml:space="preserve">│  Strategic Plan → Implementation Evidence → Progress Report →               │</w:t>
      </w:r>
    </w:p>
    <w:p>
      <w:pPr>
        <w:pStyle w:val="CodeBlock"/>
      </w:pPr>
      <w:r>
        <w:t xml:space="preserve">│  Refined Strategy → Comprehensive Self-Study → Reaffirmation                │</w:t>
      </w:r>
    </w:p>
    <w:p>
      <w:pPr>
        <w:pStyle w:val="CodeBlock"/>
      </w:pPr>
      <w:r>
        <w:t xml:space="preserve">│                                                                             │</w:t>
      </w:r>
    </w:p>
    <w:p>
      <w:pPr>
        <w:pStyle w:val="CodeBlock"/>
      </w:pPr>
      <w:r>
        <w:t xml:space="preserve">└─────────────────────────────────────────────────────────────────────────────┘</w:t>
      </w:r>
    </w:p>
    <w:p>
      <w:pPr>
        <w:pStyle w:val="Normal"/>
      </w:pPr>
      <w:r>
        <w:t xml:space="preserve"/>
      </w:r>
    </w:p>
    <w:p>
      <w:pPr>
        <w:pStyle w:val="Caption"/>
      </w:pPr>
      <w:r>
        <w:rPr>
          <w:i/>
        </w:rPr>
        <w:t xml:space="preserve">Figure 4 illustrates how the accreditation cycle can be strategically integrated with institutional planning to create a rhythm of continuous renewal. The upper tier shows the five major phases across a ten-year reaffirmation cycle, each with specific strategic purposes and activities. The lower section emphasizes that continuous processes—annual assessment, ongoing monitoring, environmental scanning—operate throughout the cycle regardless of phase, preventing the feast-or-famine pattern that characterizes event-based approaches. This model positions accreditation not as a decennial disruption but as a strategic discipline that structures institutional transformation.</w:t>
      </w:r>
    </w:p>
    <w:p>
      <w:pPr>
        <w:pStyle w:val="Normal"/>
      </w:pPr>
      <w:r>
        <w:t xml:space="preserve"/>
      </w:r>
    </w:p>
    <w:p>
      <w:pPr>
        <w:pStyle w:val="Heading1"/>
      </w:pPr>
      <w:r>
        <w:rPr>
          <w:b/>
        </w:rPr>
        <w:t xml:space="preserve">5. Conclusion: Toward an Integrated Vision of Accreditation as Institutional Transformation</w:t>
      </w:r>
    </w:p>
    <w:p>
      <w:pPr>
        <w:pStyle w:val="Normal"/>
      </w:pPr>
      <w:r>
        <w:t xml:space="preserve">This paper has argued that accreditation in higher education achieves its fullest realization when understood not as a single function—neither merely accountability, nor merely learning, nor merely renewal—but as a dynamic, integrated cycle in which these three dimensions operate simultaneously and mutually reinforce one another. The Accountability-Learning-Renewal (ALR) model proposed here offers a framework for reconceiving accreditation as higher education's most underutilized instrument for institutional transformation.</w:t>
      </w:r>
    </w:p>
    <w:p>
      <w:pPr>
        <w:pStyle w:val="Normal"/>
      </w:pPr>
      <w:r>
        <w:t xml:space="preserve">The logic of the ALR model can be stated with clarity (as Figure 3 visualizes): </w:t>
      </w:r>
      <w:r>
        <w:rPr>
          <w:b/>
        </w:rPr>
        <w:t xml:space="preserve">Accountability without learning is bureaucratic compliance that satisfies external requirements without generating internal value. Learning without renewal is organizational self-knowledge that remains intellectual exercise without strategic consequence. Renewal without accountability is aspirational transformation without the evidentiary foundation and external validation necessary for sustainability and credibility.</w:t>
      </w:r>
      <w:r>
        <w:t xml:space="preserve"> Only when all three dimensions operate in concert—each catalyzing and being catalyzed by the others—does accreditation achieve its full transformative power.</w:t>
      </w:r>
    </w:p>
    <w:p>
      <w:pPr>
        <w:pStyle w:val="Normal"/>
      </w:pPr>
      <w:r>
        <w:t xml:space="preserve">The accountability dimension, examined in Section 2, establishes the non-negotiable foundation: the demonstration to multiple stakeholder constituencies that the institution meets its obligations for quality, integrity, and responsible stewardship of resources. In the contemporary regime of demonstrable proof, this accountability function has become existential rather than merely procedural—institutions that cannot credibly evidence their value risk not only reputational damage but the loss of resources upon which their operations depend. Yet accountability alone, when divorced from learning and renewal, degenerates into the pathologies of performative compliance, isomorphic homogenization, and strategic gaming that undermine rather than enhance genuine quality.</w:t>
      </w:r>
    </w:p>
    <w:p>
      <w:pPr>
        <w:pStyle w:val="Normal"/>
      </w:pPr>
      <w:r>
        <w:t xml:space="preserve">The learning dimension, examined in Section 3, transforms the mechanics of accreditation—self-study, evidence analysis, peer review—into a systematic architecture for building organizational intelligence (see Figure 2 for the cyclical model through which these elements interact). The self-study becomes an exercise in institutional epistemology, surfacing tacit knowledge, bridging organizational silos, revealing unknown unknowns, and establishing the longitudinal perspective necessary for strategic foresight (Table 2 maps these components to their learning types, cognitive processes, and organizational outcomes). The evidence culture transforms data from a compliance burden into an organizational asset—the foundation for predictive analytics, early intervention, and evidence-based decision-making. Peer review introduces the external perspective necessary to challenge organizational groupthink and catalyze new understanding. Together, these elements create conditions for both single-loop learning (correcting errors within existing frames) and double-loop learning (questioning and revising the frames themselves).</w:t>
      </w:r>
    </w:p>
    <w:p>
      <w:pPr>
        <w:pStyle w:val="Normal"/>
      </w:pPr>
      <w:r>
        <w:t xml:space="preserve">The renewal dimension, examined in Section 4, translates organizational learning into strategic action, structural adaptation, and cultural transformation. It positions accreditation as strategic infrastructure rather than regulatory compliance—aligning the accreditation cycle with institutional planning to create a rhythm of continuous renewal. It addresses institutional agility, demonstrating how quality assurance frameworks can accommodate and support innovation rather than constraining it. And it articulates the aspiration of a permanent CQI culture in which systematic inquiry, evidence-based decision-making, and adaptive action become integral features of institutional life rather than episodic responses to external review (see Table 3 for the full contrast between event-based and process-based approaches to quality improvement).</w:t>
      </w:r>
    </w:p>
    <w:p>
      <w:pPr>
        <w:pStyle w:val="Heading2"/>
      </w:pPr>
      <w:r>
        <w:rPr>
          <w:b/>
        </w:rPr>
        <w:t xml:space="preserve">5.1 Recommendations for Practice</w:t>
      </w:r>
    </w:p>
    <w:p>
      <w:pPr>
        <w:pStyle w:val="Normal"/>
      </w:pPr>
      <w:r>
        <w:t xml:space="preserve">The paper's analysis yields actionable recommendations for the three primary constituencies involved in the accreditation enterprise:</w:t>
      </w:r>
    </w:p>
    <w:p>
      <w:pPr>
        <w:pStyle w:val="Normal"/>
      </w:pPr>
      <w:r>
        <w:rPr>
          <w:b/>
        </w:rPr>
        <w:t xml:space="preserve">For institutional leaders:</w:t>
      </w:r>
    </w:p>
    <w:p>
      <w:pPr>
        <w:pStyle w:val="ListParagraph"/>
      </w:pPr>
      <w:r>
        <w:t xml:space="preserve">Reframe accreditation explicitly as strategic infrastructure rather than regulatory compliance—communicate this vision consistently and allocate resources accordingly.</w:t>
      </w:r>
    </w:p>
    <w:p>
      <w:pPr>
        <w:pStyle w:val="ListParagraph"/>
      </w:pPr>
      <w:r>
        <w:t xml:space="preserve">Invest in permanent institutional capacity for self-assessment, evidence analysis, and strategic planning rather than assembling temporary infrastructure for each accreditation cycle.</w:t>
      </w:r>
    </w:p>
    <w:p>
      <w:pPr>
        <w:pStyle w:val="ListParagraph"/>
      </w:pPr>
      <w:r>
        <w:t xml:space="preserve">Align the accreditation cycle with strategic planning timelines to create a unified rhythm of institutional renewal (Figure 4 provides a model for this alignment across the ten-year cycle).</w:t>
      </w:r>
    </w:p>
    <w:p>
      <w:pPr>
        <w:pStyle w:val="ListParagraph"/>
      </w:pPr>
      <w:r>
        <w:t xml:space="preserve">Model the cultural values of honest inquiry, productive vulnerability, and evidence-based decision-making that CQI culture requires (Table 4 provides a self-assessment framework for gauging institutional progress along the maturity continuum).</w:t>
      </w:r>
    </w:p>
    <w:p>
      <w:pPr>
        <w:pStyle w:val="ListParagraph"/>
      </w:pPr>
      <w:r>
        <w:t xml:space="preserve">Create structural conditions—cross-functional teams, accessible data, assessment coordinators, governance linkages—that enable continuous improvement to become institutionalized rather than dependent on individual champions.</w:t>
      </w:r>
    </w:p>
    <w:p>
      <w:pPr>
        <w:pStyle w:val="Normal"/>
      </w:pPr>
      <w:r>
        <w:rPr>
          <w:b/>
        </w:rPr>
        <w:t xml:space="preserve">For faculty and professional staff:</w:t>
      </w:r>
    </w:p>
    <w:p>
      <w:pPr>
        <w:pStyle w:val="ListParagraph"/>
      </w:pPr>
      <w:r>
        <w:t xml:space="preserve">Embrace assessment not as surveillance but as a natural extension of scholarly inquiry—the application of evidence-based reasoning to one's own educational practice.</w:t>
      </w:r>
    </w:p>
    <w:p>
      <w:pPr>
        <w:pStyle w:val="ListParagraph"/>
      </w:pPr>
      <w:r>
        <w:t xml:space="preserve">Participate authentically in self-study processes, bringing disciplinary expertise and pedagogical knowledge to institutional inquiry.</w:t>
      </w:r>
    </w:p>
    <w:p>
      <w:pPr>
        <w:pStyle w:val="ListParagraph"/>
      </w:pPr>
      <w:r>
        <w:t xml:space="preserve">Use accreditation-driven data to reflect on and improve teaching practice, program design, and student support—claiming ownership of quality improvement as a professional responsibility.</w:t>
      </w:r>
    </w:p>
    <w:p>
      <w:pPr>
        <w:pStyle w:val="ListParagraph"/>
      </w:pPr>
      <w:r>
        <w:t xml:space="preserve">Engage in peer review opportunities both as hosts and visitors, recognizing the bilateral learning benefits of collegial external evaluation.</w:t>
      </w:r>
    </w:p>
    <w:p>
      <w:pPr>
        <w:pStyle w:val="ListParagraph"/>
      </w:pPr>
      <w:r>
        <w:t xml:space="preserve">Contribute to building assessment culture by sharing evidence of improvement openly and celebrating colleagues who demonstrate commitment to evidence-based practice.</w:t>
      </w:r>
    </w:p>
    <w:p>
      <w:pPr>
        <w:pStyle w:val="Normal"/>
      </w:pPr>
      <w:r>
        <w:rPr>
          <w:b/>
        </w:rPr>
        <w:t xml:space="preserve">For accrediting bodies:</w:t>
      </w:r>
    </w:p>
    <w:p>
      <w:pPr>
        <w:pStyle w:val="ListParagraph"/>
      </w:pPr>
      <w:r>
        <w:t xml:space="preserve">Continue evolving standards and processes to reward demonstrated learning capacity and improvement trajectories rather than merely documenting current compliance.</w:t>
      </w:r>
    </w:p>
    <w:p>
      <w:pPr>
        <w:pStyle w:val="ListParagraph"/>
      </w:pPr>
      <w:r>
        <w:t xml:space="preserve">Develop risk-based and differentiated review approaches that allocate oversight resources proportionally to institutional need and risk.</w:t>
      </w:r>
    </w:p>
    <w:p>
      <w:pPr>
        <w:pStyle w:val="ListParagraph"/>
      </w:pPr>
      <w:r>
        <w:t xml:space="preserve">Create explicit space for institutional innovation through sandbox mechanisms, enhanced monitoring alternatives, and standards that accommodate diverse delivery models.</w:t>
      </w:r>
    </w:p>
    <w:p>
      <w:pPr>
        <w:pStyle w:val="ListParagraph"/>
      </w:pPr>
      <w:r>
        <w:t xml:space="preserve">Invest in technology-enhanced review processes that reduce documentation burden while increasing analytical insight.</w:t>
      </w:r>
    </w:p>
    <w:p>
      <w:pPr>
        <w:pStyle w:val="ListParagraph"/>
      </w:pPr>
      <w:r>
        <w:t xml:space="preserve">Cultivate developmental rather than purely gatekeeping relationships with institutions—functioning as critical friends rather than distant judges.</w:t>
      </w:r>
    </w:p>
    <w:p>
      <w:pPr>
        <w:pStyle w:val="ListParagraph"/>
      </w:pPr>
      <w:r>
        <w:t xml:space="preserve">Internationalize standards and processes to support quality assurance in a globally connected higher education landscape while respecting cultural diversity.</w:t>
      </w:r>
    </w:p>
    <w:p>
      <w:pPr>
        <w:pStyle w:val="Normal"/>
      </w:pPr>
      <w:r>
        <w:rPr>
          <w:b/>
        </w:rPr>
        <w:t xml:space="preserve">For policymakers:</w:t>
      </w:r>
    </w:p>
    <w:p>
      <w:pPr>
        <w:pStyle w:val="ListParagraph"/>
      </w:pPr>
      <w:r>
        <w:t xml:space="preserve">Recognize that the most productive accountability frameworks simultaneously demand evidence of quality and create space for institutional innovation and self-determination.</w:t>
      </w:r>
    </w:p>
    <w:p>
      <w:pPr>
        <w:pStyle w:val="ListParagraph"/>
      </w:pPr>
      <w:r>
        <w:t xml:space="preserve">Resist the temptation to impose ever-more-specific metrics that drive gaming behavior rather than genuine improvement.</w:t>
      </w:r>
    </w:p>
    <w:p>
      <w:pPr>
        <w:pStyle w:val="ListParagraph"/>
      </w:pPr>
      <w:r>
        <w:t xml:space="preserve">Support accrediting bodies in developing differentiated approaches that avoid treating all institutions identically regardless of track record and demonstrated capacity.</w:t>
      </w:r>
    </w:p>
    <w:p>
      <w:pPr>
        <w:pStyle w:val="ListParagraph"/>
      </w:pPr>
      <w:r>
        <w:t xml:space="preserve">Fund research on the effectiveness of different accountability and quality assurance approaches to build the evidence base for policy decisions.</w:t>
      </w:r>
    </w:p>
    <w:p>
      <w:pPr>
        <w:pStyle w:val="ListParagraph"/>
      </w:pPr>
      <w:r>
        <w:t xml:space="preserve">Acknowledge that institutional transformation requires time, investment, and tolerance for productive failure—conditions incompatible with exclusively punitive accountability frameworks.</w:t>
      </w:r>
    </w:p>
    <w:p>
      <w:pPr>
        <w:pStyle w:val="Heading2"/>
      </w:pPr>
      <w:r>
        <w:rPr>
          <w:b/>
        </w:rPr>
        <w:t xml:space="preserve">5.2 The Opportunity Ahead</w:t>
      </w:r>
    </w:p>
    <w:p>
      <w:pPr>
        <w:pStyle w:val="Normal"/>
      </w:pPr>
      <w:r>
        <w:t xml:space="preserve">The opportunity before higher education is substantial. By consciously elevating accreditation beyond compliance—by embracing it as a framework for organizational learning and a catalyst for institutional renewal—colleges and universities can transform what has often been experienced as a dreaded periodic obligation into their most powerful instrument for thriving in a world of constant change. This transformation requires courage: the courage to ask difficult questions, to confront uncomfortable evidence, to challenge institutional narratives, and to act decisively on what is learned. It requires investment: in data infrastructure, in assessment expertise, in leadership development, and in the time and space necessary for genuine collective inquiry. And it requires trust: trust among institutional actors that honest self-assessment will be met with support rather than punishment; trust between institutions and accreditors that developmental intent is genuine; and trust from the public that the accreditation process provides meaningful assurance of institutional quality.</w:t>
      </w:r>
    </w:p>
    <w:p>
      <w:pPr>
        <w:pStyle w:val="Normal"/>
      </w:pPr>
      <w:r>
        <w:t xml:space="preserve">Institutions that achieve this integration—that operationalize the ALR model as their way of being rather than their periodic performance—will find that accreditation becomes not a burden to bear but a discipline to embrace. They will discover that the practices of systematic inquiry, evidence-based decision-making, and adaptive action serve not only accreditation requirements but every dimension of institutional life: strategic planning, resource allocation, program development, student success, community engagement, and organizational renewal. They will position themselves not merely to survive the disruptions reshaping higher education but to lead the transformation—demonstrating through their own continuous evolution that institutions of learning can themselves embody the learning they seek to inspire in their students.</w:t>
      </w:r>
    </w:p>
    <w:p>
      <w:pPr>
        <w:pStyle w:val="Normal"/>
      </w:pPr>
      <w:r>
        <w:t xml:space="preserve">Ultimately, the measure of accreditation's success is not whether institutions produce impressive self-study documents or navigate site visits without sanction. The measure is whether the process—in its fullness and cyclical totality—contributes to the creation of institutions that are more effective in their educational mission, more responsive to their constituencies, more equitable in their outcomes, more innovative in their approaches, and more capable of the continuous adaptation that the twenty-first century demands. When accreditation achieves this aspiration, it fulfills its deepest purpose: not as a gatekeeper of minimum standards but as a catalyst for the permanent pursuit of excellence in service to students, communities, and the democratic society that depends upon an educated citizenry. In the boundaryless landscape of contemporary higher education, this catalytic function has never been more urgent—nor has the opportunity to realize it been greater.</w:t>
      </w:r>
    </w:p>
    <w:p>
      <w:pPr>
        <w:pStyle w:val="Normal"/>
      </w:pPr>
      <w:r>
        <w:t xml:space="preserve"/>
      </w:r>
    </w:p>
    <w:p>
      <w:pPr>
        <w:pStyle w:val="Heading1"/>
      </w:pPr>
      <w:r>
        <w:rPr>
          <w:b/>
        </w:rPr>
        <w:t xml:space="preserve">References</w:t>
      </w:r>
    </w:p>
    <w:p>
      <w:pPr>
        <w:pStyle w:val="Normal"/>
      </w:pPr>
      <w:r>
        <w:t xml:space="preserve">[1] Eaton, J. S. (2015). An overview of U.S. accreditation. Council for Higher Education Accreditation.</w:t>
      </w:r>
    </w:p>
    <w:p>
      <w:pPr>
        <w:pStyle w:val="Normal"/>
      </w:pPr>
      <w:r>
        <w:t xml:space="preserve">[2] Brittingham, B. (2009). Accreditation in the United States: How did we get to where we are? *New Directions for Higher Education*, 2009(145), 7–27. https://doi.org/10.1002/he.331</w:t>
      </w:r>
    </w:p>
    <w:p>
      <w:pPr>
        <w:pStyle w:val="Normal"/>
      </w:pPr>
      <w:r>
        <w:t xml:space="preserve">[3] Spellings Commission. (2006). *A test of leadership: Charting the future of U.S. higher education*. U.S. Department of Education.</w:t>
      </w:r>
    </w:p>
    <w:p>
      <w:pPr>
        <w:pStyle w:val="Normal"/>
      </w:pPr>
      <w:r>
        <w:t xml:space="preserve">[4] Kelchen, R. (2018). *Higher education accountability*. Johns Hopkins University Press.</w:t>
      </w:r>
    </w:p>
    <w:p>
      <w:pPr>
        <w:pStyle w:val="Normal"/>
      </w:pPr>
      <w:r>
        <w:t xml:space="preserve">[5] Senge, P. M. (2006). *The fifth discipline: The art and practice of the learning organization* (Rev. ed.). Doubleday.</w:t>
      </w:r>
    </w:p>
    <w:p>
      <w:pPr>
        <w:pStyle w:val="Normal"/>
      </w:pPr>
      <w:r>
        <w:t xml:space="preserve">[6] Argyris, C., &amp; Schön, D. A. (1996). *Organizational learning II: Theory, method, and practice*. Addison-Wesley.</w:t>
      </w:r>
    </w:p>
    <w:p>
      <w:pPr>
        <w:pStyle w:val="Normal"/>
      </w:pPr>
      <w:r>
        <w:t xml:space="preserve">[7] DiMaggio, P. J., &amp; Powell, W. W. (1983). The iron cage revisited: Institutional isomorphism and collective rationality in organizational fields. *American Sociological Review*, 48(2), 147–160. https://doi.org/10.2307/2095101</w:t>
      </w:r>
    </w:p>
    <w:p>
      <w:pPr>
        <w:pStyle w:val="Normal"/>
      </w:pPr>
      <w:r>
        <w:t xml:space="preserve">[8] Deming, W. E. (1993). *The new economics for industry, government, education*. MIT Press.</w:t>
      </w:r>
    </w:p>
    <w:p>
      <w:pPr>
        <w:pStyle w:val="Normal"/>
      </w:pPr>
      <w:r>
        <w:t xml:space="preserve">[9] Kezar, A. (2018). *How colleges change: Understanding, leading, and enacting change* (2nd ed.). Routledge.</w:t>
      </w:r>
    </w:p>
    <w:p>
      <w:pPr>
        <w:pStyle w:val="Normal"/>
      </w:pPr>
      <w:r>
        <w:t xml:space="preserve">[10] Trow, M. (1996). Trust, markets, and accountability in higher education: A comparative perspective. *Higher Education Policy*, 9(4), 309–324. https://doi.org/10.1016/S0952-8733(96)00029-3</w:t>
      </w:r>
    </w:p>
    <w:p>
      <w:pPr>
        <w:pStyle w:val="Normal"/>
      </w:pPr>
      <w:r>
        <w:t xml:space="preserve">[11] Ewell, P. T. (2009). *Assessment, accountability, and improvement: Revisiting the tension* (NILOA Occasional Paper No. 1). National Institute for Learning Outcomes Assessment.</w:t>
      </w:r>
    </w:p>
    <w:p>
      <w:pPr>
        <w:pStyle w:val="Normal"/>
      </w:pPr>
      <w:r>
        <w:t xml:space="preserve">[12] U.S. Government Accountability Office. (2010). *For-profit colleges: Undercover testing finds colleges encouraged fraud and engaged in deceptive and questionable marketing practices* (GAO-10-948T). U.S. GAO.</w:t>
      </w:r>
    </w:p>
    <w:p>
      <w:pPr>
        <w:pStyle w:val="Normal"/>
      </w:pPr>
      <w:r>
        <w:t xml:space="preserve">[13] Hazelkorn, E. (2015). *Rankings and the reshaping of higher education: The battle for world-class excellence* (2nd ed.). Palgrave Macmillan.</w:t>
      </w:r>
    </w:p>
    <w:p>
      <w:pPr>
        <w:pStyle w:val="Normal"/>
      </w:pPr>
      <w:r>
        <w:t xml:space="preserve">[14] Carnevale, A. P., Cheah, B., &amp; Wenzinger, E. (2020). *The college payoff: More education doesn't always mean more earnings*. Georgetown University Center on Education and the Workforce.</w:t>
      </w:r>
    </w:p>
    <w:p>
      <w:pPr>
        <w:pStyle w:val="Normal"/>
      </w:pPr>
      <w:r>
        <w:t xml:space="preserve">[15] U.S. Department of Education. (2022). *Federal student aid annual report*. https://studentaid.gov/data-center/student/portfolio</w:t>
      </w:r>
    </w:p>
    <w:p>
      <w:pPr>
        <w:pStyle w:val="Normal"/>
      </w:pPr>
      <w:r>
        <w:t xml:space="preserve">[16] Stensaker, B., &amp; Harvey, L. (2011). *Accountability in higher education: Global perspectives on trust and power*. Routledge.</w:t>
      </w:r>
    </w:p>
    <w:p>
      <w:pPr>
        <w:pStyle w:val="Normal"/>
      </w:pPr>
      <w:r>
        <w:t xml:space="preserve">[17] Herzberg, F. (1966). *Work and the nature of man*. World Publishing Company.</w:t>
      </w:r>
    </w:p>
    <w:p>
      <w:pPr>
        <w:pStyle w:val="Normal"/>
      </w:pPr>
      <w:r>
        <w:t xml:space="preserve">[18] Middle States Commission on Higher Education. (2015). *Standards for accreditation and requirements of affiliation* (13th ed.). MSCHE.</w:t>
      </w:r>
    </w:p>
    <w:p>
      <w:pPr>
        <w:pStyle w:val="Normal"/>
      </w:pPr>
      <w:r>
        <w:t xml:space="preserve">[19] Cochrane, D., &amp; Szabo-Kubitz, L. (2016). *On the verge: Costs and tradeoffs facing community college students*. The Institute for College Access &amp; Success.</w:t>
      </w:r>
    </w:p>
    <w:p>
      <w:pPr>
        <w:pStyle w:val="Normal"/>
      </w:pPr>
      <w:r>
        <w:t xml:space="preserve">[20] Council for Higher Education Accreditation. (2019). *CHEA at a glance*. https://www.chea.org/chea-glance</w:t>
      </w:r>
    </w:p>
    <w:p>
      <w:pPr>
        <w:pStyle w:val="Normal"/>
      </w:pPr>
      <w:r>
        <w:t xml:space="preserve">[21] Higher Learning Commission. (2020). *Criteria for accreditation*. https://www.hlcommission.org/Policies/criteria-and-core-components.html</w:t>
      </w:r>
    </w:p>
    <w:p>
      <w:pPr>
        <w:pStyle w:val="Normal"/>
      </w:pPr>
      <w:r>
        <w:t xml:space="preserve">[22] Power, M. (1997). *The audit society: Rituals of verification*. Oxford University Press.</w:t>
      </w:r>
    </w:p>
    <w:p>
      <w:pPr>
        <w:pStyle w:val="Normal"/>
      </w:pPr>
      <w:r>
        <w:t xml:space="preserve">[23] Morphew, C. C., &amp; Hartley, M. (2006). Mission statements: A thematic analysis of rhetoric across institutional type. *The Journal of Higher Education*, 77(3), 456–471. https://doi.org/10.1353/jhe.2006.0023</w:t>
      </w:r>
    </w:p>
    <w:p>
      <w:pPr>
        <w:pStyle w:val="Normal"/>
      </w:pPr>
      <w:r>
        <w:t xml:space="preserve">[24] Lubinescu, E. S., Ratcliff, J. L., &amp; Gaffney, M. A. (2001). Two continuums collide: Accreditation and assessment. *New Directions for Higher Education*, 2001(113), 5–21. https://doi.org/10.1002/he.1</w:t>
      </w:r>
    </w:p>
    <w:p>
      <w:pPr>
        <w:pStyle w:val="Normal"/>
      </w:pPr>
      <w:r>
        <w:t xml:space="preserve">[25] Kells, H. R. (1995). *Self-study processes: A guide to self-evaluation in higher education* (4th ed.). American Council on Education/Oryx Press.</w:t>
      </w:r>
    </w:p>
    <w:p>
      <w:pPr>
        <w:pStyle w:val="Normal"/>
      </w:pPr>
      <w:r>
        <w:t xml:space="preserve">[26] Edmondson, A. (1999). Psychological safety and learning behavior in work teams. *Administrative Science Quarterly*, 44(2), 350–383. https://doi.org/10.2307/2666999</w:t>
      </w:r>
    </w:p>
    <w:p>
      <w:pPr>
        <w:pStyle w:val="Normal"/>
      </w:pPr>
      <w:r>
        <w:t xml:space="preserve">[27] Bresciani, M. J., Gardner, M. M., &amp; Hickmott, J. (2009). *Demonstrating student success: A practical guide to outcomes-based assessment of learning and development in student affairs*. Stylus Publishing.</w:t>
      </w:r>
    </w:p>
    <w:p>
      <w:pPr>
        <w:pStyle w:val="Normal"/>
      </w:pPr>
      <w:r>
        <w:t xml:space="preserve">[28] Schein, E. H. (2010). *Organizational culture and leadership* (4th ed.). Jossey-Bass.</w:t>
      </w:r>
    </w:p>
    <w:p>
      <w:pPr>
        <w:pStyle w:val="Normal"/>
      </w:pPr>
      <w:r>
        <w:t xml:space="preserve">[29] Swing, R. L., &amp; Ross, L. E. (2016). A new vision for institutional research. *Change: The Magazine of Higher Learning*, 48(2), 6–13. https://doi.org/10.1080/00091383.2016.1163132</w:t>
      </w:r>
    </w:p>
    <w:p>
      <w:pPr>
        <w:pStyle w:val="Normal"/>
      </w:pPr>
      <w:r>
        <w:t xml:space="preserve">[30] Volkwein, J. F., Liu, Y., &amp; Woodell, J. (2012). The structure and functions of institutional research offices. In R. D. Howard, G. W. McLaughlin, &amp; W. E. Knight (Eds.), *The handbook of institutional research* (pp. 22–39). Jossey-Bass.</w:t>
      </w:r>
    </w:p>
    <w:p>
      <w:pPr>
        <w:pStyle w:val="Normal"/>
      </w:pPr>
      <w:r>
        <w:t xml:space="preserve">[31] Suskie, L. (2018). *Assessing student learning: A common sense guide* (3rd ed.). Jossey-Bass.</w:t>
      </w:r>
    </w:p>
    <w:p>
      <w:pPr>
        <w:pStyle w:val="Normal"/>
      </w:pPr>
      <w:r>
        <w:t xml:space="preserve">[32] Siemens, G., &amp; Long, P. (2011). Penetrating the fog: Analytics in learning and education. *EDUCAUSE Review*, 46(5), 30–32.</w:t>
      </w:r>
    </w:p>
    <w:p>
      <w:pPr>
        <w:pStyle w:val="Normal"/>
      </w:pPr>
      <w:r>
        <w:t xml:space="preserve">[33] Banta, T. W., &amp; Palomba, C. A. (2015). *Assessment essentials: Planning, implementing, and improving assessment in higher education* (2nd ed.). Jossey-Bass.</w:t>
      </w:r>
    </w:p>
    <w:p>
      <w:pPr>
        <w:pStyle w:val="Normal"/>
      </w:pPr>
      <w:r>
        <w:t xml:space="preserve">[34] Kezar, A., &amp; Eckel, P. D. (2002). The effect of institutional culture on change strategies in higher education: Universal principles or culturally responsive concepts? *The Journal of Higher Education*, 73(4), 435–460. https://doi.org/10.1353/jhe.2002.0038</w:t>
      </w:r>
    </w:p>
    <w:p>
      <w:pPr>
        <w:pStyle w:val="Normal"/>
      </w:pPr>
      <w:r>
        <w:t xml:space="preserve">[35] Janis, I. L. (1982). *Groupthink: Psychological studies of policy decisions and fiascoes* (2nd ed.). Houghton Mifflin.</w:t>
      </w:r>
    </w:p>
    <w:p>
      <w:pPr>
        <w:pStyle w:val="Normal"/>
      </w:pPr>
      <w:r>
        <w:t xml:space="preserve">[36] Kis, V. (2005). *Quality assurance in tertiary education: Current practices in OECD countries and a literature review on potential effects*. OECD Thematic Review of Tertiary Education.</w:t>
      </w:r>
    </w:p>
    <w:p>
      <w:pPr>
        <w:pStyle w:val="Normal"/>
      </w:pPr>
      <w:r>
        <w:t xml:space="preserve">[37] Harvey, L. (2004). The power of accreditation: Views of academics. *Journal of Higher Education Policy and Management*, 26(2), 207–223. https://doi.org/10.1080/1360080042000218267</w:t>
      </w:r>
    </w:p>
    <w:p>
      <w:pPr>
        <w:pStyle w:val="Normal"/>
      </w:pPr>
      <w:r>
        <w:t xml:space="preserve">[38] Kinzie, J. (2010). Perspectives from campus leaders on the current state of student learning outcomes assessment. *Assessment Update*, 22(5), 1–15. https://doi.org/10.1002/au.225</w:t>
      </w:r>
    </w:p>
    <w:p>
      <w:pPr>
        <w:pStyle w:val="Normal"/>
      </w:pPr>
      <w:r>
        <w:t xml:space="preserve">[39] Welsh, J. F., &amp; Metcalf, J. (2003). Faculty and administrative support for institutional effectiveness activities: A bridge across the chasm? *The Journal of Higher Education*, 74(4), 445–468. https://doi.org/10.1353/jhe.2003.0032</w:t>
      </w:r>
    </w:p>
    <w:p>
      <w:pPr>
        <w:pStyle w:val="Normal"/>
      </w:pPr>
      <w:r>
        <w:t xml:space="preserve">[40] Baker, R. L. (2004). Keystones of regional accreditation: Intentions, outcomes, and sustainability. In P. Hernon, R. E. Dugan, &amp; C. Schwartz (Eds.), *Revisiting outcomes assessment in higher education* (pp. 1–25). Libraries Unlimited.</w:t>
      </w:r>
    </w:p>
    <w:p>
      <w:pPr>
        <w:pStyle w:val="Normal"/>
      </w:pPr>
      <w:r>
        <w:t xml:space="preserve">[41] Dickeson, R. C. (2010). *Prioritizing academic programs and services: Reallocating resources to achieve strategic balance* (2nd ed.). Jossey-Bass.</w:t>
      </w:r>
    </w:p>
    <w:p>
      <w:pPr>
        <w:pStyle w:val="Normal"/>
      </w:pPr>
      <w:r>
        <w:t xml:space="preserve">[42] Terenzini, P. T. (2013). "On the nature of institutional research" revisited: Plus ça change...? *Research in Higher Education*, 54(2), 137–148. https://doi.org/10.1007/s11162-012-9274-3</w:t>
      </w:r>
    </w:p>
    <w:p>
      <w:pPr>
        <w:pStyle w:val="Normal"/>
      </w:pPr>
      <w:r>
        <w:t xml:space="preserve">[43] Carey, K. (2012). A future of competency-based higher education. *EDUCAUSE Review*, 47(5), 68–69.</w:t>
      </w:r>
    </w:p>
    <w:p>
      <w:pPr>
        <w:pStyle w:val="Normal"/>
      </w:pPr>
      <w:r>
        <w:t xml:space="preserve">[44] Laitinen, A. (2012). *Cracking the credit hour*. New America Foundation.</w:t>
      </w:r>
    </w:p>
    <w:p>
      <w:pPr>
        <w:pStyle w:val="Normal"/>
      </w:pPr>
      <w:r>
        <w:t xml:space="preserve">[45] Pusser, B., Breneman, D. W., Gansneder, B. M., Kohl, K. J., Levin, J. S., Milam, J. H., &amp; Turner, S. E. (2007). *Returning to learning: Adults' success in college is key to America's future*. Lumina Foundation.</w:t>
      </w:r>
    </w:p>
    <w:p>
      <w:pPr>
        <w:pStyle w:val="Normal"/>
      </w:pPr>
      <w:r>
        <w:t xml:space="preserve">[46] Baum, S., Ma, J., &amp; Payea, K. (2013). *Education pays 2013: The benefits of higher education for individuals and society*. The College Board.</w:t>
      </w:r>
    </w:p>
    <w:p>
      <w:pPr>
        <w:pStyle w:val="Normal"/>
      </w:pPr>
      <w:r>
        <w:t xml:space="preserve">[47] Dill, D. D. (1999). Academic accountability and university adaptation: The architecture of an academic learning organization. *Higher Education*, 38(2), 127–154. https://doi.org/10.1023/A:1003762420723</w:t>
      </w:r>
    </w:p>
    <w:p>
      <w:pPr>
        <w:pStyle w:val="Normal"/>
      </w:pPr>
      <w:r>
        <w:t xml:space="preserve">[48] Juran, J. M. (1989). *Juran on leadership for quality: An executive handbook*. Free Press.</w:t>
      </w:r>
    </w:p>
    <w:p>
      <w:pPr>
        <w:pStyle w:val="Normal"/>
      </w:pPr>
      <w:r>
        <w:t xml:space="preserve">[49] Seymour, D. T. (1992). *On Q: Causing quality in higher education*. Macmillan.</w:t>
      </w:r>
    </w:p>
    <w:p>
      <w:pPr>
        <w:pStyle w:val="Normal"/>
      </w:pPr>
      <w:r>
        <w:t xml:space="preserve">[50] Freed, J. E., Klugman, M. R., &amp; Fife, J. D. (1997). A culture for academic excellence: Implementing the quality principles in higher education. *ASHE-ERIC Higher Education Report*, 25(1). ERIC Clearinghouse on Higher Education.</w:t>
      </w:r>
    </w:p>
    <w:p>
      <w:pPr>
        <w:pStyle w:val="Normal"/>
      </w:pPr>
      <w:r>
        <w:t xml:space="preserve">[51] Birnbaum, R. (1988). *How colleges work: The cybernetics of academic organization and leadership*. Jossey-Bass.</w:t>
      </w:r>
    </w:p>
    <w:p>
      <w:pPr>
        <w:pStyle w:val="Normal"/>
      </w:pPr>
      <w:r>
        <w:t xml:space="preserve">[52] Norris, D. M., &amp; Baer, L. L. (2013). *Building organizational capacity for analytics*. EDUCAUSE.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decimal"/>
      <w:lvlText w:val="%1."/>
      <w:lvlJc w:val="left"/>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pPr>
      <w:spacing w:after="200" w:line="276" w:lineRule="auto"/>
    </w:pPr>
    <w:rPr>
      <w:rFonts w:ascii="Times New Roman" w:hAnsi="Times New Roman"/>
      <w:sz w:val="24"/>
    </w:rPr>
  </w:style>
  <w:style w:type="paragraph" w:styleId="Title">
    <w:name w:val="Title"/>
    <w:pPr>
      <w:spacing w:after="300"/>
      <w:jc w:val="center"/>
    </w:pPr>
    <w:rPr>
      <w:rFonts w:ascii="Times New Roman" w:hAnsi="Times New Roman"/>
      <w:b/>
      <w:sz w:val="32"/>
    </w:rPr>
  </w:style>
  <w:style w:type="paragraph" w:styleId="Heading1">
    <w:name w:val="heading 1"/>
    <w:pPr>
      <w:spacing w:before="480" w:after="240"/>
    </w:pPr>
    <w:rPr>
      <w:rFonts w:ascii="Times New Roman" w:hAnsi="Times New Roman"/>
      <w:b/>
      <w:sz w:val="28"/>
    </w:rPr>
  </w:style>
  <w:style w:type="paragraph" w:styleId="Heading2">
    <w:name w:val="heading 2"/>
    <w:pPr>
      <w:spacing w:before="360" w:after="200"/>
    </w:pPr>
    <w:rPr>
      <w:rFonts w:ascii="Times New Roman" w:hAnsi="Times New Roman"/>
      <w:b/>
      <w:sz w:val="26"/>
    </w:rPr>
  </w:style>
  <w:style w:type="paragraph" w:styleId="Heading3">
    <w:name w:val="heading 3"/>
    <w:pPr>
      <w:spacing w:before="240" w:after="120"/>
    </w:pPr>
    <w:rPr>
      <w:rFonts w:ascii="Times New Roman" w:hAnsi="Times New Roman"/>
      <w:b/>
      <w:i/>
      <w:sz w:val="24"/>
    </w:rPr>
  </w:style>
  <w:style w:type="paragraph" w:styleId="CodeBlock">
    <w:name w:val="Code Block"/>
    <w:pPr>
      <w:spacing w:after="0" w:line="240" w:lineRule="auto"/>
    </w:pPr>
    <w:rPr>
      <w:rFonts w:ascii="Courier New" w:hAnsi="Courier New"/>
      <w:sz w:val="16"/>
    </w:rPr>
  </w:style>
  <w:style w:type="paragraph" w:styleId="Caption">
    <w:name w:val="Caption"/>
    <w:pPr>
      <w:spacing w:before="120" w:after="240"/>
    </w:pPr>
    <w:rPr>
      <w:rFonts w:ascii="Times New Roman" w:hAnsi="Times New Roman"/>
      <w:i/>
      <w:sz w:val="20"/>
    </w:rPr>
  </w:style>
  <w:style w:type="paragraph" w:styleId="ListParagraph">
    <w:name w:val="List Paragraph"/>
    <w:pPr>
      <w:spacing w:after="120"/>
      <w:ind w:left="720"/>
    </w:pPr>
    <w:rPr>
      <w:rFonts w:ascii="Times New Roman" w:hAnsi="Times New Roman"/>
      <w:sz w:val="24"/>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