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 xml:space="preserve">Artificial Intelligence and Machine Learning for the Design of Nanofluid Heat Exchangers</w:t>
      </w:r>
    </w:p>
    <w:p>
      <w:pPr>
        <w:pStyle w:val="Heading2"/>
      </w:pPr>
      <w:r>
        <w:t xml:space="preserve">An Integrated Treatment of Heat Transfer, Nanofluids, Computational Fluid Dynamics and Data-Driven Modelling</w:t>
      </w:r>
    </w:p>
    <w:p/>
    <w:p>
      <w:pPr>
        <w:pStyle w:val="Title"/>
      </w:pPr>
      <w:r>
        <w:t xml:space="preserve">Chapter 1. Fundamentals of Heat Transfer and Heat Exchangers</w:t>
      </w:r>
    </w:p>
    <w:p>
      <w:pPr>
        <w:pStyle w:val="Heading1"/>
      </w:pPr>
      <w:r>
        <w:t xml:space="preserve">Abstract</w:t>
      </w:r>
    </w:p>
    <w:p>
      <w:pPr>
        <w:pStyle w:val="Normal"/>
      </w:pPr>
      <w:r>
        <w:t xml:space="preserve">Heat exchangers are among the most ubiquitous items of process equipment in modern engineering, appearing in power generation, chemical processing, refrigeration and air-conditioning, electronics cooling, automotive systems, and renewable-energy installations. Their function is deceptively simple, namely the transfer of thermal energy between two or more fluids at different temperatures, yet the underlying physics couples conduction, convection and, in high-temperature applications, radiation in ways that make rigorous design a demanding exercise. This opening chapter establishes the physical and analytical foundations on which the remainder of the book is built. It begins with the three canonical modes of heat transfer, presenting their governing laws, characteristic transport properties and the dimensionless groups that structure convective analysis. It then develops a systematic classification of heat exchangers according to transfer process, construction, flow arrangement and compactness, and describes the principal components and working principles of the shell-and-tube, plate, compact and double-pipe families. The chapter closes with the analytical machinery of thermal performance evaluation, including the overall heat transfer coefficient, the logarithmic mean temperature difference method, the effectiveness–number-of-transfer-units formulation, and the design considerations of fouling, pressure drop and pumping power that ultimately determine whether a thermally attractive design is also economically viable. The material is presented so that the enhancement strategies enabled by nanofluids, and the data-driven modelling approaches introduced later, can be understood against a clear baseline of conventional theory. Throughout, emphasis is placed on the trade-offs that recur at every level of heat-exchanger engineering, particularly the tension between augmenting heat transfer and controlling the hydraulic penalty that augmentation invariably incurs.</w:t>
      </w:r>
    </w:p>
    <w:p>
      <w:pPr>
        <w:pStyle w:val="Heading2"/>
      </w:pPr>
      <w:r>
        <w:t xml:space="preserve">1.1 Principles and Modes of Heat Transfer</w:t>
      </w:r>
    </w:p>
    <w:p>
      <w:pPr>
        <w:pStyle w:val="Normal"/>
      </w:pPr>
      <w:r>
        <w:t xml:space="preserve">Heat transfer is the study of the rates at which thermal energy crosses the boundaries of a system as a consequence of a temperature difference. Whereas classical thermodynamics is concerned with equilibrium states and the quantity of energy exchanged between them, heat transfer is fundamentally a rate science: it seeks to quantify how quickly energy moves and how that rate depends on geometry, material properties and the state of any fluid in contact with a surface [1]. This distinction is central to heat-exchanger engineering because the size, cost and operating expense of a device are governed not by how much heat must ultimately be moved but by how rapidly it can be moved across a given surface area under a prescribed temperature difference. The three modes by which thermal energy is transported are conduction, convection and radiation, and although they are frequently treated separately for pedagogical convenience, real devices almost always involve two or more of them acting in series or in parallel [2].</w:t>
      </w:r>
    </w:p>
    <w:p>
      <w:pPr>
        <w:pStyle w:val="Normal"/>
      </w:pPr>
      <w:r>
        <w:t xml:space="preserve">Conduction is the transfer of energy through a stationary medium, whether solid, liquid or gas, by molecular interaction and, in electrically conducting solids, by the drift of free electrons. The macroscopic description of steady conduction is Fourier's law, which states that the local heat flux is proportional to the negative of the local temperature gradient, the constant of proportionality being the thermal conductivity of the material. In one dimension the heat flux is expressed as q = -k dT/dx, where k is the thermal conductivity in watts per metre per kelvin. The negative sign encodes the second-law requirement that energy flows from regions of high temperature to regions of low temperature. Thermal conductivity spans several orders of magnitude across engineering materials, from roughly 0.02 W/m·K for still air and 0.6 W/m·K for liquid water to more than 400 W/m·K for copper, and this enormous range explains why the selection of tube and fin materials exerts such a strong influence on heat-exchanger performance [3]. For transient problems, Fourier's law is combined with an energy balance to yield the heat diffusion equation, whose solution requires knowledge of the thermal diffusivity, defined as the ratio of thermal conductivity to the product of density and specific heat. The thermal diffusivity measures how rapidly a material responds thermally to changes in its environment and therefore governs the time scales of start-up, shut-down and thermal-cycling behaviour that are of practical importance in the fatigue life of heat-exchanger components [4].</w:t>
      </w:r>
    </w:p>
    <w:p>
      <w:pPr>
        <w:pStyle w:val="Normal"/>
      </w:pPr>
      <w:r>
        <w:t xml:space="preserve">Convection is the transfer of energy between a surface and a moving fluid and is best understood as the superposition of conduction within the fluid and the bulk transport of enthalpy by fluid motion. When the fluid motion is induced by an external agency such as a pump or fan, the process is called forced convection; when it arises spontaneously from density gradients produced by the temperature field itself, it is termed natural or free convection [5]. The engineering description of convection is Newton's law of cooling, which expresses the surface heat flux as the product of a convective heat transfer coefficient and the temperature difference between the surface and the bulk fluid, q = h(T_s - T_f). Unlike thermal conductivity, the heat transfer coefficient h is not a material property; it is a complex function of the fluid properties, the flow velocity, the surface geometry and the flow regime, and its prediction is the central problem of convective heat transfer [6]. The behaviour of the coefficient is organised through dimensionless analysis, which reduces the number of independent variables and reveals the similarity relationships that permit correlations developed for one geometry and fluid to be applied to others.</w:t>
      </w:r>
    </w:p>
    <w:p>
      <w:pPr>
        <w:pStyle w:val="Normal"/>
      </w:pPr>
      <w:r>
        <w:t xml:space="preserve">Figure 1.1 summarises the three transport mechanisms together with the governing law associated with each, providing a compact reference for the notation used throughout this book.</w:t>
      </w:r>
    </w:p>
    <w:p>
      <w:pPr>
        <w:pStyle w:val="FigureImage"/>
      </w:pPr>
      <w:r>
        <w:drawing>
          <wp:inline xmlns:wp="http://schemas.openxmlformats.org/drawingml/2006/wordprocessingDrawing" distT="0" distB="0" distL="0" distR="0">
            <wp:extent cx="5486400" cy="3753852"/>
            <wp:docPr id="1000" name="Picture1000"/>
            <a:graphic xmlns:a="http://schemas.openxmlformats.org/drawingml/2006/main">
              <a:graphicData uri="http://schemas.openxmlformats.org/drawingml/2006/picture">
                <pic:pic xmlns:pic="http://schemas.openxmlformats.org/drawingml/2006/picture">
                  <pic:nvPicPr>
                    <pic:cNvPr id="1000" name="Picture1000"/>
                    <pic:cNvPicPr/>
                  </pic:nvPicPr>
                  <pic:blipFill>
                    <a:blip xmlns:r="http://schemas.openxmlformats.org/officeDocument/2006/relationships" r:embed="rId1000"/>
                    <a:stretch>
                      <a:fillRect/>
                    </a:stretch>
                  </pic:blipFill>
                  <pic:spPr>
                    <a:xfrm>
                      <a:off x="0" y="0"/>
                      <a:ext cx="5486400" cy="3753852"/>
                    </a:xfrm>
                    <a:prstGeom prst="rect">
                      <a:avLst/>
                    </a:prstGeom>
                  </pic:spPr>
                </pic:pic>
              </a:graphicData>
            </a:graphic>
          </wp:inline>
        </w:drawing>
      </w:r>
    </w:p>
    <w:p>
      <w:pPr>
        <w:pStyle w:val="FigureCaption"/>
      </w:pPr>
      <w:r>
        <w:t xml:space="preserve">Figure 1.1 Schematic representation of the three fundamental modes of heat transfer with their governing laws.</w:t>
      </w:r>
    </w:p>
    <w:p>
      <w:pPr>
        <w:pStyle w:val="Normal"/>
      </w:pPr>
      <w:r>
        <w:t xml:space="preserve">Table 1.2 consolidates the three modes alongside their governing laws, the transport property that characterises each, and the dependence of the transferred flux on temperature, providing at a glance the contrasts that structure the analysis of any thermal device. The table makes plain, in particular, the qualitatively different temperature dependence of radiation, whose fourth-power law sets it apart from the linear dependences of conduction and convection and accounts for its dominance at high temperature and its negligibility near ambient conditions [2].</w:t>
      </w:r>
    </w:p>
    <w:p>
      <w:pPr>
        <w:pStyle w:val="TableCaption"/>
      </w:pPr>
      <w:r>
        <w:rPr>
          <w:b/>
        </w:rPr>
        <w:t xml:space="preserve">Table 1.2</w:t>
      </w:r>
      <w:r>
        <w:t xml:space="preserve"> Summary of the three modes of heat transfer, their governing laws and characteristics.</w:t>
      </w:r>
    </w:p>
    <w:tbl>
      <w:tblPr>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w="1872" w:type="dxa"/>
            <w:shd w:val="clear" w:color="auto" w:fill="D9E2F3"/>
          </w:tcPr>
          <w:p>
            <w:pPr>
              <w:jc w:val="center"/>
              <w:spacing w:after="20"/>
            </w:pPr>
            <w:r>
              <w:rPr>
                <w:b/>
              </w:rPr>
              <w:t xml:space="preserve">Mode</w:t>
            </w:r>
          </w:p>
        </w:tc>
        <w:tc>
          <w:tcPr>
            <w:tcW w:w="1872" w:type="dxa"/>
            <w:shd w:val="clear" w:color="auto" w:fill="D9E2F3"/>
          </w:tcPr>
          <w:p>
            <w:pPr>
              <w:jc w:val="center"/>
              <w:spacing w:after="20"/>
            </w:pPr>
            <w:r>
              <w:rPr>
                <w:b/>
              </w:rPr>
              <w:t xml:space="preserve">Governing law</w:t>
            </w:r>
          </w:p>
        </w:tc>
        <w:tc>
          <w:tcPr>
            <w:tcW w:w="1872" w:type="dxa"/>
            <w:shd w:val="clear" w:color="auto" w:fill="D9E2F3"/>
          </w:tcPr>
          <w:p>
            <w:pPr>
              <w:jc w:val="center"/>
              <w:spacing w:after="20"/>
            </w:pPr>
            <w:r>
              <w:rPr>
                <w:b/>
              </w:rPr>
              <w:t xml:space="preserve">Characterising property</w:t>
            </w:r>
          </w:p>
        </w:tc>
        <w:tc>
          <w:tcPr>
            <w:tcW w:w="1872" w:type="dxa"/>
            <w:shd w:val="clear" w:color="auto" w:fill="D9E2F3"/>
          </w:tcPr>
          <w:p>
            <w:pPr>
              <w:jc w:val="center"/>
              <w:spacing w:after="20"/>
            </w:pPr>
            <w:r>
              <w:rPr>
                <w:b/>
              </w:rPr>
              <w:t xml:space="preserve">Flux dependence</w:t>
            </w:r>
          </w:p>
        </w:tc>
        <w:tc>
          <w:tcPr>
            <w:tcW w:w="1872" w:type="dxa"/>
            <w:shd w:val="clear" w:color="auto" w:fill="D9E2F3"/>
          </w:tcPr>
          <w:p>
            <w:pPr>
              <w:jc w:val="center"/>
              <w:spacing w:after="20"/>
            </w:pPr>
            <w:r>
              <w:rPr>
                <w:b/>
              </w:rPr>
              <w:t xml:space="preserve">Medium required</w:t>
            </w:r>
          </w:p>
        </w:tc>
      </w:tr>
      <w:tr>
        <w:tc>
          <w:tcPr>
            <w:tcW w:w="1872" w:type="dxa"/>
          </w:tcPr>
          <w:p>
            <w:pPr>
              <w:spacing w:after="20"/>
              <w:jc w:val="left"/>
            </w:pPr>
            <w:r>
              <w:t xml:space="preserve">Conduction</w:t>
            </w:r>
          </w:p>
        </w:tc>
        <w:tc>
          <w:tcPr>
            <w:tcW w:w="1872" w:type="dxa"/>
          </w:tcPr>
          <w:p>
            <w:pPr>
              <w:spacing w:after="20"/>
              <w:jc w:val="left"/>
            </w:pPr>
            <w:r>
              <w:t xml:space="preserve">Fourier's law</w:t>
            </w:r>
          </w:p>
        </w:tc>
        <w:tc>
          <w:tcPr>
            <w:tcW w:w="1872" w:type="dxa"/>
          </w:tcPr>
          <w:p>
            <w:pPr>
              <w:spacing w:after="20"/>
              <w:jc w:val="left"/>
            </w:pPr>
            <w:r>
              <w:t xml:space="preserve">Thermal conductivity, k</w:t>
            </w:r>
          </w:p>
        </w:tc>
        <w:tc>
          <w:tcPr>
            <w:tcW w:w="1872" w:type="dxa"/>
          </w:tcPr>
          <w:p>
            <w:pPr>
              <w:spacing w:after="20"/>
              <w:jc w:val="left"/>
            </w:pPr>
            <w:r>
              <w:t xml:space="preserve">Linear in temperature gradient</w:t>
            </w:r>
          </w:p>
        </w:tc>
        <w:tc>
          <w:tcPr>
            <w:tcW w:w="1872" w:type="dxa"/>
          </w:tcPr>
          <w:p>
            <w:pPr>
              <w:spacing w:after="20"/>
              <w:jc w:val="left"/>
            </w:pPr>
            <w:r>
              <w:t xml:space="preserve">Solid, liquid or gas</w:t>
            </w:r>
          </w:p>
        </w:tc>
      </w:tr>
      <w:tr>
        <w:tc>
          <w:tcPr>
            <w:tcW w:w="1872" w:type="dxa"/>
          </w:tcPr>
          <w:p>
            <w:pPr>
              <w:spacing w:after="20"/>
              <w:jc w:val="left"/>
            </w:pPr>
            <w:r>
              <w:t xml:space="preserve">Convection</w:t>
            </w:r>
          </w:p>
        </w:tc>
        <w:tc>
          <w:tcPr>
            <w:tcW w:w="1872" w:type="dxa"/>
          </w:tcPr>
          <w:p>
            <w:pPr>
              <w:spacing w:after="20"/>
              <w:jc w:val="left"/>
            </w:pPr>
            <w:r>
              <w:t xml:space="preserve">Newton's law of cooling</w:t>
            </w:r>
          </w:p>
        </w:tc>
        <w:tc>
          <w:tcPr>
            <w:tcW w:w="1872" w:type="dxa"/>
          </w:tcPr>
          <w:p>
            <w:pPr>
              <w:spacing w:after="20"/>
              <w:jc w:val="left"/>
            </w:pPr>
            <w:r>
              <w:t xml:space="preserve">Heat transfer coefficient, h</w:t>
            </w:r>
          </w:p>
        </w:tc>
        <w:tc>
          <w:tcPr>
            <w:tcW w:w="1872" w:type="dxa"/>
          </w:tcPr>
          <w:p>
            <w:pPr>
              <w:spacing w:after="20"/>
              <w:jc w:val="left"/>
            </w:pPr>
            <w:r>
              <w:t xml:space="preserve">Linear in surface-fluid difference</w:t>
            </w:r>
          </w:p>
        </w:tc>
        <w:tc>
          <w:tcPr>
            <w:tcW w:w="1872" w:type="dxa"/>
          </w:tcPr>
          <w:p>
            <w:pPr>
              <w:spacing w:after="20"/>
              <w:jc w:val="left"/>
            </w:pPr>
            <w:r>
              <w:t xml:space="preserve">Moving fluid</w:t>
            </w:r>
          </w:p>
        </w:tc>
      </w:tr>
      <w:tr>
        <w:tc>
          <w:tcPr>
            <w:tcW w:w="1872" w:type="dxa"/>
          </w:tcPr>
          <w:p>
            <w:pPr>
              <w:spacing w:after="20"/>
              <w:jc w:val="left"/>
            </w:pPr>
            <w:r>
              <w:t xml:space="preserve">Radiation</w:t>
            </w:r>
          </w:p>
        </w:tc>
        <w:tc>
          <w:tcPr>
            <w:tcW w:w="1872" w:type="dxa"/>
          </w:tcPr>
          <w:p>
            <w:pPr>
              <w:spacing w:after="20"/>
              <w:jc w:val="left"/>
            </w:pPr>
            <w:r>
              <w:t xml:space="preserve">Stefan–Boltzmann law</w:t>
            </w:r>
          </w:p>
        </w:tc>
        <w:tc>
          <w:tcPr>
            <w:tcW w:w="1872" w:type="dxa"/>
          </w:tcPr>
          <w:p>
            <w:pPr>
              <w:spacing w:after="20"/>
              <w:jc w:val="left"/>
            </w:pPr>
            <w:r>
              <w:t xml:space="preserve">Emissivity, e</w:t>
            </w:r>
          </w:p>
        </w:tc>
        <w:tc>
          <w:tcPr>
            <w:tcW w:w="1872" w:type="dxa"/>
          </w:tcPr>
          <w:p>
            <w:pPr>
              <w:spacing w:after="20"/>
              <w:jc w:val="left"/>
            </w:pPr>
            <w:r>
              <w:t xml:space="preserve">Fourth power of absolute temperature</w:t>
            </w:r>
          </w:p>
        </w:tc>
        <w:tc>
          <w:tcPr>
            <w:tcW w:w="1872" w:type="dxa"/>
          </w:tcPr>
          <w:p>
            <w:pPr>
              <w:spacing w:after="20"/>
              <w:jc w:val="left"/>
            </w:pPr>
            <w:r>
              <w:t xml:space="preserve">None (vacuum permitted)</w:t>
            </w:r>
          </w:p>
        </w:tc>
      </w:tr>
    </w:tbl>
    <w:p>
      <w:pPr>
        <w:spacing w:after="120"/>
      </w:pPr>
    </w:p>
    <w:p>
      <w:pPr>
        <w:pStyle w:val="Normal"/>
      </w:pPr>
      <w:r>
        <w:t xml:space="preserve">The dimensionless groups that recur throughout convective analysis deserve particular emphasis because they reappear in every subsequent chapter, including those concerned with nanofluids and machine learning [7]. The Reynolds number, defined as the ratio of inertial to viscous forces, determines whether a flow is laminar, transitional or turbulent and thereby exerts the dominant control over the convective coefficient. The Prandtl number, the ratio of momentum diffusivity to thermal diffusivity, characterises the relative thickness of the velocity and thermal boundary layers and is a pure fluid property; for gases it is of order unity, for water it ranges from roughly two to seven depending on temperature, and for oils it can reach several hundred. The Nusselt number, the ratio of convective to conductive heat transfer at a surface, is the dimensionless form of the heat transfer coefficient and is the quantity most convective correlations aim to predict. A great many empirical and semi-empirical correlations express the Nusselt number as a power-law function of the Reynolds and Prandtl numbers, the Dittus–Boelter correlation for fully developed turbulent flow in smooth tubes being the archetypal example [8]. These correlations, and the assumptions that underlie them, will prove important later because one of the principal motivations for data-driven modelling is precisely the limited accuracy of such closed-form expressions when applied to complex fluids such as nanofluids [9].</w:t>
      </w:r>
    </w:p>
    <w:p>
      <w:pPr>
        <w:pStyle w:val="Normal"/>
      </w:pPr>
      <w:r>
        <w:t xml:space="preserve">Radiation is the transfer of energy by electromagnetic waves and, uniquely among the three modes, requires no intervening medium; indeed it proceeds most efficiently through a vacuum. Every surface at a finite absolute temperature emits radiant energy, and the maximum possible emission is described by the Stefan–Boltzmann law, according to which the emissive power of an ideal black body is proportional to the fourth power of its absolute temperature. Real surfaces emit less than a black body by a factor known as the emissivity, and the net radiant exchange between surfaces depends on their temperatures, emissivities and the geometric view factors that describe how they see one another [10]. In most liquid-to-liquid and liquid-to-gas heat exchangers operating near ambient temperature, radiation is negligible in comparison with convection, and it is common to omit it from the analysis. However, in high-temperature applications such as furnaces, gas-turbine recuperators, concentrated-solar receivers and certain electronics-cooling scenarios, radiation becomes significant and must be incorporated, often through a radiation heat transfer coefficient that is linearised and added to the convective coefficient to form a combined surface coefficient [11]. Because the fourth-power dependence makes radiation extremely sensitive to temperature, small changes in surface temperature can produce large changes in radiant flux, a strong nonlinearity that complicates both the analytical and the numerical treatment. The practical consequence is that the neglect of radiation, entirely justified near ambient temperature, becomes progressively less defensible as the temperature rises, and the designer of a high-temperature device must judge with care the point at which the radiant contribution ceases to be negligible and must be carried explicitly through the analysis alongside the convective and conductive terms [11].</w:t>
      </w:r>
    </w:p>
    <w:p>
      <w:pPr>
        <w:pStyle w:val="Normal"/>
      </w:pPr>
      <w:r>
        <w:t xml:space="preserve">The reason that the heat transfer coefficient defies the simple predictability of a material property, and must instead be correlated through dimensionless groups, repays a moment's reflection because it explains the entire structure of convective analysis that follows. Thermal conductivity is a property of a substance alone, fixed once the material, temperature and pressure are specified, and it may therefore be tabulated once and consulted thereafter; the heat transfer coefficient, by contrast, is a property not of a substance but of a situation, depending jointly on the fluid, the geometry, the velocity and the thermal boundary condition, so that no table could ever enumerate its values across the infinity of situations in which convection occurs [5]. This irreducible dependence on the configuration is what compels the recourse to dimensionless analysis, which does not eliminate the dependence but organises it, collapsing the many dimensional variables into a smaller number of dimensionless groups so that a single correlation among those groups covers a whole family of geometrically similar situations at a stroke. The Nusselt number is best understood in this light not as an arbitrary abstraction but as the natural dimensionless carrier of the heat transfer coefficient, the quantity in terms of which the situation-dependence of convection can be captured compactly, and the recurrence of the Nusselt number throughout this book, in the classical correlations of the early chapters and equally in the data-driven models of the later ones, reflects this fundamental role [6].</w:t>
      </w:r>
    </w:p>
    <w:p>
      <w:pPr>
        <w:pStyle w:val="Normal"/>
      </w:pPr>
      <w:r>
        <w:t xml:space="preserve">The physical content of the Prandtl number deserves an emphasis commensurate with its importance, for it is the single group that characterises the fluid alone and that therefore travels with the fluid into every convective situation. By comparing the rate at which momentum diffuses through the fluid with the rate at which heat diffuses, the Prandtl number fixes the relative thicknesses of the velocity and thermal boundary layers, and this ratio governs the qualitative character of the convection in ways that the designer must appreciate. In a fluid of low Prandtl number, such as a liquid metal, heat diffuses far faster than momentum, so that the thermal boundary layer extends well beyond the velocity boundary layer and the heat transfer is relatively insensitive to the details of the velocity field; in a fluid of high Prandtl number, such as an oil, momentum diffuses far faster than heat, so that the thermal boundary layer is confined within a thin sublayer near the wall and the heat transfer becomes acutely sensitive to the near-wall velocity [7]. Water occupies an intermediate position, and the base fluids of the nanofluids considered throughout this book, being predominantly water and water-glycol mixtures, inherit this intermediate character, so that the influence of a nanoparticle addition on the effective Prandtl number, through its simultaneous alteration of the conductivity, viscosity and specific heat, becomes one of the routes by which the addition modifies the convective behaviour, a route that the property-prediction methods of the later chapters must ultimately quantify.</w:t>
      </w:r>
    </w:p>
    <w:p>
      <w:pPr>
        <w:pStyle w:val="Normal"/>
      </w:pPr>
      <w:r>
        <w:t xml:space="preserve">A more complete appreciation of convection requires attention to the boundary layer, the thin region adjacent to a surface within which the fluid velocity rises from zero at the wall, where the no-slip condition holds, to the free-stream value, and within which the temperature adjusts from the wall value to the bulk value. The velocity boundary layer and the thermal boundary layer grow along a surface in the flow direction, and the local heat transfer coefficient is inversely related to the thermal boundary-layer thickness: where the layer is thin, near a leading edge or a flow reattachment point, the coefficient is high, and where it has thickened, further downstream, the coefficient falls. This is why entrance regions exhibit elevated coefficients and why devices that repeatedly interrupt and restart the boundary layer, such as offset-strip fins and corrugated plates, achieve high average coefficients. The transition from laminar to turbulent flow, governed by the Reynolds number, produces a step change in behaviour because turbulent eddies transport momentum and energy far more effectively than molecular diffusion alone, raising both the heat transfer coefficient and the friction factor. The interplay of these boundary-layer phenomena with fluid properties is captured compactly by the dimensionless correlations already introduced, and it is the deviation of nanofluid behaviour from these classical boundary-layer expectations, documented in the later chapters, that makes their analysis at once so interesting and so genuinely difficult.</w:t>
      </w:r>
    </w:p>
    <w:p>
      <w:pPr>
        <w:pStyle w:val="Normal"/>
      </w:pPr>
      <w:r>
        <w:t xml:space="preserve">The analogy between momentum and heat transfer provides additional insight and a useful predictive tool. Because the same turbulent eddies that transport momentum also transport thermal energy, the friction factor and the heat transfer coefficient are physically linked, a connection formalised in the Reynolds analogy and its refinements such as the Chilton–Colburn analogy, which relates the Stanton number to the friction factor through the Prandtl number. These analogies underpin the recurring observation that heat-transfer enhancement and pressure-drop penalty tend to move together, and they establish the theoretical basis for the performance-evaluation criteria that later chapters use to judge whether a nanofluid delivers a net benefit. When an enhancement technique improves heat transfer by more than the analogy would predict from its friction penalty alone, it is said to break the analogy favourably, and such techniques are the most valuable; conversely, many simple enhancements merely trade pressure drop for heat transfer at the rate the analogy dictates, yielding no net thermodynamic advantage. This criterion, that a worthwhile enhancement must break the momentum-heat analogy in its favour rather than merely move along it, furnishes the sternest test that any proposed augmentation must pass, and it is precisely the test that the assessment of nanofluids in the later chapters applies to determine whether the particles deliver a genuine advantage or merely exchange pumping power for heat transfer at the unremarkable rate the analogy already provides.</w:t>
      </w:r>
    </w:p>
    <w:p>
      <w:pPr>
        <w:pStyle w:val="Normal"/>
      </w:pPr>
      <w:r>
        <w:t xml:space="preserve">The three modes rarely act in isolation. In a typical shell-and-tube heat exchanger, heat is convected from the hot fluid to the inner tube wall, conducted through the tube wall thickness, and convected from the outer tube wall to the cold fluid, so that conduction and convection operate in series across the tube. The thermal-resistance concept, in which each transport step is represented by a resistance analogous to electrical resistance, provides an intuitive and powerful framework for combining these steps [12]. The total resistance to heat flow between the two bulk fluids is the sum of the two convective film resistances, the wall conduction resistance and, in a fouled exchanger, the resistances of the deposit layers on each side. The reciprocal of the total resistance, referred to the appropriate surface area, defines the overall heat transfer coefficient that appears in every heat-exchanger rating and sizing calculation [13].</w:t>
      </w:r>
    </w:p>
    <w:p>
      <w:pPr>
        <w:pStyle w:val="Normal"/>
      </w:pPr>
      <w:r>
        <w:t xml:space="preserve">The thermal-resistance analogy, borrowed from the analysis of electrical circuits, is more than a computational convenience, for it structures the engineer's intuition about where heat transfer is limited and where intervention can help. In the electrical analogy a temperature difference plays the role of a voltage, a heat flow that of a current, and each transport step that of a resistance, and because resistances in series simply add, the largest resistance dominates the sum and thereby controls the overall rate. This immediately reveals a principle of great practical consequence, namely that reducing a resistance that is already small yields a negligible improvement in the total, whereas reducing the largest resistance yields the greatest benefit, so that the rational allocation of design effort begins with the identification of the controlling resistance [12]. The analogy also accommodates parallel paths, as when heat flows both through a fin and through the surface at its base, and combinations of series and parallel elements can represent quite intricate geometries, so that the resistance network becomes a compact map of the thermal pathways through a device. The enduring value of this way of thinking is that it converts the abstract expression for the overall coefficient into a diagnostic picture in which the bottleneck to heat flow is immediately visible, and it is a picture to which this book returns whenever the question arises of whether a proposed enhancement, nanofluid or otherwise, addresses the resistance that actually governs the performance.</w:t>
      </w:r>
    </w:p>
    <w:p>
      <w:pPr>
        <w:pStyle w:val="Normal"/>
      </w:pPr>
      <w:r>
        <w:t xml:space="preserve">The concept of the controlling resistance carries a lesson for the deployment of nanofluids that cannot be stated too early or too emphatically, and it recurs throughout the later chapters as a criterion of realism. A nanofluid enhances the convective coefficient on the side of the wall along which it flows, and it thereby reduces the film resistance on that side; but if that film resistance was not the controlling resistance to begin with, its reduction scarcely alters the total, and the enhancement delivers little benefit while still exacting its pumping penalty [14]. The situations in which a nanofluid can genuinely transform performance are therefore those in which the film it flows against dominates the total resistance, as the single-phase liquid side often does in a liquid-to-liquid exchanger of comparable film coefficients, and the situations in which it is nearly futile are those in which some other resistance, a controlling gas-side film, a thick fouling layer or a phase-change coefficient of overwhelming magnitude, already governs the total. This sober conditioning of the nanofluid promise upon the resistance structure of the particular application is one of the most important correctives that the fundamentals of this chapter supply, and it guards against the uncritical enthusiasm that would apply a nanofluid indiscriminately without first asking whether the resistance it addresses is the one that matters. This series-resistance picture makes abundantly clear why the enhancement of a single film coefficient yields sharply diminishing returns once that film ceases to be the controlling resistance, a principle that has direct consequences for the deployment of nanofluids: augmenting the coefficient on a side that already offers little resistance produces negligible benefit while still incurring the associated pumping penalty [14].</w:t>
      </w:r>
    </w:p>
    <w:p>
      <w:pPr>
        <w:pStyle w:val="Heading2"/>
      </w:pPr>
      <w:r>
        <w:t xml:space="preserve">1.2 Classification, Components, and Working Principles of Heat Exchangers</w:t>
      </w:r>
    </w:p>
    <w:p>
      <w:pPr>
        <w:pStyle w:val="Normal"/>
      </w:pPr>
      <w:r>
        <w:t xml:space="preserve">The diversity of heat-exchanger hardware is best organised through a classification scheme that proceeds along several complementary axes. The most fundamental distinction concerns the manner in which the two fluid streams interact thermally. In recuperative exchangers, which constitute the overwhelming majority of industrial units, the hot and cold streams are separated at all times by a solid wall through which heat is conducted; the streams never mix, and the wall provides both the transfer surface and the pressure boundary. In regenerative exchangers, a solid matrix is alternately heated by the hot stream and cooled by the cold stream, so that energy is stored transiently in the matrix and released to the opposite stream; rotary air preheaters in power plants are the classic example. In direct-contact exchangers the two streams are brought into physical contact and are allowed to mix, as in cooling towers and certain condensers, which eliminates the wall resistance entirely at the cost of stream contamination [3]. Figure 1.2 presents this classification as a hierarchy that branches first by transfer process and then by construction and flow geometry.</w:t>
      </w:r>
    </w:p>
    <w:p>
      <w:pPr>
        <w:pStyle w:val="FigureImage"/>
      </w:pPr>
      <w:r>
        <w:drawing>
          <wp:inline xmlns:wp="http://schemas.openxmlformats.org/drawingml/2006/wordprocessingDrawing" distT="0" distB="0" distL="0" distR="0">
            <wp:extent cx="5486400" cy="3753852"/>
            <wp:docPr id="1001" name="Picture1001"/>
            <a:graphic xmlns:a="http://schemas.openxmlformats.org/drawingml/2006/main">
              <a:graphicData uri="http://schemas.openxmlformats.org/drawingml/2006/picture">
                <pic:pic xmlns:pic="http://schemas.openxmlformats.org/drawingml/2006/picture">
                  <pic:nvPicPr>
                    <pic:cNvPr id="1001" name="Picture1001"/>
                    <pic:cNvPicPr/>
                  </pic:nvPicPr>
                  <pic:blipFill>
                    <a:blip xmlns:r="http://schemas.openxmlformats.org/officeDocument/2006/relationships" r:embed="rId1001"/>
                    <a:stretch>
                      <a:fillRect/>
                    </a:stretch>
                  </pic:blipFill>
                  <pic:spPr>
                    <a:xfrm>
                      <a:off x="0" y="0"/>
                      <a:ext cx="5486400" cy="3753852"/>
                    </a:xfrm>
                    <a:prstGeom prst="rect">
                      <a:avLst/>
                    </a:prstGeom>
                  </pic:spPr>
                </pic:pic>
              </a:graphicData>
            </a:graphic>
          </wp:inline>
        </w:drawing>
      </w:r>
    </w:p>
    <w:p>
      <w:pPr>
        <w:pStyle w:val="FigureCaption"/>
      </w:pPr>
      <w:r>
        <w:t xml:space="preserve">Figure 1.2 Hierarchical classification of heat exchangers by transfer process, construction and flow arrangement.</w:t>
      </w:r>
    </w:p>
    <w:p>
      <w:pPr>
        <w:pStyle w:val="Normal"/>
      </w:pPr>
      <w:r>
        <w:t xml:space="preserve">Within the recuperative family, construction offers a further and highly practical basis for classification. The shell-and-tube heat exchanger remains the workhorse of the process industries because of its mechanical robustness, its suitability for high pressures and temperatures, and the maturity of its design codes. It consists of a bundle of tubes enclosed within a cylindrical shell, with one fluid flowing through the tubes and the other flowing across or along the outside of the tube bundle within the shell. The principal components are the tubes themselves, the tubesheets that anchor the tube ends and separate the tube-side and shell-side fluids, the shell, the channel or head that distributes the tube-side fluid, and the baffles that both support the tubes and direct the shell-side flow across the bundle to promote turbulence and heat transfer [4]. Baffle geometry is a critical design variable because it simultaneously governs the shell-side heat transfer coefficient and the shell-side pressure drop, and the segmental baffle, in which a circular plate with a segment removed is used to force the flow into a serpentine path, is the most common configuration. The standards published by the Tubular Exchanger Manufacturers Association codify the nomenclature and dimensional practice for shell-and-tube exchangers and are referenced universally in industrial design [5].</w:t>
      </w:r>
    </w:p>
    <w:p>
      <w:pPr>
        <w:pStyle w:val="Normal"/>
      </w:pPr>
      <w:r>
        <w:t xml:space="preserve">The tube bundle itself admits considerable variation that the designer exploits to balance the competing demands of the service, and the choices involved illustrate the interplay of thermal, hydraulic and mechanical considerations that characterises heat-exchanger design generally. The tubes may be arranged on a triangular pitch, which packs more tubes into a given shell diameter and raises the shell-side coefficient by promoting turbulence, or on a square pitch, which opens straight cleaning lanes between the tube rows and is therefore preferred where the shell-side fluid fouls and must be mechanically cleaned [4]. The tube diameter and wall thickness are selected to withstand the pressure and to resist corrosion and erosion while keeping the tube-side velocity within a range that promotes heat transfer without provoking excessive pressure drop or vibration, and the tube length is chosen to achieve the required area within the constraints of the available space and the standard tube lengths that economy favours. These choices are not independent, for a change in tube diameter alters both the number of tubes required and the velocity within them, and the design of a shell-and-tube exchanger is accordingly an iterative reconciliation of many coupled variables, a reconciliation that the correlation-based and, later, the data-driven methods of this book seek to accelerate without altering its essential character.</w:t>
      </w:r>
    </w:p>
    <w:p>
      <w:pPr>
        <w:pStyle w:val="Normal"/>
      </w:pPr>
      <w:r>
        <w:t xml:space="preserve">The thermal expansion that accompanies the temperature differences within an operating exchanger imposes mechanical demands that shape the construction in ways the purely thermal analysis does not anticipate. When the tubes and the shell operate at different temperatures, as they generally do, they expand by different amounts, and if both are rigidly fixed the resulting thermal stress can buckle the tubes or rupture the joints where they meet the tubesheet. The fixed-tubesheet construction, simplest and cheapest, tolerates only modest temperature differences and is often fitted with an expansion joint in the shell to relieve the stress; the U-tube construction, in which each tube is bent into a U so that both its ends enter the same tubesheet, allows each tube to expand freely but complicates cleaning of the tube interior; and the floating-head construction, in which one tubesheet is left free to move, accommodates large expansions at the cost of greater complexity and expense [4]. The selection among these constructions is governed by the temperature difference, the pressure, the fouling tendency and the cost, and it exemplifies once again how the mechanical realities of a working device constrain and complicate the elegant thermal analysis, a theme that the designer ignores at peril and that the later chapters keep in view even as they concentrate on the thermal-hydraulic prediction.</w:t>
      </w:r>
    </w:p>
    <w:p>
      <w:pPr>
        <w:pStyle w:val="Normal"/>
      </w:pPr>
      <w:r>
        <w:t xml:space="preserve">Plate heat exchangers offer a fundamentally different construction in which the transfer surface is formed by a stack of thin corrugated metal plates clamped together in a frame, with gaskets sealing the plate edges and directing alternate streams into alternate channels. The corrugations induce strong turbulence at comparatively low Reynolds numbers and create a large surface area within a small volume, so that plate exchangers achieve very high heat transfer coefficients and close temperature approaches in a compact and easily cleaned package. Their principal limitations are the temperature and pressure ratings imposed by the gaskets, although brazed and welded variants extend the operating envelope considerably [6]. Because the plates can be added or removed to change the transfer area, gasketed plate exchangers are unusually flexible, a feature that makes them popular in food processing, district heating and marine applications. Table 1.1 compares the principal heat-exchanger families across the attributes that matter most in selection.</w:t>
      </w:r>
    </w:p>
    <w:p>
      <w:pPr>
        <w:pStyle w:val="TableCaption"/>
      </w:pPr>
      <w:r>
        <w:rPr>
          <w:b/>
        </w:rPr>
        <w:t xml:space="preserve">Table 1.1</w:t>
      </w:r>
      <w:r>
        <w:t xml:space="preserve"> Comparison of the principal heat-exchanger families across key selection attributes.</w:t>
      </w:r>
    </w:p>
    <w:tbl>
      <w:tblPr>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w="1560" w:type="dxa"/>
            <w:shd w:val="clear" w:color="auto" w:fill="D9E2F3"/>
          </w:tcPr>
          <w:p>
            <w:pPr>
              <w:jc w:val="center"/>
              <w:spacing w:after="20"/>
            </w:pPr>
            <w:r>
              <w:rPr>
                <w:b/>
              </w:rPr>
              <w:t xml:space="preserve">Type</w:t>
            </w:r>
          </w:p>
        </w:tc>
        <w:tc>
          <w:tcPr>
            <w:tcW w:w="1560" w:type="dxa"/>
            <w:shd w:val="clear" w:color="auto" w:fill="D9E2F3"/>
          </w:tcPr>
          <w:p>
            <w:pPr>
              <w:jc w:val="center"/>
              <w:spacing w:after="20"/>
            </w:pPr>
            <w:r>
              <w:rPr>
                <w:b/>
              </w:rPr>
              <w:t xml:space="preserve">Typical area density (m2/m3)</w:t>
            </w:r>
          </w:p>
        </w:tc>
        <w:tc>
          <w:tcPr>
            <w:tcW w:w="1560" w:type="dxa"/>
            <w:shd w:val="clear" w:color="auto" w:fill="D9E2F3"/>
          </w:tcPr>
          <w:p>
            <w:pPr>
              <w:jc w:val="center"/>
              <w:spacing w:after="20"/>
            </w:pPr>
            <w:r>
              <w:rPr>
                <w:b/>
              </w:rPr>
              <w:t xml:space="preserve">Pressure capability</w:t>
            </w:r>
          </w:p>
        </w:tc>
        <w:tc>
          <w:tcPr>
            <w:tcW w:w="1560" w:type="dxa"/>
            <w:shd w:val="clear" w:color="auto" w:fill="D9E2F3"/>
          </w:tcPr>
          <w:p>
            <w:pPr>
              <w:jc w:val="center"/>
              <w:spacing w:after="20"/>
            </w:pPr>
            <w:r>
              <w:rPr>
                <w:b/>
              </w:rPr>
              <w:t xml:space="preserve">Temperature capability</w:t>
            </w:r>
          </w:p>
        </w:tc>
        <w:tc>
          <w:tcPr>
            <w:tcW w:w="1560" w:type="dxa"/>
            <w:shd w:val="clear" w:color="auto" w:fill="D9E2F3"/>
          </w:tcPr>
          <w:p>
            <w:pPr>
              <w:jc w:val="center"/>
              <w:spacing w:after="20"/>
            </w:pPr>
            <w:r>
              <w:rPr>
                <w:b/>
              </w:rPr>
              <w:t xml:space="preserve">Cleanability</w:t>
            </w:r>
          </w:p>
        </w:tc>
        <w:tc>
          <w:tcPr>
            <w:tcW w:w="1560" w:type="dxa"/>
            <w:shd w:val="clear" w:color="auto" w:fill="D9E2F3"/>
          </w:tcPr>
          <w:p>
            <w:pPr>
              <w:jc w:val="center"/>
              <w:spacing w:after="20"/>
            </w:pPr>
            <w:r>
              <w:rPr>
                <w:b/>
              </w:rPr>
              <w:t xml:space="preserve">Typical applications</w:t>
            </w:r>
          </w:p>
        </w:tc>
      </w:tr>
      <w:tr>
        <w:tc>
          <w:tcPr>
            <w:tcW w:w="1560" w:type="dxa"/>
          </w:tcPr>
          <w:p>
            <w:pPr>
              <w:spacing w:after="20"/>
              <w:jc w:val="left"/>
            </w:pPr>
            <w:r>
              <w:t xml:space="preserve">Shell-and-tube</w:t>
            </w:r>
          </w:p>
        </w:tc>
        <w:tc>
          <w:tcPr>
            <w:tcW w:w="1560" w:type="dxa"/>
          </w:tcPr>
          <w:p>
            <w:pPr>
              <w:spacing w:after="20"/>
              <w:jc w:val="left"/>
            </w:pPr>
            <w:r>
              <w:t xml:space="preserve">60-100</w:t>
            </w:r>
          </w:p>
        </w:tc>
        <w:tc>
          <w:tcPr>
            <w:tcW w:w="1560" w:type="dxa"/>
          </w:tcPr>
          <w:p>
            <w:pPr>
              <w:spacing w:after="20"/>
              <w:jc w:val="left"/>
            </w:pPr>
            <w:r>
              <w:t xml:space="preserve">Very high</w:t>
            </w:r>
          </w:p>
        </w:tc>
        <w:tc>
          <w:tcPr>
            <w:tcW w:w="1560" w:type="dxa"/>
          </w:tcPr>
          <w:p>
            <w:pPr>
              <w:spacing w:after="20"/>
              <w:jc w:val="left"/>
            </w:pPr>
            <w:r>
              <w:t xml:space="preserve">Very high</w:t>
            </w:r>
          </w:p>
        </w:tc>
        <w:tc>
          <w:tcPr>
            <w:tcW w:w="1560" w:type="dxa"/>
          </w:tcPr>
          <w:p>
            <w:pPr>
              <w:spacing w:after="20"/>
              <w:jc w:val="left"/>
            </w:pPr>
            <w:r>
              <w:t xml:space="preserve">Moderate</w:t>
            </w:r>
          </w:p>
        </w:tc>
        <w:tc>
          <w:tcPr>
            <w:tcW w:w="1560" w:type="dxa"/>
          </w:tcPr>
          <w:p>
            <w:pPr>
              <w:spacing w:after="20"/>
              <w:jc w:val="left"/>
            </w:pPr>
            <w:r>
              <w:t xml:space="preserve">Refineries, power, chemical process</w:t>
            </w:r>
          </w:p>
        </w:tc>
      </w:tr>
      <w:tr>
        <w:tc>
          <w:tcPr>
            <w:tcW w:w="1560" w:type="dxa"/>
          </w:tcPr>
          <w:p>
            <w:pPr>
              <w:spacing w:after="20"/>
              <w:jc w:val="left"/>
            </w:pPr>
            <w:r>
              <w:t xml:space="preserve">Gasketed plate</w:t>
            </w:r>
          </w:p>
        </w:tc>
        <w:tc>
          <w:tcPr>
            <w:tcW w:w="1560" w:type="dxa"/>
          </w:tcPr>
          <w:p>
            <w:pPr>
              <w:spacing w:after="20"/>
              <w:jc w:val="left"/>
            </w:pPr>
            <w:r>
              <w:t xml:space="preserve">120-660</w:t>
            </w:r>
          </w:p>
        </w:tc>
        <w:tc>
          <w:tcPr>
            <w:tcW w:w="1560" w:type="dxa"/>
          </w:tcPr>
          <w:p>
            <w:pPr>
              <w:spacing w:after="20"/>
              <w:jc w:val="left"/>
            </w:pPr>
            <w:r>
              <w:t xml:space="preserve">Moderate</w:t>
            </w:r>
          </w:p>
        </w:tc>
        <w:tc>
          <w:tcPr>
            <w:tcW w:w="1560" w:type="dxa"/>
          </w:tcPr>
          <w:p>
            <w:pPr>
              <w:spacing w:after="20"/>
              <w:jc w:val="left"/>
            </w:pPr>
            <w:r>
              <w:t xml:space="preserve">Moderate</w:t>
            </w:r>
          </w:p>
        </w:tc>
        <w:tc>
          <w:tcPr>
            <w:tcW w:w="1560" w:type="dxa"/>
          </w:tcPr>
          <w:p>
            <w:pPr>
              <w:spacing w:after="20"/>
              <w:jc w:val="left"/>
            </w:pPr>
            <w:r>
              <w:t xml:space="preserve">Excellent</w:t>
            </w:r>
          </w:p>
        </w:tc>
        <w:tc>
          <w:tcPr>
            <w:tcW w:w="1560" w:type="dxa"/>
          </w:tcPr>
          <w:p>
            <w:pPr>
              <w:spacing w:after="20"/>
              <w:jc w:val="left"/>
            </w:pPr>
            <w:r>
              <w:t xml:space="preserve">Food, HVAC, district heating</w:t>
            </w:r>
          </w:p>
        </w:tc>
      </w:tr>
      <w:tr>
        <w:tc>
          <w:tcPr>
            <w:tcW w:w="1560" w:type="dxa"/>
          </w:tcPr>
          <w:p>
            <w:pPr>
              <w:spacing w:after="20"/>
              <w:jc w:val="left"/>
            </w:pPr>
            <w:r>
              <w:t xml:space="preserve">Brazed plate</w:t>
            </w:r>
          </w:p>
        </w:tc>
        <w:tc>
          <w:tcPr>
            <w:tcW w:w="1560" w:type="dxa"/>
          </w:tcPr>
          <w:p>
            <w:pPr>
              <w:spacing w:after="20"/>
              <w:jc w:val="left"/>
            </w:pPr>
            <w:r>
              <w:t xml:space="preserve">200-800</w:t>
            </w:r>
          </w:p>
        </w:tc>
        <w:tc>
          <w:tcPr>
            <w:tcW w:w="1560" w:type="dxa"/>
          </w:tcPr>
          <w:p>
            <w:pPr>
              <w:spacing w:after="20"/>
              <w:jc w:val="left"/>
            </w:pPr>
            <w:r>
              <w:t xml:space="preserve">High</w:t>
            </w:r>
          </w:p>
        </w:tc>
        <w:tc>
          <w:tcPr>
            <w:tcW w:w="1560" w:type="dxa"/>
          </w:tcPr>
          <w:p>
            <w:pPr>
              <w:spacing w:after="20"/>
              <w:jc w:val="left"/>
            </w:pPr>
            <w:r>
              <w:t xml:space="preserve">High</w:t>
            </w:r>
          </w:p>
        </w:tc>
        <w:tc>
          <w:tcPr>
            <w:tcW w:w="1560" w:type="dxa"/>
          </w:tcPr>
          <w:p>
            <w:pPr>
              <w:spacing w:after="20"/>
              <w:jc w:val="left"/>
            </w:pPr>
            <w:r>
              <w:t xml:space="preserve">Poor</w:t>
            </w:r>
          </w:p>
        </w:tc>
        <w:tc>
          <w:tcPr>
            <w:tcW w:w="1560" w:type="dxa"/>
          </w:tcPr>
          <w:p>
            <w:pPr>
              <w:spacing w:after="20"/>
              <w:jc w:val="left"/>
            </w:pPr>
            <w:r>
              <w:t xml:space="preserve">Refrigeration, heat pumps</w:t>
            </w:r>
          </w:p>
        </w:tc>
      </w:tr>
      <w:tr>
        <w:tc>
          <w:tcPr>
            <w:tcW w:w="1560" w:type="dxa"/>
          </w:tcPr>
          <w:p>
            <w:pPr>
              <w:spacing w:after="20"/>
              <w:jc w:val="left"/>
            </w:pPr>
            <w:r>
              <w:t xml:space="preserve">Compact / finned</w:t>
            </w:r>
          </w:p>
        </w:tc>
        <w:tc>
          <w:tcPr>
            <w:tcW w:w="1560" w:type="dxa"/>
          </w:tcPr>
          <w:p>
            <w:pPr>
              <w:spacing w:after="20"/>
              <w:jc w:val="left"/>
            </w:pPr>
            <w:r>
              <w:t xml:space="preserve">700-1500</w:t>
            </w:r>
          </w:p>
        </w:tc>
        <w:tc>
          <w:tcPr>
            <w:tcW w:w="1560" w:type="dxa"/>
          </w:tcPr>
          <w:p>
            <w:pPr>
              <w:spacing w:after="20"/>
              <w:jc w:val="left"/>
            </w:pPr>
            <w:r>
              <w:t xml:space="preserve">Low to moderate</w:t>
            </w:r>
          </w:p>
        </w:tc>
        <w:tc>
          <w:tcPr>
            <w:tcW w:w="1560" w:type="dxa"/>
          </w:tcPr>
          <w:p>
            <w:pPr>
              <w:spacing w:after="20"/>
              <w:jc w:val="left"/>
            </w:pPr>
            <w:r>
              <w:t xml:space="preserve">Moderate</w:t>
            </w:r>
          </w:p>
        </w:tc>
        <w:tc>
          <w:tcPr>
            <w:tcW w:w="1560" w:type="dxa"/>
          </w:tcPr>
          <w:p>
            <w:pPr>
              <w:spacing w:after="20"/>
              <w:jc w:val="left"/>
            </w:pPr>
            <w:r>
              <w:t xml:space="preserve">Poor</w:t>
            </w:r>
          </w:p>
        </w:tc>
        <w:tc>
          <w:tcPr>
            <w:tcW w:w="1560" w:type="dxa"/>
          </w:tcPr>
          <w:p>
            <w:pPr>
              <w:spacing w:after="20"/>
              <w:jc w:val="left"/>
            </w:pPr>
            <w:r>
              <w:t xml:space="preserve">Automotive, aerospace, cryogenics</w:t>
            </w:r>
          </w:p>
        </w:tc>
      </w:tr>
      <w:tr>
        <w:tc>
          <w:tcPr>
            <w:tcW w:w="1560" w:type="dxa"/>
          </w:tcPr>
          <w:p>
            <w:pPr>
              <w:spacing w:after="20"/>
              <w:jc w:val="left"/>
            </w:pPr>
            <w:r>
              <w:t xml:space="preserve">Double-pipe</w:t>
            </w:r>
          </w:p>
        </w:tc>
        <w:tc>
          <w:tcPr>
            <w:tcW w:w="1560" w:type="dxa"/>
          </w:tcPr>
          <w:p>
            <w:pPr>
              <w:spacing w:after="20"/>
              <w:jc w:val="left"/>
            </w:pPr>
            <w:r>
              <w:t xml:space="preserve">30-60</w:t>
            </w:r>
          </w:p>
        </w:tc>
        <w:tc>
          <w:tcPr>
            <w:tcW w:w="1560" w:type="dxa"/>
          </w:tcPr>
          <w:p>
            <w:pPr>
              <w:spacing w:after="20"/>
              <w:jc w:val="left"/>
            </w:pPr>
            <w:r>
              <w:t xml:space="preserve">High</w:t>
            </w:r>
          </w:p>
        </w:tc>
        <w:tc>
          <w:tcPr>
            <w:tcW w:w="1560" w:type="dxa"/>
          </w:tcPr>
          <w:p>
            <w:pPr>
              <w:spacing w:after="20"/>
              <w:jc w:val="left"/>
            </w:pPr>
            <w:r>
              <w:t xml:space="preserve">High</w:t>
            </w:r>
          </w:p>
        </w:tc>
        <w:tc>
          <w:tcPr>
            <w:tcW w:w="1560" w:type="dxa"/>
          </w:tcPr>
          <w:p>
            <w:pPr>
              <w:spacing w:after="20"/>
              <w:jc w:val="left"/>
            </w:pPr>
            <w:r>
              <w:t xml:space="preserve">Good</w:t>
            </w:r>
          </w:p>
        </w:tc>
        <w:tc>
          <w:tcPr>
            <w:tcW w:w="1560" w:type="dxa"/>
          </w:tcPr>
          <w:p>
            <w:pPr>
              <w:spacing w:after="20"/>
              <w:jc w:val="left"/>
            </w:pPr>
            <w:r>
              <w:t xml:space="preserve">Small duties, high-pressure trim</w:t>
            </w:r>
          </w:p>
        </w:tc>
      </w:tr>
    </w:tbl>
    <w:p>
      <w:pPr>
        <w:spacing w:after="120"/>
      </w:pPr>
    </w:p>
    <w:p>
      <w:pPr>
        <w:pStyle w:val="Normal"/>
      </w:pPr>
      <w:r>
        <w:t xml:space="preserve">Compact heat exchangers are defined by a high ratio of transfer area to volume, conventionally taken as exceeding seven hundred square metres per cubic metre, and are realised through extended surfaces such as plate-fin and tube-fin geometries. The addition of fins increases the effective surface area on the side offering the larger thermal resistance, which is typically the gas side in gas-to-liquid applications; the fin efficiency, which accounts for the temperature drop that develops along the fin as heat is conducted from its base to its tip, is a central parameter in their design [7]. Plate-fin exchangers, in which corrugated fin sheets are brazed between flat separator plates, are indispensable in cryogenic air separation and aerospace applications where minimum weight and volume are paramount. Tube-fin exchangers, in which fins are attached to round or flat tubes, dominate automotive radiators and air-conditioning coils [8]. The double-pipe exchanger, consisting of one pipe concentrically located within another, represents the simplest recuperative geometry; although its low surface-area density limits it to small duties, its mechanical simplicity and ability to achieve true counterflow make it useful for high-pressure trim-heating and for laboratory and pilot-scale work [9].</w:t>
      </w:r>
    </w:p>
    <w:p>
      <w:pPr>
        <w:pStyle w:val="Normal"/>
      </w:pPr>
      <w:r>
        <w:t xml:space="preserve">The working principle of each family follows directly from its construction. In the shell-and-tube exchanger the tube-side fluid is chosen, where a choice exists, as the one that is more corrosive, more prone to fouling, at higher pressure or in smaller volume, because the tubes are easier to clean, cheaper to fabricate in corrosion-resistant alloys and better able to contain pressure than the shell. Multiple tube passes are used to raise the tube-side velocity and hence the tube-side coefficient when the flow rate would otherwise give an uneconomically low velocity, at the cost of introducing a parallel-flow component that lowers the mean temperature difference and requires the correction factor already mentioned. On the shell side, the baffle cut and spacing are adjusted to balance the competing demands of heat transfer and pressure drop, and leakage streams that bypass the intended crossflow path, through the clearances between baffles and shell and between tubes and baffle holes, degrade performance in ways that detailed methods such as the Bell–Delaware procedure attempt to quantify. These construction-specific behaviours explain why generic correlations are less reliable for shell-side prediction than for the geometrically simpler tube side, and they foreshadow the appeal of data-driven models that can learn the influence of construction details directly from experimental data.</w:t>
      </w:r>
    </w:p>
    <w:p>
      <w:pPr>
        <w:pStyle w:val="Normal"/>
      </w:pPr>
      <w:r>
        <w:t xml:space="preserve">Plate and compact exchangers achieve their high performance through geometric intensification rather than through high velocity, and their working principle rests on the repeated interruption of the boundary layer by corrugations, louvres or fin offsets. Each interruption restarts the thermal boundary layer in its thin, high-coefficient state, so that the average coefficient over the surface greatly exceeds what a plain channel of the same hydraulic diameter would achieve. The price of this intensification is a correspondingly elevated friction factor, and the design of compact surfaces is essentially the art of maximising the heat-transfer intensification relative to the friction penalty. The extensive libraries of experimental heat-transfer and friction data for compact surfaces, compiled over decades, testify both to the value of these geometries and to the difficulty of predicting their performance from first principles, a difficulty that once again motivates the correlation-based and, more recently, the machine-learning-based predictive approaches examined in detail later in this book.</w:t>
      </w:r>
    </w:p>
    <w:p>
      <w:pPr>
        <w:pStyle w:val="Normal"/>
      </w:pPr>
      <w:r>
        <w:t xml:space="preserve">Flow arrangement provides a further axis of classification that has a direct and quantifiable effect on thermal performance. In parallel-flow, or cocurrent, operation the two streams enter at the same end and flow in the same direction, so that the temperature difference between them is large at the inlet and decreases monotonically toward the outlet; the outlet temperature of the cold stream can never exceed that of the hot stream. In counterflow operation the streams move in opposite directions, which maintains a more uniform temperature difference along the length of the exchanger and permits the cold stream to leave at a temperature above the hot-stream outlet temperature. For a given duty and a given set of inlet conditions, counterflow always requires the least surface area and is therefore the thermodynamically preferred arrangement, a result of considerable importance in design [10].</w:t>
      </w:r>
    </w:p>
    <w:p>
      <w:pPr>
        <w:pStyle w:val="Normal"/>
      </w:pPr>
      <w:r>
        <w:t xml:space="preserve">The superiority of counterflow rewards a physical explanation, for the reason it requires the least area illuminates the deeper thermodynamic principle at work. In parallel flow the two streams enter together and their temperatures converge toward a common intermediate value, so that the temperature difference driving the heat transfer is large at the inlet but collapses toward zero at the outlet, and because the driving difference vanishes as the streams approach thermal equilibrium the outlet of a parallel-flow exchanger can never bring the cold stream above the hot-stream outlet temperature [10]. In counterflow the streams enter at opposite ends and move against each other, so that the hot stream is always adjacent to a portion of the cold stream that has already been warmed, and the temperature difference, though it varies along the length, never collapses in the way it does in parallel flow, permitting the cold stream to leave warmer than the hot stream leaves and maintaining a larger average driving difference for the same duty. Because the required area is inversely related to the average driving difference, the larger and more uniform difference of counterflow translates directly into a smaller area, and the thermodynamic preference for counterflow is at bottom a preference for the arrangement that wastes the least of the available temperature difference. This appreciation of counterflow as the arrangement that husbands the driving potential most efficiently connects the flow-arrangement choice to the broader theme of thermodynamic efficiency that recurs throughout heat-exchanger design and that acquires renewed importance when the pumping cost of enhancement is weighed against its thermal benefit.</w:t>
      </w:r>
    </w:p>
    <w:p>
      <w:pPr>
        <w:pStyle w:val="Normal"/>
      </w:pPr>
      <w:r>
        <w:t xml:space="preserve">The distinction between mixed and unmixed streams in crossflow, though it may seem an abstruse refinement, has a concrete physical basis and a measurable effect on performance that the designer must respect. A stream is said to be unmixed when it is constrained, typically by the walls of separate channels or by the passages between fins, so that it cannot redistribute its temperature in the direction transverse to its flow, with the consequence that a temperature gradient develops across the stream as different portions of it exchange heat with portions of the other stream at different temperatures. A stream is said to be mixed when it flows through an open space that permits such transverse redistribution, so that it presents a uniform temperature across its width [11]. Because the unmixed condition preserves temperature gradients that raise the effective driving difference in some regions, an exchanger in which both streams are unmixed performs slightly better than one in which one or both are mixed, and the correction factors that adapt the counterflow analysis to crossflow depend on which streams are mixed. The practical importance of the distinction lies less in its magnitude, which is modest, than in the reminder it furnishes that the internal temperature distribution, not merely the terminal temperatures, governs the performance, a reminder that becomes pertinent when the detailed computation of Chapter 5 resolves the internal fields that the lumped analysis of this chapter can only summarise. Crossflow arrangements, in which the streams move at right angles to one another, occupy an intermediate position and are common in compact exchangers where header design favours perpendicular flow paths; the distinction between mixed and unmixed streams in crossflow, referring to whether a stream is free to redistribute its temperature transversely, introduces additional correction factors into the analysis [11].</w:t>
      </w:r>
    </w:p>
    <w:p>
      <w:pPr>
        <w:pStyle w:val="Heading2"/>
      </w:pPr>
      <w:r>
        <w:t xml:space="preserve">1.3 Thermal Performance, Effectiveness, and Design Considerations</w:t>
      </w:r>
    </w:p>
    <w:p>
      <w:pPr>
        <w:pStyle w:val="Normal"/>
      </w:pPr>
      <w:r>
        <w:t xml:space="preserve">The quantitative design of any recuperative heat exchanger rests on two complementary analytical frameworks, the logarithmic mean temperature difference method and the effectiveness–number-of-transfer-units method, both of which express the same underlying energy balance in forms suited to different classes of problem. The starting point for both is the overall heat transfer coefficient, denoted U, which combines the two convective film coefficients, the wall conduction resistance and any fouling resistances into a single conductance referred to a chosen reference area [12]. The rate of heat transfer is then written as the product of the overall coefficient, the transfer area and a representative temperature difference between the streams. Because the temperature difference varies along the length of the exchanger, the appropriate representative value for the sizing calculation is the logarithmic mean of the terminal temperature differences, a result that follows from integrating the local energy balance under the assumptions of constant properties and constant overall coefficient [13].</w:t>
      </w:r>
    </w:p>
    <w:p>
      <w:pPr>
        <w:pStyle w:val="Normal"/>
      </w:pPr>
      <w:r>
        <w:t xml:space="preserve">The logarithmic mean temperature difference method is most convenient when all four terminal temperatures are known or can be readily determined, as is typical in a sizing problem where the duty and the inlet and outlet temperatures are specified and the required area is sought. For flow arrangements other than pure counterflow, a correction factor, conventionally denoted F and tabulated as a function of two dimensionless temperature ratios, is applied to the counterflow logarithmic mean to account for the less favourable temperature distribution [14]. The correction factor is always less than or equal to unity, and designs that drive it below approximately zero point seven five are generally regarded as thermodynamically inefficient because a small change in operating conditions then produces a large change in required area, indicating an ill-conditioned design. This sensitivity is one of the practical reasons that counterflow is preferred wherever the mechanical arrangement permits it [12].</w:t>
      </w:r>
    </w:p>
    <w:p>
      <w:pPr>
        <w:pStyle w:val="Normal"/>
      </w:pPr>
      <w:r>
        <w:t xml:space="preserve">The effectiveness–number-of-transfer-units method reformulates the analysis in terms of three dimensionless groups and is indispensable when the outlet temperatures are unknown, as in a rating problem where an existing exchanger is analysed under new operating conditions. The effectiveness is defined as the ratio of the actual heat transfer rate to the maximum thermodynamically possible rate, the latter being the rate that would be achieved in a counterflow exchanger of infinite area. The number of transfer units is the ratio of the overall conductance to the smaller of the two stream heat capacity rates and may be interpreted as a dimensionless measure of the physical size of the exchanger. The heat capacity rate ratio is the ratio of the smaller to the larger stream heat capacity rate [13]. For every flow arrangement there exists a closed-form relationship between the effectiveness, the number of transfer units and the capacity-rate ratio; Figure 1.3 displays the family of effectiveness curves for counterflow across a range of capacity-rate ratios and illustrates the diminishing returns that set in as the number of transfer units grows large.</w:t>
      </w:r>
    </w:p>
    <w:p>
      <w:pPr>
        <w:pStyle w:val="FigureImage"/>
      </w:pPr>
      <w:r>
        <w:drawing>
          <wp:inline xmlns:wp="http://schemas.openxmlformats.org/drawingml/2006/wordprocessingDrawing" distT="0" distB="0" distL="0" distR="0">
            <wp:extent cx="5486400" cy="3753852"/>
            <wp:docPr id="1002" name="Picture1002"/>
            <a:graphic xmlns:a="http://schemas.openxmlformats.org/drawingml/2006/main">
              <a:graphicData uri="http://schemas.openxmlformats.org/drawingml/2006/picture">
                <pic:pic xmlns:pic="http://schemas.openxmlformats.org/drawingml/2006/picture">
                  <pic:nvPicPr>
                    <pic:cNvPr id="1002" name="Picture1002"/>
                    <pic:cNvPicPr/>
                  </pic:nvPicPr>
                  <pic:blipFill>
                    <a:blip xmlns:r="http://schemas.openxmlformats.org/officeDocument/2006/relationships" r:embed="rId1002"/>
                    <a:stretch>
                      <a:fillRect/>
                    </a:stretch>
                  </pic:blipFill>
                  <pic:spPr>
                    <a:xfrm>
                      <a:off x="0" y="0"/>
                      <a:ext cx="5486400" cy="3753852"/>
                    </a:xfrm>
                    <a:prstGeom prst="rect">
                      <a:avLst/>
                    </a:prstGeom>
                  </pic:spPr>
                </pic:pic>
              </a:graphicData>
            </a:graphic>
          </wp:inline>
        </w:drawing>
      </w:r>
    </w:p>
    <w:p>
      <w:pPr>
        <w:pStyle w:val="FigureCaption"/>
      </w:pPr>
      <w:r>
        <w:t xml:space="preserve">Figure 1.3 Effectiveness as a function of the number of transfer units for a counterflow exchanger at several heat capacity rate ratios.</w:t>
      </w:r>
    </w:p>
    <w:p>
      <w:pPr>
        <w:pStyle w:val="Normal"/>
      </w:pPr>
      <w:r>
        <w:t xml:space="preserve">The curves of Figure 1.3 carry an important design lesson. For any capacity-rate ratio the effectiveness rises steeply at low values of the number of transfer units but flattens as the number of transfer units increases beyond roughly three, so that doubling the surface area of an already large exchanger yields only a marginal gain in effectiveness. Because both capital cost and pressure drop scale with surface area, there is a natural economic optimum beyond which further enlargement is not justified [14].</w:t>
      </w:r>
    </w:p>
    <w:p>
      <w:pPr>
        <w:pStyle w:val="Normal"/>
      </w:pPr>
      <w:r>
        <w:t xml:space="preserve">The diminishing returns embodied in the flattening of the effectiveness curves reward a physical interpretation, for they express a limit that no amount of surface area can overcome. As the number of transfer units grows the exchanger approaches the condition in which the outlet temperatures reach the thermodynamic limits set by the inlet conditions and the capacity-rate ratio, the cold stream in a counterflow exchanger approaching the hot inlet temperature when its capacity rate is the smaller, and once the outlet has approached this limit no further heat can be transferred however much area is added, because the driving temperature difference has been all but exhausted [13]. The effectiveness therefore approaches an asymptote, and the surface area added beyond the knee of the curve buys an ever-smaller increment of effectiveness while adding steadily to the cost and the pressure drop, so that the economically rational design stops short of the asymptote at the point where the marginal benefit of further area no longer justifies its marginal cost. This principle, that the pursuit of effectiveness encounters a wall of diminishing returns fixed by thermodynamics, tempers the ambition to maximise heat transfer and reframes the design objective as the location of the economic optimum rather than the approach to the thermodynamic limit, a reframing that becomes especially pertinent when an enhancement such as a nanofluid is proposed, since the enhancement is worthwhile only to the extent that it improves the economics at the operating point actually chosen rather than at the unreachable limit.</w:t>
      </w:r>
    </w:p>
    <w:p>
      <w:pPr>
        <w:pStyle w:val="Normal"/>
      </w:pPr>
      <w:r>
        <w:t xml:space="preserve">The special difficulty of the balanced-flow case, in which the two capacity rates are nearly equal, deserves emphasis because it arises precisely in the energy-recovery applications that motivate much of the interest in efficient heat exchange. When the capacity-rate ratio approaches unity the effectiveness attainable for a given number of transfer units is at its lowest, so that a balanced exchanger requires the most area to reach a given effectiveness and approaches its thermodynamic limit most slowly [13]. This is the regime of the regenerator and the energy-recovery ventilator, in which a stream is used to precondition another stream of comparable capacity rate, and it is exactly here that the surface area is most costly and the incentive to enhance the heat transfer strongest, so that the balanced-flow case, though the least favourable thermodynamically, is often the most rewarding target for enhancement. The recognition that the value of an enhancement depends on the capacity-rate ratio of the service, being greatest where the ratio approaches unity and the exchanger is largest, is a further instance of the general lesson that the merit of an enhancement cannot be judged in the abstract but only against the particular thermal context in which it is to be deployed. The capacity-rate ratio also matters: effectiveness is highest when the ratio is small, that is when the two streams have very different heat capacity rates, and lowest when the ratio approaches unity, the case of balanced flow that is common in regenerative and energy-recovery applications and that consequently demands, for a given target effectiveness, the largest exchangers of all.</w:t>
      </w:r>
    </w:p>
    <w:p>
      <w:pPr>
        <w:pStyle w:val="Normal"/>
      </w:pPr>
      <w:r>
        <w:t xml:space="preserve">Real heat exchangers depart from the idealisations of the foregoing analysis in ways that the designer must anticipate, and chief among these is fouling. Over time, deposits of scale, corrosion products, biological growth or particulate matter accumulate on the transfer surfaces, adding a thermal resistance that degrades performance and increasing the flow cross-section blockage that raises pressure drop. Design practice accounts for fouling through fouling factors, which are additional resistances inserted into the expression for the overall coefficient and whose recommended values are tabulated by industry associations for a wide range of fluids and services [10]. Because fouling resistances are added in series, they are most damaging when the clean overall coefficient is already high, which is precisely the regime in which enhancement technologies such as nanofluids and augmented surfaces are most attractive; an enhancement that raises the clean coefficient may deliver a much smaller improvement in the fouled condition, a subtlety that is sometimes overlooked in laboratory studies conducted with clean fluids [11].</w:t>
      </w:r>
    </w:p>
    <w:p>
      <w:pPr>
        <w:pStyle w:val="Normal"/>
      </w:pPr>
      <w:r>
        <w:t xml:space="preserve">The interaction between fouling and enhancement deserves to be drawn out fully, because it exposes a trap into which the incautious evaluation of a new technology readily falls. A laboratory study of a nanofluid conducted with clean surfaces measures the improvement in the clean overall coefficient, and if the film that the nanofluid enhances was the controlling resistance in the clean condition the measured improvement may be substantial and encouraging. But once a fouling layer accumulates in service it adds a fixed resistance in series, and if that fouling resistance comes to dominate the total then the enhancement of the film resistance beneath it, however impressive in the clean state, scarcely alters the fouled total, so that the improvement demonstrated in the laboratory largely evaporates in service [11]. The nanofluid may even aggravate the situation if its particles contribute to the deposit or if the fluid's altered surface chemistry promotes fouling, considerations that a clean-surface study cannot reveal. The sound evaluation of an enhancement therefore asks not only how much it improves the clean coefficient but how much it improves the coefficient in the fouled condition that the device will actually experience over most of its life, and the neglect of this question is among the commonest reasons that a laboratory result fails to translate into a field benefit, a cautionary theme that the later chapters revisit when the enhancement claimed for nanofluids is weighed against the conditions of real service.</w:t>
      </w:r>
    </w:p>
    <w:p>
      <w:pPr>
        <w:pStyle w:val="Normal"/>
      </w:pPr>
      <w:r>
        <w:t xml:space="preserve">The hydraulic penalty associated with heat transfer is the second consideration that pervades design. Every mechanism that augments the convective coefficient, whether by increasing velocity, roughening the surface, inserting turbulence promoters or adding nanoparticles to the fluid, also increases the pressure drop and hence the pumping power required to move the fluid through the exchanger. The pumping power scales with the product of the volumetric flow rate and the pressure drop, and for turbulent flow the pressure drop rises approximately with the square of the velocity while the heat transfer coefficient rises only with velocity to a power of about zero point eight [12]. This asymmetry means that indiscriminate increases in velocity buy heat transfer at an ever-rising cost in pumping power, and it motivates the definition of performance-evaluation criteria that weigh the heat-transfer benefit against the hydraulic cost.</w:t>
      </w:r>
    </w:p>
    <w:p>
      <w:pPr>
        <w:pStyle w:val="Normal"/>
      </w:pPr>
      <w:r>
        <w:t xml:space="preserve">The disparity between the exponents governing the heat transfer and the pressure drop lies at the very heart of the difficulty that pervades enhancement, and it deserves to be stated as the fundamental asymmetry it is. Since the pressure drop in turbulent flow rises roughly with the square of the velocity while the heat transfer coefficient rises only with velocity to a power near four fifths, and since the pumping power rises with the velocity multiplied by the pressure drop and therefore with roughly the cube of the velocity, the pumping power climbs far more steeply than the heat transfer it purchases [12]. Doubling the velocity roughly doubles the heat transfer coefficient's benefit while multiplying the pumping power severalfold, so that beyond a certain point the additional heat transfer is bought at a prohibitive hydraulic cost, and this steeply rising cost sets the practical ceiling on velocity-based enhancement. The same asymmetry governs every other enhancement that works by intensifying the near-wall turbulence, whether a roughened surface, an inserted swirl device or a suspended nanoparticle, for all of them raise the pressure drop along with the heat transfer, and the decisive question in every case is whether the heat-transfer gain outpaces the hydraulic penalty or merely trades one for the other at the unfavourable rate the asymmetry dictates. It is to answer this question rigorously that the performance-evaluation criteria of Chapter 4 exist, and the fundamental asymmetry introduced here is the reason those criteria are indispensable rather than optional [13]. Such criteria, which are developed in detail in Chapter 4, are essential for making a fair comparison between a conventional fluid and a nanofluid, because a nanofluid that raises the Nusselt number while also raising the friction factor may or may not represent a genuine improvement once the pumping penalty is accounted for [13].</w:t>
      </w:r>
    </w:p>
    <w:p>
      <w:pPr>
        <w:pStyle w:val="Normal"/>
      </w:pPr>
      <w:r>
        <w:t xml:space="preserve">Material selection, mechanical design and manufacturability complete the set of considerations that transform a thermal specification into a physical device. The transfer surface material must combine adequate thermal conductivity with resistance to corrosion and erosion in the service fluids, sufficient strength at the design temperature and pressure, and compatibility with the chosen joining method, whether welding, brazing or mechanical expansion. Thermal stresses arising from differential expansion between the tubes and the shell must be accommodated, often through expansion joints or floating-head constructions, and the arrangement must permit inspection and cleaning where fouling is anticipated [14]. These practical constraints frequently override the purely thermal optimum, and the experienced designer treats the thermal analysis developed in this chapter as a necessary but not sufficient input to a decision that also weighs cost, reliability, maintainability and safety. It is against this multi-objective backdrop that the enhancement offered by nanofluids, and the predictive power offered by machine learning, must ultimately be judged, and the chapters that follow develop each of these threads in turn while keeping the fundamentals established here continually in view.</w:t>
      </w:r>
    </w:p>
    <w:p>
      <w:pPr>
        <w:pStyle w:val="Normal"/>
      </w:pPr>
      <w:r>
        <w:t xml:space="preserve">A closer examination of the overall heat transfer coefficient repays the effort because it illuminates where enhancement is worthwhile and where it is futile. When the individual resistances are expressed on a common area basis, the largest single resistance dictates the magnitude of the overall coefficient, and it is this controlling resistance that any enhancement effort must target. In a gas-to-liquid exchanger the gas-side film is almost always controlling, which is why finning is applied to the gas side; in a liquid-to-liquid exchanger the two films may be comparable, so that enhancement on either side yields benefit; and in a condenser or evaporator the phase-change coefficient is often so large that the single-phase side controls entirely. The practice of balancing resistances, in which the transfer surface and flow arrangement are chosen so that no single resistance dominates excessively, produces the most material-efficient designs and is a hallmark of expert practice. This balancing principle recurs when nanofluids are considered, because a nanofluid can only improve the overall coefficient to the extent that the film it flows against is a significant contributor to the total resistance, and the same fluid that transforms performance in one service may be almost inert in another.</w:t>
      </w:r>
    </w:p>
    <w:p>
      <w:pPr>
        <w:pStyle w:val="Normal"/>
      </w:pPr>
      <w:r>
        <w:t xml:space="preserve">The temperature dependence of fluid properties introduces a further layer of realism that the constant-property analysis omits. Viscosity in particular varies strongly with temperature, decreasing for liquids and increasing for gases as temperature rises, and because viscosity enters the Reynolds and Prandtl numbers it modulates the convective coefficient along the length of the exchanger. Property-variation corrections, typically expressed as a ratio of bulk to wall viscosity raised to a small power, are appended to constant-property correlations to account for the distortion of the velocity and temperature profiles that occurs when a fluid is heated or cooled at the wall. These corrections are modest for water but substantial for viscous oils, and they acquire renewed importance for nanofluids, whose effective viscosity can depend on temperature, shear rate and particle concentration in ways that simple corrections struggle to capture, a point that motivates the property-prediction methods developed in Chapter 8.</w:t>
      </w:r>
    </w:p>
    <w:p>
      <w:pPr>
        <w:pStyle w:val="Normal"/>
      </w:pPr>
      <w:r>
        <w:t xml:space="preserve">Finally, it is worth situating the analytical framework of this chapter within the broader design process that a practising engineer follows. A design begins with a specification of duty, flow rates, inlet temperatures and allowable pressure drops, together with the physical properties of the two fluids. The engineer selects a candidate exchanger type and flow arrangement, estimates an overall coefficient from experience or correlation, and computes a first estimate of the required area using either the logarithmic mean temperature difference or the effectiveness formulation. The candidate geometry is then checked against the pressure-drop constraint, and if the hydraulic penalty is excessive the geometry is revised and the calculation repeated. Several iterations are usually required before a design satisfies the thermal duty, respects the pressure-drop limits and remains within cost and mechanical constraints. This iterative, constraint-bounded search is exactly the kind of problem for which surrogate models and optimisation algorithms are well suited, and the later chapters will show how machine-learning surrogates can accelerate the inner loops of this process while the fundamentals established here continue to define the objectives and constraints against which every candidate design is measured.</w:t>
      </w:r>
    </w:p>
    <w:p>
      <w:pPr>
        <w:pStyle w:val="Normal"/>
      </w:pPr>
      <w:r>
        <w:t xml:space="preserve">The historical development of heat-exchanger theory illuminates why the analytical structure of the subject took the form it did and why certain simplifications, now taken for granted, were once hard-won achievements. The logarithmic mean temperature difference, for example, emerged from the recognition that the local temperature difference between two streams varies exponentially along a counterflow or parallel-flow exchanger under constant-property assumptions, so that the correct average to use in the rate equation is not the arithmetic mean of the terminal differences but their logarithmic mean, which weights the calculation correctly toward the end at which the difference is smaller [1]. The effectiveness formulation, developed later, arose from the practical need to analyse exchangers whose outlet temperatures were unknown, a situation the logarithmic mean method handles only through iteration, and its reformulation of the problem in terms of dimensionless groups brought the analysis of the many flow arrangements onto a common footing [2]. These developments, though now standard, repay study because they exemplify the reduction of a coupled differential problem to an algebraic one through judicious averaging and non-dimensionalisation, a strategy that recurs throughout thermal engineering and that underlies the dimensionless features favoured in the data-driven modelling of later chapters.</w:t>
      </w:r>
    </w:p>
    <w:p>
      <w:pPr>
        <w:pStyle w:val="Normal"/>
      </w:pPr>
      <w:r>
        <w:t xml:space="preserve">The role of the boundary condition at the heat-transfer surface, briefly noted in connection with the Nusselt number, deserves fuller treatment because it exerts a quantitative influence that surprises those new to the subject. For fully developed laminar flow in a circular tube, the Nusselt number under a constant-wall-heat-flux condition exceeds that under a constant-wall-temperature condition by a substantial margin, the two limiting values differing by roughly one fifth, and real exchangers operate somewhere between these limits depending on the thermal coupling to the second fluid [3]. This dependence means that a heat transfer coefficient measured or computed under one boundary condition cannot be transferred uncritically to a situation governed by another, a subtlety that affects the interpretation of laboratory data and the construction of correlations. In a two-fluid exchanger the effective boundary condition experienced by each stream depends on the ratio of the film coefficients and on the flow arrangement, so that the idealised constant-temperature and constant-flux limits bracket the real behaviour rather than describing it exactly, and careful analysis or computation is required to resolve where within the bracket a given device lies [4].</w:t>
      </w:r>
    </w:p>
    <w:p>
      <w:pPr>
        <w:pStyle w:val="Normal"/>
      </w:pPr>
      <w:r>
        <w:t xml:space="preserve">The economic dimension of heat-exchanger design, though outside the scope of the purely thermal analysis, is never absent from the designer's mind and shapes every decision from the choice of type to the selection of the operating velocity. The capital cost of an exchanger scales broadly with its transfer area and hence, for a given duty, inversely with the overall coefficient, so that any enhancement that raises the coefficient reduces the capital cost, other things being equal. The operating cost, dominated by the pumping power expended against the pressure drop over the service life, scales with the hydraulic penalty, so that any enhancement that raises the pressure drop increases the operating cost. The lifetime cost, the sum of the capital cost and the discounted operating cost, passes through a minimum as a function of the operating velocity and the degree of enhancement, and the location of this minimum, not the maximisation of heat transfer, is the true objective of economic design [5]. This economic framing gives the thermal-hydraulic trade-off its ultimate significance, for a nanofluid that raises both the coefficient and the pressure drop shifts the capital cost downward and the operating cost upward, and whether it lowers the lifetime cost depends on the balance between these opposing shifts, a balance that only a full economic analysis, informed by accurate thermal and hydraulic predictions, can resolve.</w:t>
      </w:r>
    </w:p>
    <w:p>
      <w:pPr>
        <w:pStyle w:val="Normal"/>
      </w:pPr>
      <w:r>
        <w:t xml:space="preserve">The transient and off-design behaviour of heat exchangers, though the steady-state analysis dominates design practice, matters greatly in operation and increasingly in the control of thermal systems. A heat exchanger does not respond instantaneously to a change in inlet conditions but exhibits a thermal lag governed by the heat capacity of the fluids and of the solid structure, and this lag shapes the dynamic response of the systems in which the exchanger is embedded, from the warm-up of an engine to the regulation of a building's temperature [6]. The off-design performance, the behaviour of an exchanger at flow rates and temperatures other than those for which it was designed, determines its suitability for the variable-load service that characterises many real applications, and it is captured by the rating analysis that the effectiveness formulation supports. The prediction of transient and off-design behaviour, traditionally the province of dynamic simulation, is another arena in which data-driven surrogate models are beginning to contribute, offering fast approximations of the exchanger's response that can be embedded in the real-time control of thermal systems, a prospect that connects the fundamentals of this chapter to the reinforcement-learning control applications noted in Chapter 7.</w:t>
      </w:r>
    </w:p>
    <w:p>
      <w:r>
        <w:br w:type="page"/>
      </w:r>
    </w:p>
    <w:p>
      <w:pPr>
        <w:pStyle w:val="Title"/>
      </w:pPr>
      <w:r>
        <w:t xml:space="preserve">Chapter 2. Nanofluids: Fundamentals and Thermophysical Properties</w:t>
      </w:r>
    </w:p>
    <w:p>
      <w:pPr>
        <w:pStyle w:val="Heading1"/>
      </w:pPr>
      <w:r>
        <w:t xml:space="preserve">Abstract</w:t>
      </w:r>
    </w:p>
    <w:p>
      <w:pPr>
        <w:pStyle w:val="Normal"/>
      </w:pPr>
      <w:r>
        <w:t xml:space="preserve">The performance of any convective heat exchanger is ultimately limited by the thermophysical properties of the working fluid, and among these properties thermal conductivity is frequently the most restrictive, because conventional heat transfer liquids such as water, ethylene glycol and mineral oils possess conductivities that are one to three orders of magnitude smaller than those of the metals and metal oxides from which heat-exchanger surfaces are made. Nanofluids, engineered suspensions of nanometre-scale solid particles in a base liquid, were conceived as a route to circumvent this limitation by dispersing a small volume fraction of a highly conducting solid throughout the fluid so as to raise its effective conductivity and, with it, its capacity for convective heat transport. This chapter provides the physical and materials foundation required to understand why nanofluids behave as they do and how their behaviour is measured and modelled. It surveys the classes of nanoparticle and base fluid in common use, describes the one-step and two-step synthesis routes and the compromises each entails, and explains the central importance of colloidal stability to any practical application. It then examines the four thermophysical properties that govern convective performance, namely thermal conductivity, dynamic viscosity, density and specific heat capacity, presenting the classical mixing rules and the more elaborate models that attempt to account for the anomalous behaviour that early experiments reported. The chapter gives particular attention to the mechanisms that have been proposed to explain conductivity enhancement, to the measurement techniques that underpin the experimental literature, and to the factors that determine whether a nanofluid remains a stable, well-dispersed suspension or degrades into an agglomerated and sedimenting slurry. The material prepares the reader to interpret the heat-transfer results of Chapter 3 and to appreciate why the data-driven property models of Chapter 8 have become an active field of research.</w:t>
      </w:r>
    </w:p>
    <w:p>
      <w:pPr>
        <w:pStyle w:val="Heading2"/>
      </w:pPr>
      <w:r>
        <w:t xml:space="preserve">2.1 Classification and Preparation of Nanofluids</w:t>
      </w:r>
    </w:p>
    <w:p>
      <w:pPr>
        <w:pStyle w:val="Normal"/>
      </w:pPr>
      <w:r>
        <w:t xml:space="preserve">A nanofluid is defined as a colloidal suspension in which the dispersed phase consists of particles with at least one dimension smaller than approximately one hundred nanometres, suspended in a continuous liquid phase that serves as the heat transfer medium. The definition is deliberately broad, encompassing spherical particles, rods, tubes, platelets and more complex morphologies, as well as suspensions containing a single species of particle and hybrid suspensions containing two or more distinct particle types. The essential idea in every case is that the addition of a small volume fraction of a solid with favourable thermophysical properties, most importantly a high thermal conductivity, will confer on the resulting suspension properties intermediate between those of the pure liquid and those of the solid, but weighted so heavily toward the liquid, on account of the small solid fraction, that the suspension remains fluid and pumpable [15]. What distinguishes nanofluids from the earlier and largely unsuccessful attempts to suspend millimetre- and micrometre-scale particles in liquids is the dramatic reduction in particle size, which suppresses the rapid sedimentation, severe abrasion and channel clogging that plagued the coarser suspensions and which also, according to a substantial body of experimental evidence, produces conductivity enhancements larger than classical effective-medium theory would predict [16].</w:t>
      </w:r>
    </w:p>
    <w:p>
      <w:pPr>
        <w:pStyle w:val="Normal"/>
      </w:pPr>
      <w:r>
        <w:t xml:space="preserve">The historical trajectory that led to this definition is worth recalling, because it explains both the enthusiasm and the caution with which the field has developed. The suspension of solid particles in liquids to augment heat transfer is an old idea, pursued intermittently for well over a century, but every early attempt foundered on the same practical obstacles: particles in the millimetre and micrometre range settled under gravity within minutes to hours, they scoured the walls of pipes and the internals of pumps, and when they accumulated in bends and low-velocity regions they blocked the very passages they were meant to serve. The advent of reliable nanoparticle synthesis in the closing decades of the twentieth century changed the calculus decisively, because a particle two orders of magnitude smaller experiences a gravitational settling velocity smaller by four orders of magnitude, while the Brownian agitation that opposes settling becomes correspondingly more effective at keeping the particle aloft. The term nanofluid was coined to mark this qualitative shift, and the early reports of conductivity enhancements far exceeding the modest predictions of classical theory generated an intense wave of interest, some of which later proved to rest on measurements that were difficult to reproduce. The maturation of the field has consequently been as much a matter of methodological discipline, in the careful characterisation and reporting of what was actually suspended, as of new physics, and the sober modern consensus is that genuine enhancements exist and are useful but are frequently smaller and more conditional than the most optimistic early claims suggested [15].</w:t>
      </w:r>
    </w:p>
    <w:p>
      <w:pPr>
        <w:pStyle w:val="Normal"/>
      </w:pPr>
      <w:r>
        <w:t xml:space="preserve">It is useful, before turning to materials, to fix the physical scales that make the nanometre regime special. A particle one hundred nanometres in diameter contains on the order of tens of millions of atoms, of which a small but non-negligible fraction reside at the surface; as the diameter falls toward ten nanometres, the surface fraction rises steeply, so that surface energy, surface chemistry and interfacial phenomena come to dominate the behaviour of the particle in ways that have no counterpart in bulk matter. This large specific surface area is simultaneously the source of the favourable interfacial transport that nanofluids exploit and the driving force for the aggregation that threatens their stability, and much of the art of nanofluid engineering consists of harnessing the former while suppressing the latter. The same smallness that renders the particles effectively buoyant against gravity also renders them susceptible to the attractive van der Waals forces that act only over short ranges, so that two particles that approach closely tend strongly to adhere. The nanofluid designer therefore operates in a regime where the very properties that confer the desired benefits are inseparable from the properties that pose the central practical difficulty, a tension that recurs throughout this chapter [16].</w:t>
      </w:r>
    </w:p>
    <w:p>
      <w:pPr>
        <w:pStyle w:val="Normal"/>
      </w:pPr>
      <w:r>
        <w:t xml:space="preserve">The dispersed phase is drawn from several broad materials classes, each with characteristic advantages. Metallic nanoparticles such as copper, silver, gold and aluminium offer the highest intrinsic thermal conductivities and therefore the greatest potential for enhancement, but they are prone to oxidation, are comparatively expensive, and raise the density of the suspension appreciably. Metal-oxide nanoparticles, including aluminium oxide, copper oxide, titanium dioxide, silicon dioxide, iron oxide and zinc oxide, are the most widely studied because they are chemically stable, relatively inexpensive, readily available in controlled sizes and reasonably easy to disperse, even though their conductivities are lower than those of the parent metals. Carbon-based materials, notably carbon nanotubes in single- and multi-walled forms, graphene and its derivatives, and diamond nanoparticles, possess exceptionally high conductivities, especially along the axis of a nanotube or the plane of a graphene sheet, and can produce large enhancements at very low loadings, although their anisotropy, their tendency to entangle and their hydrophobicity present dispersion challenges [17]. A further and increasingly studied class comprises ceramic and semiconducting compounds beyond the common oxides, such as silicon carbide, aluminium nitride, boron nitride and various nitrides and carbides prized for their combination of high conductivity, chemical inertness and, in the case of the nitrides, electrical insulation that suits dielectric coolants; these materials occupy a middle ground between the metals and the oxides and are chosen when a specific balance of conductivity, stability and compatibility is sought. The selection of a dispersed phase is thus never a matter of maximising a single figure of merit but of reconciling several: the intrinsic conductivity that sets the ceiling on enhancement, the density that governs both settling and the parasitic mass the pump must move, the specific heat that determines how much thermal energy the particles themselves store, the chemical stability that decides whether the particles survive the service environment without oxidising or dissolving, and the cost, which for the noble metals can be prohibitive at the loadings required for a useful effect. The oxides have come to dominate the applied literature not because they are the best on any one of these axes but because they are acceptable on all of them, a pattern that recurs whenever a technology moves from laboratory demonstration toward practical deployment [18].</w:t>
      </w:r>
    </w:p>
    <w:p>
      <w:pPr>
        <w:pStyle w:val="Normal"/>
      </w:pPr>
      <w:r>
        <w:t xml:space="preserve">The intrinsic conductivity of the solid phase, though it sets the theoretical ceiling on enhancement, is a far weaker lever in practice than a naive reading of the mixing rules would suggest, and appreciating why is important for realistic expectations. Because the volume fractions of practical interest are small, typically well below five per cent and often below one, the effective conductivity of the suspension is dominated by the continuous liquid phase, and the marginal benefit of replacing a solid of four hundred watts per metre-kelvin with one of four thousand is far smaller than the tenfold ratio of their conductivities implies. The dilute effective-medium relations show that once the solid conductivity exceeds the liquid conductivity by a factor of roughly twenty, further increases yield rapidly diminishing returns, because the limiting resistance to heat flow lies in the liquid that surrounds each particle rather than in the particle itself. This is why oxides of comparatively modest conductivity can perform nearly as well as metals of far higher conductivity at equal loading, and why the interfacial and dynamic mechanisms discussed in Section 2.2, rather than the bulk conductivity of the solid, are frequently the decisive factors in the enhancement actually observed [17]. Table 2.1 lists representative properties of the nanoparticle materials most commonly encountered in the heat-transfer literature.</w:t>
      </w:r>
    </w:p>
    <w:p>
      <w:pPr>
        <w:pStyle w:val="TableCaption"/>
      </w:pPr>
      <w:r>
        <w:rPr>
          <w:b/>
        </w:rPr>
        <w:t xml:space="preserve">Table 2.1</w:t>
      </w:r>
      <w:r>
        <w:t xml:space="preserve"> Representative thermophysical properties of common nanoparticle materials at ambient temperature.</w:t>
      </w:r>
    </w:p>
    <w:tbl>
      <w:tblPr>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w="1872" w:type="dxa"/>
            <w:shd w:val="clear" w:color="auto" w:fill="D9E2F3"/>
          </w:tcPr>
          <w:p>
            <w:pPr>
              <w:jc w:val="center"/>
              <w:spacing w:after="20"/>
            </w:pPr>
            <w:r>
              <w:rPr>
                <w:b/>
              </w:rPr>
              <w:t xml:space="preserve">Material</w:t>
            </w:r>
          </w:p>
        </w:tc>
        <w:tc>
          <w:tcPr>
            <w:tcW w:w="1872" w:type="dxa"/>
            <w:shd w:val="clear" w:color="auto" w:fill="D9E2F3"/>
          </w:tcPr>
          <w:p>
            <w:pPr>
              <w:jc w:val="center"/>
              <w:spacing w:after="20"/>
            </w:pPr>
            <w:r>
              <w:rPr>
                <w:b/>
              </w:rPr>
              <w:t xml:space="preserve">Thermal conductivity (W/m·K)</w:t>
            </w:r>
          </w:p>
        </w:tc>
        <w:tc>
          <w:tcPr>
            <w:tcW w:w="1872" w:type="dxa"/>
            <w:shd w:val="clear" w:color="auto" w:fill="D9E2F3"/>
          </w:tcPr>
          <w:p>
            <w:pPr>
              <w:jc w:val="center"/>
              <w:spacing w:after="20"/>
            </w:pPr>
            <w:r>
              <w:rPr>
                <w:b/>
              </w:rPr>
              <w:t xml:space="preserve">Density (kg/m3)</w:t>
            </w:r>
          </w:p>
        </w:tc>
        <w:tc>
          <w:tcPr>
            <w:tcW w:w="1872" w:type="dxa"/>
            <w:shd w:val="clear" w:color="auto" w:fill="D9E2F3"/>
          </w:tcPr>
          <w:p>
            <w:pPr>
              <w:jc w:val="center"/>
              <w:spacing w:after="20"/>
            </w:pPr>
            <w:r>
              <w:rPr>
                <w:b/>
              </w:rPr>
              <w:t xml:space="preserve">Specific heat (J/kg·K)</w:t>
            </w:r>
          </w:p>
        </w:tc>
        <w:tc>
          <w:tcPr>
            <w:tcW w:w="1872" w:type="dxa"/>
            <w:shd w:val="clear" w:color="auto" w:fill="D9E2F3"/>
          </w:tcPr>
          <w:p>
            <w:pPr>
              <w:jc w:val="center"/>
              <w:spacing w:after="20"/>
            </w:pPr>
            <w:r>
              <w:rPr>
                <w:b/>
              </w:rPr>
              <w:t xml:space="preserve">Typical form</w:t>
            </w:r>
          </w:p>
        </w:tc>
      </w:tr>
      <w:tr>
        <w:tc>
          <w:tcPr>
            <w:tcW w:w="1872" w:type="dxa"/>
          </w:tcPr>
          <w:p>
            <w:pPr>
              <w:spacing w:after="20"/>
              <w:jc w:val="left"/>
            </w:pPr>
            <w:r>
              <w:t xml:space="preserve">Copper (Cu)</w:t>
            </w:r>
          </w:p>
        </w:tc>
        <w:tc>
          <w:tcPr>
            <w:tcW w:w="1872" w:type="dxa"/>
          </w:tcPr>
          <w:p>
            <w:pPr>
              <w:spacing w:after="20"/>
              <w:jc w:val="left"/>
            </w:pPr>
            <w:r>
              <w:t xml:space="preserve">401</w:t>
            </w:r>
          </w:p>
        </w:tc>
        <w:tc>
          <w:tcPr>
            <w:tcW w:w="1872" w:type="dxa"/>
          </w:tcPr>
          <w:p>
            <w:pPr>
              <w:spacing w:after="20"/>
              <w:jc w:val="left"/>
            </w:pPr>
            <w:r>
              <w:t xml:space="preserve">8933</w:t>
            </w:r>
          </w:p>
        </w:tc>
        <w:tc>
          <w:tcPr>
            <w:tcW w:w="1872" w:type="dxa"/>
          </w:tcPr>
          <w:p>
            <w:pPr>
              <w:spacing w:after="20"/>
              <w:jc w:val="left"/>
            </w:pPr>
            <w:r>
              <w:t xml:space="preserve">385</w:t>
            </w:r>
          </w:p>
        </w:tc>
        <w:tc>
          <w:tcPr>
            <w:tcW w:w="1872" w:type="dxa"/>
          </w:tcPr>
          <w:p>
            <w:pPr>
              <w:spacing w:after="20"/>
              <w:jc w:val="left"/>
            </w:pPr>
            <w:r>
              <w:t xml:space="preserve">Spherical</w:t>
            </w:r>
          </w:p>
        </w:tc>
      </w:tr>
      <w:tr>
        <w:tc>
          <w:tcPr>
            <w:tcW w:w="1872" w:type="dxa"/>
          </w:tcPr>
          <w:p>
            <w:pPr>
              <w:spacing w:after="20"/>
              <w:jc w:val="left"/>
            </w:pPr>
            <w:r>
              <w:t xml:space="preserve">Silver (Ag)</w:t>
            </w:r>
          </w:p>
        </w:tc>
        <w:tc>
          <w:tcPr>
            <w:tcW w:w="1872" w:type="dxa"/>
          </w:tcPr>
          <w:p>
            <w:pPr>
              <w:spacing w:after="20"/>
              <w:jc w:val="left"/>
            </w:pPr>
            <w:r>
              <w:t xml:space="preserve">429</w:t>
            </w:r>
          </w:p>
        </w:tc>
        <w:tc>
          <w:tcPr>
            <w:tcW w:w="1872" w:type="dxa"/>
          </w:tcPr>
          <w:p>
            <w:pPr>
              <w:spacing w:after="20"/>
              <w:jc w:val="left"/>
            </w:pPr>
            <w:r>
              <w:t xml:space="preserve">10500</w:t>
            </w:r>
          </w:p>
        </w:tc>
        <w:tc>
          <w:tcPr>
            <w:tcW w:w="1872" w:type="dxa"/>
          </w:tcPr>
          <w:p>
            <w:pPr>
              <w:spacing w:after="20"/>
              <w:jc w:val="left"/>
            </w:pPr>
            <w:r>
              <w:t xml:space="preserve">235</w:t>
            </w:r>
          </w:p>
        </w:tc>
        <w:tc>
          <w:tcPr>
            <w:tcW w:w="1872" w:type="dxa"/>
          </w:tcPr>
          <w:p>
            <w:pPr>
              <w:spacing w:after="20"/>
              <w:jc w:val="left"/>
            </w:pPr>
            <w:r>
              <w:t xml:space="preserve">Spherical</w:t>
            </w:r>
          </w:p>
        </w:tc>
      </w:tr>
      <w:tr>
        <w:tc>
          <w:tcPr>
            <w:tcW w:w="1872" w:type="dxa"/>
          </w:tcPr>
          <w:p>
            <w:pPr>
              <w:spacing w:after="20"/>
              <w:jc w:val="left"/>
            </w:pPr>
            <w:r>
              <w:t xml:space="preserve">Aluminium oxide (Al2O3)</w:t>
            </w:r>
          </w:p>
        </w:tc>
        <w:tc>
          <w:tcPr>
            <w:tcW w:w="1872" w:type="dxa"/>
          </w:tcPr>
          <w:p>
            <w:pPr>
              <w:spacing w:after="20"/>
              <w:jc w:val="left"/>
            </w:pPr>
            <w:r>
              <w:t xml:space="preserve">40</w:t>
            </w:r>
          </w:p>
        </w:tc>
        <w:tc>
          <w:tcPr>
            <w:tcW w:w="1872" w:type="dxa"/>
          </w:tcPr>
          <w:p>
            <w:pPr>
              <w:spacing w:after="20"/>
              <w:jc w:val="left"/>
            </w:pPr>
            <w:r>
              <w:t xml:space="preserve">3970</w:t>
            </w:r>
          </w:p>
        </w:tc>
        <w:tc>
          <w:tcPr>
            <w:tcW w:w="1872" w:type="dxa"/>
          </w:tcPr>
          <w:p>
            <w:pPr>
              <w:spacing w:after="20"/>
              <w:jc w:val="left"/>
            </w:pPr>
            <w:r>
              <w:t xml:space="preserve">765</w:t>
            </w:r>
          </w:p>
        </w:tc>
        <w:tc>
          <w:tcPr>
            <w:tcW w:w="1872" w:type="dxa"/>
          </w:tcPr>
          <w:p>
            <w:pPr>
              <w:spacing w:after="20"/>
              <w:jc w:val="left"/>
            </w:pPr>
            <w:r>
              <w:t xml:space="preserve">Spherical</w:t>
            </w:r>
          </w:p>
        </w:tc>
      </w:tr>
      <w:tr>
        <w:tc>
          <w:tcPr>
            <w:tcW w:w="1872" w:type="dxa"/>
          </w:tcPr>
          <w:p>
            <w:pPr>
              <w:spacing w:after="20"/>
              <w:jc w:val="left"/>
            </w:pPr>
            <w:r>
              <w:t xml:space="preserve">Copper oxide (CuO)</w:t>
            </w:r>
          </w:p>
        </w:tc>
        <w:tc>
          <w:tcPr>
            <w:tcW w:w="1872" w:type="dxa"/>
          </w:tcPr>
          <w:p>
            <w:pPr>
              <w:spacing w:after="20"/>
              <w:jc w:val="left"/>
            </w:pPr>
            <w:r>
              <w:t xml:space="preserve">76</w:t>
            </w:r>
          </w:p>
        </w:tc>
        <w:tc>
          <w:tcPr>
            <w:tcW w:w="1872" w:type="dxa"/>
          </w:tcPr>
          <w:p>
            <w:pPr>
              <w:spacing w:after="20"/>
              <w:jc w:val="left"/>
            </w:pPr>
            <w:r>
              <w:t xml:space="preserve">6320</w:t>
            </w:r>
          </w:p>
        </w:tc>
        <w:tc>
          <w:tcPr>
            <w:tcW w:w="1872" w:type="dxa"/>
          </w:tcPr>
          <w:p>
            <w:pPr>
              <w:spacing w:after="20"/>
              <w:jc w:val="left"/>
            </w:pPr>
            <w:r>
              <w:t xml:space="preserve">532</w:t>
            </w:r>
          </w:p>
        </w:tc>
        <w:tc>
          <w:tcPr>
            <w:tcW w:w="1872" w:type="dxa"/>
          </w:tcPr>
          <w:p>
            <w:pPr>
              <w:spacing w:after="20"/>
              <w:jc w:val="left"/>
            </w:pPr>
            <w:r>
              <w:t xml:space="preserve">Spherical / rod</w:t>
            </w:r>
          </w:p>
        </w:tc>
      </w:tr>
      <w:tr>
        <w:tc>
          <w:tcPr>
            <w:tcW w:w="1872" w:type="dxa"/>
          </w:tcPr>
          <w:p>
            <w:pPr>
              <w:spacing w:after="20"/>
              <w:jc w:val="left"/>
            </w:pPr>
            <w:r>
              <w:t xml:space="preserve">Titanium dioxide (TiO2)</w:t>
            </w:r>
          </w:p>
        </w:tc>
        <w:tc>
          <w:tcPr>
            <w:tcW w:w="1872" w:type="dxa"/>
          </w:tcPr>
          <w:p>
            <w:pPr>
              <w:spacing w:after="20"/>
              <w:jc w:val="left"/>
            </w:pPr>
            <w:r>
              <w:t xml:space="preserve">8.4</w:t>
            </w:r>
          </w:p>
        </w:tc>
        <w:tc>
          <w:tcPr>
            <w:tcW w:w="1872" w:type="dxa"/>
          </w:tcPr>
          <w:p>
            <w:pPr>
              <w:spacing w:after="20"/>
              <w:jc w:val="left"/>
            </w:pPr>
            <w:r>
              <w:t xml:space="preserve">4250</w:t>
            </w:r>
          </w:p>
        </w:tc>
        <w:tc>
          <w:tcPr>
            <w:tcW w:w="1872" w:type="dxa"/>
          </w:tcPr>
          <w:p>
            <w:pPr>
              <w:spacing w:after="20"/>
              <w:jc w:val="left"/>
            </w:pPr>
            <w:r>
              <w:t xml:space="preserve">686</w:t>
            </w:r>
          </w:p>
        </w:tc>
        <w:tc>
          <w:tcPr>
            <w:tcW w:w="1872" w:type="dxa"/>
          </w:tcPr>
          <w:p>
            <w:pPr>
              <w:spacing w:after="20"/>
              <w:jc w:val="left"/>
            </w:pPr>
            <w:r>
              <w:t xml:space="preserve">Spherical</w:t>
            </w:r>
          </w:p>
        </w:tc>
      </w:tr>
      <w:tr>
        <w:tc>
          <w:tcPr>
            <w:tcW w:w="1872" w:type="dxa"/>
          </w:tcPr>
          <w:p>
            <w:pPr>
              <w:spacing w:after="20"/>
              <w:jc w:val="left"/>
            </w:pPr>
            <w:r>
              <w:t xml:space="preserve">Silicon dioxide (SiO2)</w:t>
            </w:r>
          </w:p>
        </w:tc>
        <w:tc>
          <w:tcPr>
            <w:tcW w:w="1872" w:type="dxa"/>
          </w:tcPr>
          <w:p>
            <w:pPr>
              <w:spacing w:after="20"/>
              <w:jc w:val="left"/>
            </w:pPr>
            <w:r>
              <w:t xml:space="preserve">1.4</w:t>
            </w:r>
          </w:p>
        </w:tc>
        <w:tc>
          <w:tcPr>
            <w:tcW w:w="1872" w:type="dxa"/>
          </w:tcPr>
          <w:p>
            <w:pPr>
              <w:spacing w:after="20"/>
              <w:jc w:val="left"/>
            </w:pPr>
            <w:r>
              <w:t xml:space="preserve">2220</w:t>
            </w:r>
          </w:p>
        </w:tc>
        <w:tc>
          <w:tcPr>
            <w:tcW w:w="1872" w:type="dxa"/>
          </w:tcPr>
          <w:p>
            <w:pPr>
              <w:spacing w:after="20"/>
              <w:jc w:val="left"/>
            </w:pPr>
            <w:r>
              <w:t xml:space="preserve">745</w:t>
            </w:r>
          </w:p>
        </w:tc>
        <w:tc>
          <w:tcPr>
            <w:tcW w:w="1872" w:type="dxa"/>
          </w:tcPr>
          <w:p>
            <w:pPr>
              <w:spacing w:after="20"/>
              <w:jc w:val="left"/>
            </w:pPr>
            <w:r>
              <w:t xml:space="preserve">Spherical</w:t>
            </w:r>
          </w:p>
        </w:tc>
      </w:tr>
      <w:tr>
        <w:tc>
          <w:tcPr>
            <w:tcW w:w="1872" w:type="dxa"/>
          </w:tcPr>
          <w:p>
            <w:pPr>
              <w:spacing w:after="20"/>
              <w:jc w:val="left"/>
            </w:pPr>
            <w:r>
              <w:t xml:space="preserve">Multi-walled carbon nanotube</w:t>
            </w:r>
          </w:p>
        </w:tc>
        <w:tc>
          <w:tcPr>
            <w:tcW w:w="1872" w:type="dxa"/>
          </w:tcPr>
          <w:p>
            <w:pPr>
              <w:spacing w:after="20"/>
              <w:jc w:val="left"/>
            </w:pPr>
            <w:r>
              <w:t xml:space="preserve">2000-3000</w:t>
            </w:r>
          </w:p>
        </w:tc>
        <w:tc>
          <w:tcPr>
            <w:tcW w:w="1872" w:type="dxa"/>
          </w:tcPr>
          <w:p>
            <w:pPr>
              <w:spacing w:after="20"/>
              <w:jc w:val="left"/>
            </w:pPr>
            <w:r>
              <w:t xml:space="preserve">1600</w:t>
            </w:r>
          </w:p>
        </w:tc>
        <w:tc>
          <w:tcPr>
            <w:tcW w:w="1872" w:type="dxa"/>
          </w:tcPr>
          <w:p>
            <w:pPr>
              <w:spacing w:after="20"/>
              <w:jc w:val="left"/>
            </w:pPr>
            <w:r>
              <w:t xml:space="preserve">796</w:t>
            </w:r>
          </w:p>
        </w:tc>
        <w:tc>
          <w:tcPr>
            <w:tcW w:w="1872" w:type="dxa"/>
          </w:tcPr>
          <w:p>
            <w:pPr>
              <w:spacing w:after="20"/>
              <w:jc w:val="left"/>
            </w:pPr>
            <w:r>
              <w:t xml:space="preserve">Tube</w:t>
            </w:r>
          </w:p>
        </w:tc>
      </w:tr>
      <w:tr>
        <w:tc>
          <w:tcPr>
            <w:tcW w:w="1872" w:type="dxa"/>
          </w:tcPr>
          <w:p>
            <w:pPr>
              <w:spacing w:after="20"/>
              <w:jc w:val="left"/>
            </w:pPr>
            <w:r>
              <w:t xml:space="preserve">Graphene / GNP</w:t>
            </w:r>
          </w:p>
        </w:tc>
        <w:tc>
          <w:tcPr>
            <w:tcW w:w="1872" w:type="dxa"/>
          </w:tcPr>
          <w:p>
            <w:pPr>
              <w:spacing w:after="20"/>
              <w:jc w:val="left"/>
            </w:pPr>
            <w:r>
              <w:t xml:space="preserve">2000-5000</w:t>
            </w:r>
          </w:p>
        </w:tc>
        <w:tc>
          <w:tcPr>
            <w:tcW w:w="1872" w:type="dxa"/>
          </w:tcPr>
          <w:p>
            <w:pPr>
              <w:spacing w:after="20"/>
              <w:jc w:val="left"/>
            </w:pPr>
            <w:r>
              <w:t xml:space="preserve">2200</w:t>
            </w:r>
          </w:p>
        </w:tc>
        <w:tc>
          <w:tcPr>
            <w:tcW w:w="1872" w:type="dxa"/>
          </w:tcPr>
          <w:p>
            <w:pPr>
              <w:spacing w:after="20"/>
              <w:jc w:val="left"/>
            </w:pPr>
            <w:r>
              <w:t xml:space="preserve">717</w:t>
            </w:r>
          </w:p>
        </w:tc>
        <w:tc>
          <w:tcPr>
            <w:tcW w:w="1872" w:type="dxa"/>
          </w:tcPr>
          <w:p>
            <w:pPr>
              <w:spacing w:after="20"/>
              <w:jc w:val="left"/>
            </w:pPr>
            <w:r>
              <w:t xml:space="preserve">Platelet</w:t>
            </w:r>
          </w:p>
        </w:tc>
      </w:tr>
    </w:tbl>
    <w:p>
      <w:pPr>
        <w:spacing w:after="120"/>
      </w:pPr>
    </w:p>
    <w:p>
      <w:pPr>
        <w:pStyle w:val="Normal"/>
      </w:pPr>
      <w:r>
        <w:t xml:space="preserve">The base fluid is selected according to the operating temperature range and the application. Water is the preferred base fluid wherever its freezing and boiling points are compatible with the service, because it combines a high specific heat and a comparatively high conductivity with low cost, low toxicity and low viscosity. Ethylene glycol and propylene glycol, alone or in aqueous mixtures, extend the usable range to sub-zero temperatures and are standard in automotive and building-services coolants, at the cost of higher viscosity and lower conductivity than water. Engine oils, transformer oils and other mineral and synthetic oils serve high-temperature and dielectric applications, and refrigerants form the base for two-phase nanofluid studies. Hybrid nanofluids, which combine two nanoparticle species such as an oxide with a carbon material, or a metal with an oxide, aim to exploit complementary attributes, for example combining the high conductivity of one component with the stability or low cost of another, and have attracted growing interest as a means of tailoring properties to a specific duty [18].</w:t>
      </w:r>
    </w:p>
    <w:p>
      <w:pPr>
        <w:pStyle w:val="Normal"/>
      </w:pPr>
      <w:r>
        <w:t xml:space="preserve">The choice of base fluid carries consequences that extend well beyond the operating temperature range, because the base fluid establishes the physical and chemical environment in which the particles must remain dispersed and through which the enhancement mechanisms operate. A base fluid of high polarity, such as water, supports electrostatic stabilisation because its high dielectric constant screens the surface charges of the particles and sustains the diffuse ionic double layer on which electrostatic repulsion depends; a non-polar oil, by contrast, cannot support significant surface charge and must rely almost entirely on steric stabilisation by adsorbed molecules. The viscosity of the base fluid sets the baseline against which the particle-induced viscosity increase is measured and thus governs the hydraulic penalty, while its own conductivity sets the baseline against which enhancement is judged, so that the same absolute increase in conductivity represents a larger relative gain in a low-conductivity oil than in water. These considerations mean that a particle-liquid pairing that performs admirably in one base fluid may perform poorly in another, and that reports of enhancement must always be read together with the identity of the base fluid rather than attributed to the particle alone [19]. The glycols and their aqueous mixtures occupy an especially important practical niche because so much of the world's installed heat-transfer equipment, from automotive radiators to building chilled-water loops, operates with them, and a nanofluid additive that could be introduced into an existing glycol-based system without redesign would have a large and immediate market, which is one reason the glycol nanofluids have received disproportionate applied attention.</w:t>
      </w:r>
    </w:p>
    <w:p>
      <w:pPr>
        <w:pStyle w:val="Normal"/>
      </w:pPr>
      <w:r>
        <w:t xml:space="preserve">Hybrid nanofluids merit closer examination because they represent the frontier at which the tailoring of properties becomes most deliberate and most complex. The rationale for combining two particle species is that the attributes desired of a nanofluid, high conductivity, low viscosity increase, robust stability and low cost, are seldom all present in a single material, so that a judiciously chosen pair may supply collectively what neither supplies alone. A common strategy pairs a small quantity of a very high conductivity carbon material, which provides percolating conductive pathways, with a larger quantity of an inexpensive and easily stabilised oxide, which provides bulk and assists dispersion; another pairs a metal with its own oxide to combine high conductivity with the stability conferred by the oxide surface. The difficulty is that the property behaviour of a hybrid is not in general the simple sum or average of its constituents, because the two particle species interact with one another as well as with the fluid, sometimes stabilising one another and sometimes accelerating mutual aggregation, so that the composition space of hybrids is both large and non-additive. This combinatorial richness makes hybrids a natural proving ground for the data-driven methods introduced later in the book, since the number of candidate compositions vastly exceeds what can be examined experimentally [18].</w:t>
      </w:r>
    </w:p>
    <w:p>
      <w:pPr>
        <w:pStyle w:val="Normal"/>
      </w:pPr>
      <w:r>
        <w:t xml:space="preserve">Two synthesis routes dominate the preparation of nanofluids, and the choice between them has a decisive influence on the quality and stability of the product. The two-step method, illustrated on the left of Figure 2.1, first produces dry nanoparticles by an independent process such as inert-gas condensation, chemical vapour deposition or mechanical milling, and then disperses these pre-formed particles into the base fluid with the aid of intensive agitation, ultrasonication and, frequently, chemical surfactants or pH adjustment to stabilise the suspension. The two-step method is economical and scalable because the nanoparticle production and the dispersion are decoupled and the former can exploit the economies of commercial powder manufacture, but it suffers from a strong tendency for the dry particles to agglomerate before and during dispersion, so that the suspensions it yields are often less stable and contain larger effective particle clusters than their one-step counterparts [19].</w:t>
      </w:r>
    </w:p>
    <w:p>
      <w:pPr>
        <w:pStyle w:val="Normal"/>
      </w:pPr>
      <w:r>
        <w:t xml:space="preserve">The mechanics of the two-step dispersion process reward closer attention, because the quality of the final suspension is determined largely by how effectively the agglomerates present in the dry powder are broken apart and prevented from re-forming. Commercial nanopowders, however carefully manufactured, arrive as loose agglomerates and harder aggregates in which the primary particles are held together by van der Waals forces and, in the case of aggregates, by sintered necks formed during synthesis; simple stirring disperses the powder into the liquid but leaves these clusters largely intact, so that the effective particle size in a stirred-only suspension may be an order of magnitude larger than the nominal primary size quoted by the supplier. Ultrasonication supplies the concentrated mechanical energy needed to fracture the softer agglomerates, through the violent collapse of cavitation bubbles that generates local shear and shock, and its effect is progressive: the mean cluster size falls with sonication time toward an asymptote set by the strength of the aggregates and the intensity of the field. There is, however, an optimum beyond which further sonication is counterproductive, both because the energy input heats the fluid and can degrade surfactants and because, once the driving field is removed, the freshly exposed and highly energetic particle surfaces may re-aggregate more rapidly than before. The two-step route is therefore not a single procedure but a sequence of coupled choices, of surfactant, of pH, of sonication power and duration, whose joint optimisation for a given powder and fluid is itself a small research undertaking [20].</w:t>
      </w:r>
    </w:p>
    <w:p>
      <w:pPr>
        <w:pStyle w:val="FigureImage"/>
      </w:pPr>
      <w:r>
        <w:drawing>
          <wp:inline xmlns:wp="http://schemas.openxmlformats.org/drawingml/2006/wordprocessingDrawing" distT="0" distB="0" distL="0" distR="0">
            <wp:extent cx="5486400" cy="3753852"/>
            <wp:docPr id="1003" name="Picture1003"/>
            <a:graphic xmlns:a="http://schemas.openxmlformats.org/drawingml/2006/main">
              <a:graphicData uri="http://schemas.openxmlformats.org/drawingml/2006/picture">
                <pic:pic xmlns:pic="http://schemas.openxmlformats.org/drawingml/2006/picture">
                  <pic:nvPicPr>
                    <pic:cNvPr id="1003" name="Picture1003"/>
                    <pic:cNvPicPr/>
                  </pic:nvPicPr>
                  <pic:blipFill>
                    <a:blip xmlns:r="http://schemas.openxmlformats.org/officeDocument/2006/relationships" r:embed="rId1003"/>
                    <a:stretch>
                      <a:fillRect/>
                    </a:stretch>
                  </pic:blipFill>
                  <pic:spPr>
                    <a:xfrm>
                      <a:off x="0" y="0"/>
                      <a:ext cx="5486400" cy="3753852"/>
                    </a:xfrm>
                    <a:prstGeom prst="rect">
                      <a:avLst/>
                    </a:prstGeom>
                  </pic:spPr>
                </pic:pic>
              </a:graphicData>
            </a:graphic>
          </wp:inline>
        </w:drawing>
      </w:r>
    </w:p>
    <w:p>
      <w:pPr>
        <w:pStyle w:val="FigureCaption"/>
      </w:pPr>
      <w:r>
        <w:t xml:space="preserve">Figure 2.1 Comparison of the two-step and one-step routes for the preparation of nanofluids.</w:t>
      </w:r>
    </w:p>
    <w:p>
      <w:pPr>
        <w:pStyle w:val="Normal"/>
      </w:pPr>
      <w:r>
        <w:t xml:space="preserve">The one-step method, shown on the right of Figure 2.1, synthesises the nanoparticles directly within the base fluid, so that the particles never exist in a dry, agglomeration-prone state; representative techniques include the direct condensation of a metal vapour into a flowing low-vapour-pressure liquid and various wet-chemical reductions carried out in the base fluid itself. Because the particles are formed in situ and immediately stabilised by the surrounding liquid, one-step suspensions are typically more stable and better dispersed than two-step suspensions, which makes the one-step route attractive for fundamental studies where dispersion quality must be controlled. Its disadvantages are the difficulty of removing reaction by-products, the restriction to low-vapour-pressure base fluids in the vapour-condensation variant, and the poor scalability and high cost that at present confine it largely to the laboratory [20]. The practical consequence of these trade-offs is that the great majority of applied heat-transfer studies use two-step suspensions and devote considerable effort to stabilisation, whereas one-step suspensions are reserved for investigations in which dispersion quality is itself the object of study.</w:t>
      </w:r>
    </w:p>
    <w:p>
      <w:pPr>
        <w:pStyle w:val="Normal"/>
      </w:pPr>
      <w:r>
        <w:t xml:space="preserve">The distinction between the two routes has an epistemic dimension that is easily overlooked but that bears directly on the interpretation of the literature. Because one-step suspensions are typically better dispersed and contain smaller and more uniform particles, measurements made on them tend to reflect the intrinsic behaviour of well-separated nanoparticles, whereas measurements on two-step suspensions reflect the behaviour of a population that includes clusters of ill-defined size and morphology. When a two-step suspension exhibits an enhancement larger than a one-step suspension of nominally the same composition, the difference is frequently attributable not to any superiority of the two-step material but to the clustering that the two-step route promotes, clustering that can raise conductivity through the percolation mechanism discussed later while simultaneously undermining stability. The apparent paradox that a less stable suspension may show a larger conductivity enhancement is thus resolved by recognising that the two are manifestations of the same underlying aggregation, and it serves as a warning against optimising conductivity in isolation from stability. A responsible characterisation programme records not merely the nominal composition but the actual dispersion state, so that an enhancement can be attributed to its true cause rather than to the nominal recipe [21].</w:t>
      </w:r>
    </w:p>
    <w:p>
      <w:pPr>
        <w:pStyle w:val="Normal"/>
      </w:pPr>
      <w:r>
        <w:t xml:space="preserve">Beyond the two dominant routes, a number of intermediate and specialised techniques have been developed to address particular difficulties. Microfluidic and continuous-flow reactors offer finer control over particle nucleation and growth than batch synthesis and can produce narrow size distributions in a scalable manner, narrowing the historic gap between the quality of one-step and the throughput of two-step methods. Surface functionalisation performed during or immediately after synthesis, rather than as a separate downstream step, can stabilise particles before they have any opportunity to aggregate, which is especially valuable for carbon nanomaterials whose native surfaces resist wetting by water. The persistence of a plurality of methods, none of which is optimal on every axis of cost, quality and scale, is characteristic of a field still maturing toward industrial practice, and it reinforces the theme that the properties of a nanofluid are inseparable from the history of its preparation [20].</w:t>
      </w:r>
    </w:p>
    <w:p>
      <w:pPr>
        <w:pStyle w:val="Normal"/>
      </w:pPr>
      <w:r>
        <w:t xml:space="preserve">The characterisation of a prepared nanofluid is as important as its synthesis, because the effective properties depend not only on the nominal composition but on the actual state of dispersion. Particle size and its distribution are measured by dynamic light scattering, which infers a hydrodynamic diameter from the Brownian motion of the particles, and by transmission and scanning electron microscopy, which image the particles directly but require dilution and drying that may not represent the suspended state. The concentration is expressed either as a volume fraction or as a mass fraction, and the conversion between them requires the densities of both phases; careless reporting of concentration is a recurrent source of confusion in the literature. Zeta potential, discussed in Section 2.3, quantifies the electrostatic stabilisation of the suspension, and spectroscopic and gravimetric sedimentation tests assess stability over time [21]. Only when these characterisation data accompany a property or heat-transfer measurement can the result be interpreted with confidence, and the absence of adequate characterisation is one reason for the scatter that pervades the experimental database and that motivates the statistical and machine-learning treatments introduced later.</w:t>
      </w:r>
    </w:p>
    <w:p>
      <w:pPr>
        <w:pStyle w:val="Heading2"/>
      </w:pPr>
      <w:r>
        <w:t xml:space="preserve">2.2 Thermophysical Properties and Their Measurement</w:t>
      </w:r>
    </w:p>
    <w:p>
      <w:pPr>
        <w:pStyle w:val="Normal"/>
      </w:pPr>
      <w:r>
        <w:t xml:space="preserve">Four thermophysical properties govern the convective performance of a nanofluid, and each must be known as a function of concentration and temperature before the heat-transfer behaviour can be predicted. Thermal conductivity determines the conductive contribution to convection and appears in the Nusselt number and the overall coefficient; dynamic viscosity governs the pressure drop and the pumping power and enters the Reynolds and Prandtl numbers; density affects the mass flow rate, the momentum and the buoyancy; and specific heat capacity determines the thermal energy that a given mass of fluid can transport for a given temperature change. Because these properties enter the governing dimensionless groups in different combinations, an enhancement in one may be partly or wholly offset by an adverse change in another, and a proper assessment of a nanofluid requires all four to be considered together rather than conductivity in isolation [22].</w:t>
      </w:r>
    </w:p>
    <w:p>
      <w:pPr>
        <w:pStyle w:val="Normal"/>
      </w:pPr>
      <w:r>
        <w:t xml:space="preserve">The manner in which the four properties combine into the dimensionless groups that govern convection deserves to be made explicit, because it reveals why an enhancement in one property does not translate directly into an enhancement in performance. The Prandtl number, which measures the relative diffusion of momentum and heat, rises when viscosity rises and falls when conductivity rises, so that the two dominant nanofluid property changes act in opposition within it; the Reynolds number, which measures the ratio of inertial to viscous forces, falls as viscosity rises at fixed mass flow, tending to move the flow toward the laminar regime where heat transfer is weaker. The Peclet number, the product of Reynolds and Prandtl numbers, measures the relative importance of advective and diffusive transport of the particles themselves and governs the strength of the particle-migration effects discussed in the following chapter. Because a single physical change, the addition of particles, alters several of these groups simultaneously and in partly opposing directions, the net effect on heat transfer can only be established by carrying all four property changes through the governing relations together, and the intuition that a more conductive fluid must transfer heat better is unreliable precisely because it ignores the accompanying penalties in viscosity and, through it, in the Reynolds and Prandtl numbers [23].</w:t>
      </w:r>
    </w:p>
    <w:p>
      <w:pPr>
        <w:pStyle w:val="Normal"/>
      </w:pPr>
      <w:r>
        <w:t xml:space="preserve">It is also important to recognise that the four properties do not vary independently as composition and temperature change, because they share common microscopic origins in the state of dispersion. A rise in temperature, for instance, simultaneously lowers the viscosity, intensifies the Brownian motion that contributes to conductivity, and may accelerate the aggregation that alters both, so that the temperature dependences of the properties are coupled rather than separable. Aggregation raises the effective conductivity through percolation while raising the viscosity through the increased effective volume fraction of the clusters and their entrained liquid, coupling the two properties most consequential for performance. This interdependence is one reason that attempts to model each property with an independent correlation, and then to combine the results, can accumulate error and violate the physical constraints that link the properties, and it is an argument, developed in later chapters, for models that treat the properties jointly and respect their common dependence on the underlying dispersion state [22].</w:t>
      </w:r>
    </w:p>
    <w:p>
      <w:pPr>
        <w:pStyle w:val="Normal"/>
      </w:pPr>
      <w:r>
        <w:t xml:space="preserve">Thermal conductivity is the property that first attracted attention to nanofluids and remains the most intensively studied. The classical baseline is the effective-medium theory of Maxwell, derived for dilute suspensions of non-interacting spheres, which predicts an enhancement that depends only on the conductivities of the two phases and the volume fraction and which, for the small fractions typical of nanofluids, is modest and approximately linear in concentration. Hamilton and Crosser extended Maxwell's result to non-spherical particles by introducing a shape factor, capturing the empirical observation that elongated and platelet particles enhance conductivity more effectively than spheres at equal loading [23]. Figure 2.2 shows the measured enhancement of the conductivity ratio with volume concentration for several representative nanofluids and illustrates both the general increase with loading and the strong dependence on particle material, with carbon nanotubes producing the steepest enhancement.</w:t>
      </w:r>
    </w:p>
    <w:p>
      <w:pPr>
        <w:pStyle w:val="FigureImage"/>
      </w:pPr>
      <w:r>
        <w:drawing>
          <wp:inline xmlns:wp="http://schemas.openxmlformats.org/drawingml/2006/wordprocessingDrawing" distT="0" distB="0" distL="0" distR="0">
            <wp:extent cx="5486400" cy="3753852"/>
            <wp:docPr id="1004" name="Picture1004"/>
            <a:graphic xmlns:a="http://schemas.openxmlformats.org/drawingml/2006/main">
              <a:graphicData uri="http://schemas.openxmlformats.org/drawingml/2006/picture">
                <pic:pic xmlns:pic="http://schemas.openxmlformats.org/drawingml/2006/picture">
                  <pic:nvPicPr>
                    <pic:cNvPr id="1004" name="Picture1004"/>
                    <pic:cNvPicPr/>
                  </pic:nvPicPr>
                  <pic:blipFill>
                    <a:blip xmlns:r="http://schemas.openxmlformats.org/officeDocument/2006/relationships" r:embed="rId1004"/>
                    <a:stretch>
                      <a:fillRect/>
                    </a:stretch>
                  </pic:blipFill>
                  <pic:spPr>
                    <a:xfrm>
                      <a:off x="0" y="0"/>
                      <a:ext cx="5486400" cy="3753852"/>
                    </a:xfrm>
                    <a:prstGeom prst="rect">
                      <a:avLst/>
                    </a:prstGeom>
                  </pic:spPr>
                </pic:pic>
              </a:graphicData>
            </a:graphic>
          </wp:inline>
        </w:drawing>
      </w:r>
    </w:p>
    <w:p>
      <w:pPr>
        <w:pStyle w:val="FigureCaption"/>
      </w:pPr>
      <w:r>
        <w:t xml:space="preserve">Figure 2.2 Thermal conductivity ratio as a function of nanoparticle volume concentration for several nanofluids.</w:t>
      </w:r>
    </w:p>
    <w:p>
      <w:pPr>
        <w:pStyle w:val="Normal"/>
      </w:pPr>
      <w:r>
        <w:t xml:space="preserve">The experimental literature repeatedly reports conductivity enhancements that exceed the predictions of classical effective-medium theory, sometimes substantially, and the explanation of this anomalous enhancement has generated a large body of mechanistic work. Four mechanisms are most often invoked. The first is Brownian motion of the nanoparticles, which is thought to contribute both directly, through the micro-convection that the moving particles induce in the surrounding liquid, and indirectly, by promoting particle collisions and clustering. The second is the formation of an ordered nanolayer of liquid molecules at the particle surface, a region of higher local conductivity than the bulk liquid that effectively enlarges the particle and increases the volume fraction of the conducting phase. The third is the clustering or aggregation of particles into fractal structures that provide percolating paths of high conductivity through the suspension, a mechanism that can enhance conductivity at the expense of stability. The fourth is ballistic and near-field phonon transport within and between closely spaced particles [24].</w:t>
      </w:r>
    </w:p>
    <w:p>
      <w:pPr>
        <w:pStyle w:val="Normal"/>
      </w:pPr>
      <w:r>
        <w:t xml:space="preserve">Each of these mechanisms carries testable signatures, and the effort to confirm or refute them by their predicted dependences has structured much of the mechanistic debate. The Brownian-motion hypothesis predicts a strong dependence of enhancement on temperature and an inverse dependence on particle size, because smaller and warmer particles diffuse more rapidly; experiments do commonly show that enhancement grows with temperature and with decreasing size, lending the hypothesis support, yet quantitative estimates of the micro-convective contribution frequently fall short of the observed enhancement by a wide margin, suggesting that Brownian motion alone cannot be the whole story. The nanolayer hypothesis predicts an enhancement that grows as the ratio of layer thickness to particle radius grows, and therefore as particle size falls, a dependence broadly consistent with observation, but the thickness and conductivity of the postulated ordered layer are difficult to measure independently and are usually inferred by fitting, which robs the hypothesis of predictive force. The aggregation hypothesis predicts that enhancement should correlate with the degree of clustering and hence, paradoxically, with declining stability, and it is supported by the frequent observation that freshly sonicated, well-dispersed samples show smaller enhancements than the same samples after partial aggregation. The phonon-transport hypothesis, drawn from the physics of solid nanocomposites, is most relevant at high loadings and small interparticle spacings that lie outside the dilute regime of most nanofluids. The picture that emerges is not of one correct mechanism and three incorrect ones but of several mechanisms operating together, with their relative weights shifting according to material, size, temperature and dispersion state, which is precisely why a single closed-form model has proved so elusive [24].</w:t>
      </w:r>
    </w:p>
    <w:p>
      <w:pPr>
        <w:pStyle w:val="Normal"/>
      </w:pPr>
      <w:r>
        <w:t xml:space="preserve">The practical upshot of this mechanistic complexity is a humbling one for the correlation-builder. A model calibrated on one material system, at one range of sizes and temperatures and one dispersion state, embeds the particular blend of mechanisms operative in that system, and there is no assurance that the same blend, and hence the same functional dependences, will govern a different system. This is the deep reason that the many empirical conductivity correlations in the literature agree tolerably with the data on which they were fitted yet diverge sharply when extrapolated, and it distinguishes the conductivity problem, where the underlying physics is contested, from the density problem, where a single conservation-based rule suffices universally. The recognition that the conductivity enhancement is a superposition of mechanisms with system-dependent weights is the physical justification for turning to models that learn those weights implicitly from data rather than positing them in advance [23]. The relative importance of these mechanisms remains debated, and no single model incorporating them has achieved universal predictive success, a state of affairs that directly motivates the data-driven conductivity models developed in Chapter 8. Table 2.2 summarises the principal classes of thermal-conductivity model together with their assumptions and limitations.</w:t>
      </w:r>
    </w:p>
    <w:p>
      <w:pPr>
        <w:pStyle w:val="TableCaption"/>
      </w:pPr>
      <w:r>
        <w:rPr>
          <w:b/>
        </w:rPr>
        <w:t xml:space="preserve">Table 2.2</w:t>
      </w:r>
      <w:r>
        <w:t xml:space="preserve"> Principal classes of thermal-conductivity model for nanofluids.</w:t>
      </w:r>
    </w:p>
    <w:tbl>
      <w:tblPr>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w="2340" w:type="dxa"/>
            <w:shd w:val="clear" w:color="auto" w:fill="D9E2F3"/>
          </w:tcPr>
          <w:p>
            <w:pPr>
              <w:jc w:val="center"/>
              <w:spacing w:after="20"/>
            </w:pPr>
            <w:r>
              <w:rPr>
                <w:b/>
              </w:rPr>
              <w:t xml:space="preserve">Model class</w:t>
            </w:r>
          </w:p>
        </w:tc>
        <w:tc>
          <w:tcPr>
            <w:tcW w:w="2340" w:type="dxa"/>
            <w:shd w:val="clear" w:color="auto" w:fill="D9E2F3"/>
          </w:tcPr>
          <w:p>
            <w:pPr>
              <w:jc w:val="center"/>
              <w:spacing w:after="20"/>
            </w:pPr>
            <w:r>
              <w:rPr>
                <w:b/>
              </w:rPr>
              <w:t xml:space="preserve">Basis</w:t>
            </w:r>
          </w:p>
        </w:tc>
        <w:tc>
          <w:tcPr>
            <w:tcW w:w="2340" w:type="dxa"/>
            <w:shd w:val="clear" w:color="auto" w:fill="D9E2F3"/>
          </w:tcPr>
          <w:p>
            <w:pPr>
              <w:jc w:val="center"/>
              <w:spacing w:after="20"/>
            </w:pPr>
            <w:r>
              <w:rPr>
                <w:b/>
              </w:rPr>
              <w:t xml:space="preserve">Key variables</w:t>
            </w:r>
          </w:p>
        </w:tc>
        <w:tc>
          <w:tcPr>
            <w:tcW w:w="2340" w:type="dxa"/>
            <w:shd w:val="clear" w:color="auto" w:fill="D9E2F3"/>
          </w:tcPr>
          <w:p>
            <w:pPr>
              <w:jc w:val="center"/>
              <w:spacing w:after="20"/>
            </w:pPr>
            <w:r>
              <w:rPr>
                <w:b/>
              </w:rPr>
              <w:t xml:space="preserve">Limitation</w:t>
            </w:r>
          </w:p>
        </w:tc>
      </w:tr>
      <w:tr>
        <w:tc>
          <w:tcPr>
            <w:tcW w:w="2340" w:type="dxa"/>
          </w:tcPr>
          <w:p>
            <w:pPr>
              <w:spacing w:after="20"/>
              <w:jc w:val="left"/>
            </w:pPr>
            <w:r>
              <w:t xml:space="preserve">Maxwell (effective medium)</w:t>
            </w:r>
          </w:p>
        </w:tc>
        <w:tc>
          <w:tcPr>
            <w:tcW w:w="2340" w:type="dxa"/>
          </w:tcPr>
          <w:p>
            <w:pPr>
              <w:spacing w:after="20"/>
              <w:jc w:val="left"/>
            </w:pPr>
            <w:r>
              <w:t xml:space="preserve">Dilute non-interacting spheres</w:t>
            </w:r>
          </w:p>
        </w:tc>
        <w:tc>
          <w:tcPr>
            <w:tcW w:w="2340" w:type="dxa"/>
          </w:tcPr>
          <w:p>
            <w:pPr>
              <w:spacing w:after="20"/>
              <w:jc w:val="left"/>
            </w:pPr>
            <w:r>
              <w:t xml:space="preserve">Volume fraction, phase conductivities</w:t>
            </w:r>
          </w:p>
        </w:tc>
        <w:tc>
          <w:tcPr>
            <w:tcW w:w="2340" w:type="dxa"/>
          </w:tcPr>
          <w:p>
            <w:pPr>
              <w:spacing w:after="20"/>
              <w:jc w:val="left"/>
            </w:pPr>
            <w:r>
              <w:t xml:space="preserve">Underpredicts at higher loading</w:t>
            </w:r>
          </w:p>
        </w:tc>
      </w:tr>
      <w:tr>
        <w:tc>
          <w:tcPr>
            <w:tcW w:w="2340" w:type="dxa"/>
          </w:tcPr>
          <w:p>
            <w:pPr>
              <w:spacing w:after="20"/>
              <w:jc w:val="left"/>
            </w:pPr>
            <w:r>
              <w:t xml:space="preserve">Hamilton–Crosser</w:t>
            </w:r>
          </w:p>
        </w:tc>
        <w:tc>
          <w:tcPr>
            <w:tcW w:w="2340" w:type="dxa"/>
          </w:tcPr>
          <w:p>
            <w:pPr>
              <w:spacing w:after="20"/>
              <w:jc w:val="left"/>
            </w:pPr>
            <w:r>
              <w:t xml:space="preserve">Shape-corrected effective medium</w:t>
            </w:r>
          </w:p>
        </w:tc>
        <w:tc>
          <w:tcPr>
            <w:tcW w:w="2340" w:type="dxa"/>
          </w:tcPr>
          <w:p>
            <w:pPr>
              <w:spacing w:after="20"/>
              <w:jc w:val="left"/>
            </w:pPr>
            <w:r>
              <w:t xml:space="preserve">Adds particle sphericity</w:t>
            </w:r>
          </w:p>
        </w:tc>
        <w:tc>
          <w:tcPr>
            <w:tcW w:w="2340" w:type="dxa"/>
          </w:tcPr>
          <w:p>
            <w:pPr>
              <w:spacing w:after="20"/>
              <w:jc w:val="left"/>
            </w:pPr>
            <w:r>
              <w:t xml:space="preserve">Empirical shape factor</w:t>
            </w:r>
          </w:p>
        </w:tc>
      </w:tr>
      <w:tr>
        <w:tc>
          <w:tcPr>
            <w:tcW w:w="2340" w:type="dxa"/>
          </w:tcPr>
          <w:p>
            <w:pPr>
              <w:spacing w:after="20"/>
              <w:jc w:val="left"/>
            </w:pPr>
            <w:r>
              <w:t xml:space="preserve">Brownian-motion models</w:t>
            </w:r>
          </w:p>
        </w:tc>
        <w:tc>
          <w:tcPr>
            <w:tcW w:w="2340" w:type="dxa"/>
          </w:tcPr>
          <w:p>
            <w:pPr>
              <w:spacing w:after="20"/>
              <w:jc w:val="left"/>
            </w:pPr>
            <w:r>
              <w:t xml:space="preserve">Micro-convection by moving particles</w:t>
            </w:r>
          </w:p>
        </w:tc>
        <w:tc>
          <w:tcPr>
            <w:tcW w:w="2340" w:type="dxa"/>
          </w:tcPr>
          <w:p>
            <w:pPr>
              <w:spacing w:after="20"/>
              <w:jc w:val="left"/>
            </w:pPr>
            <w:r>
              <w:t xml:space="preserve">Temperature, particle size</w:t>
            </w:r>
          </w:p>
        </w:tc>
        <w:tc>
          <w:tcPr>
            <w:tcW w:w="2340" w:type="dxa"/>
          </w:tcPr>
          <w:p>
            <w:pPr>
              <w:spacing w:after="20"/>
              <w:jc w:val="left"/>
            </w:pPr>
            <w:r>
              <w:t xml:space="preserve">Sensitive to fitting constants</w:t>
            </w:r>
          </w:p>
        </w:tc>
      </w:tr>
      <w:tr>
        <w:tc>
          <w:tcPr>
            <w:tcW w:w="2340" w:type="dxa"/>
          </w:tcPr>
          <w:p>
            <w:pPr>
              <w:spacing w:after="20"/>
              <w:jc w:val="left"/>
            </w:pPr>
            <w:r>
              <w:t xml:space="preserve">Nanolayer models</w:t>
            </w:r>
          </w:p>
        </w:tc>
        <w:tc>
          <w:tcPr>
            <w:tcW w:w="2340" w:type="dxa"/>
          </w:tcPr>
          <w:p>
            <w:pPr>
              <w:spacing w:after="20"/>
              <w:jc w:val="left"/>
            </w:pPr>
            <w:r>
              <w:t xml:space="preserve">Ordered interfacial liquid layer</w:t>
            </w:r>
          </w:p>
        </w:tc>
        <w:tc>
          <w:tcPr>
            <w:tcW w:w="2340" w:type="dxa"/>
          </w:tcPr>
          <w:p>
            <w:pPr>
              <w:spacing w:after="20"/>
              <w:jc w:val="left"/>
            </w:pPr>
            <w:r>
              <w:t xml:space="preserve">Layer thickness, conductivity</w:t>
            </w:r>
          </w:p>
        </w:tc>
        <w:tc>
          <w:tcPr>
            <w:tcW w:w="2340" w:type="dxa"/>
          </w:tcPr>
          <w:p>
            <w:pPr>
              <w:spacing w:after="20"/>
              <w:jc w:val="left"/>
            </w:pPr>
            <w:r>
              <w:t xml:space="preserve">Layer properties uncertain</w:t>
            </w:r>
          </w:p>
        </w:tc>
      </w:tr>
      <w:tr>
        <w:tc>
          <w:tcPr>
            <w:tcW w:w="2340" w:type="dxa"/>
          </w:tcPr>
          <w:p>
            <w:pPr>
              <w:spacing w:after="20"/>
              <w:jc w:val="left"/>
            </w:pPr>
            <w:r>
              <w:t xml:space="preserve">Aggregation / fractal models</w:t>
            </w:r>
          </w:p>
        </w:tc>
        <w:tc>
          <w:tcPr>
            <w:tcW w:w="2340" w:type="dxa"/>
          </w:tcPr>
          <w:p>
            <w:pPr>
              <w:spacing w:after="20"/>
              <w:jc w:val="left"/>
            </w:pPr>
            <w:r>
              <w:t xml:space="preserve">Percolating conductive clusters</w:t>
            </w:r>
          </w:p>
        </w:tc>
        <w:tc>
          <w:tcPr>
            <w:tcW w:w="2340" w:type="dxa"/>
          </w:tcPr>
          <w:p>
            <w:pPr>
              <w:spacing w:after="20"/>
              <w:jc w:val="left"/>
            </w:pPr>
            <w:r>
              <w:t xml:space="preserve">Cluster morphology</w:t>
            </w:r>
          </w:p>
        </w:tc>
        <w:tc>
          <w:tcPr>
            <w:tcW w:w="2340" w:type="dxa"/>
          </w:tcPr>
          <w:p>
            <w:pPr>
              <w:spacing w:after="20"/>
              <w:jc w:val="left"/>
            </w:pPr>
            <w:r>
              <w:t xml:space="preserve">Requires morphology data</w:t>
            </w:r>
          </w:p>
        </w:tc>
      </w:tr>
    </w:tbl>
    <w:p>
      <w:pPr>
        <w:spacing w:after="120"/>
      </w:pPr>
    </w:p>
    <w:p>
      <w:pPr>
        <w:pStyle w:val="Normal"/>
      </w:pPr>
      <w:r>
        <w:t xml:space="preserve">Dynamic viscosity is the property that most directly penalises the use of nanofluids, because the addition of particles invariably raises the viscosity and hence the pumping power, and the increase is often proportionally larger than the accompanying conductivity gain. The classical baseline is the Einstein relation for dilute suspensions of rigid spheres, which predicts a viscosity increase linear in volume fraction with a coefficient of two and one half; the Brinkman and Batchelor extensions add higher-order terms to account for hydrodynamic interactions between particles at larger fractions. Measured nanofluid viscosities, however, frequently exceed even these extended predictions, particularly at higher concentrations and lower temperatures and for non-spherical particles, and the viscosity generally depends on temperature, shear rate, particle size and the degree of aggregation in ways that no single closed-form model captures reliably [25]. Figure 2.3 shows the characteristic decrease of relative viscosity with temperature and its increase with concentration, a behaviour that has direct consequences for the pumping penalty at the low temperatures encountered during cold start-up.</w:t>
      </w:r>
    </w:p>
    <w:p>
      <w:pPr>
        <w:pStyle w:val="Normal"/>
      </w:pPr>
      <w:r>
        <w:t xml:space="preserve">The failure of the classical viscosity relations to predict measured nanofluid viscosities has origins that parallel, but are not identical to, those of the conductivity problem. The Einstein relation and its extensions treat the particles as rigid, isolated, spherical and neutrally interacting, and they account for the viscosity increase solely through the perturbation that each particle imposes on the surrounding flow field. Real nanoparticles violate every one of these assumptions to some degree: they are frequently non-spherical, so that their rotation in shear dissipates additional energy; they are charged, so that the deformation of their ionic double layers under shear adds an electroviscous contribution absent from the neutral theory; and above all they aggregate, so that the entity that perturbs the flow is not the primary particle but a cluster whose effective volume, swollen by the liquid immobilised within its porous structure, greatly exceeds the volume of solid it contains. This last effect is the dominant reason that measured viscosities exceed the predictions of the rigid-sphere theories, because the effective volume fraction that governs viscosity is the fraction occupied by clusters and their entrained liquid rather than the nominal fraction of solid, and it grows disproportionately as aggregation proceeds [25]. The temperature dependence of viscosity, which follows the strongly decreasing trend of the base liquid modulated by the temperature dependence of aggregation, compounds the difficulty, and the occasional appearance of shear-thinning or yield-stress behaviour at higher loadings places some nanofluids outside the Newtonian framework altogether.</w:t>
      </w:r>
    </w:p>
    <w:p>
      <w:pPr>
        <w:pStyle w:val="Normal"/>
      </w:pPr>
      <w:r>
        <w:t xml:space="preserve">The consequences of the viscosity increase for the energy economy of a nanofluid system are severe enough to warrant emphasis here, in advance of the fuller treatment in later chapters. Because the pumping power scales with the product of pressure drop and flow rate, and the pressure drop rises with viscosity, a viscosity increase translates more or less directly into an increase in the parasitic power that the pump must supply, and this power is drawn at the low thermodynamic quality of shaft work rather than the potentially low quality of the heat being managed. A nanofluid that raises conductivity by a tenth while raising viscosity by a third may therefore consume more additional pumping energy than it saves in heat-transfer surface, and whether it represents a net gain depends on the detailed balance developed in Chapters 3 and 4. The asymmetry between the typically modest conductivity gain and the frequently larger viscosity penalty is the single most important reason that the enthusiasm of the early conductivity-focused literature has given way to a more measured contemporary assessment, and it is why viscosity, though less glamorous than conductivity, is arguably the more decisive property in determining whether a nanofluid earns its place in a real system [26].</w:t>
      </w:r>
    </w:p>
    <w:p>
      <w:pPr>
        <w:pStyle w:val="FigureImage"/>
      </w:pPr>
      <w:r>
        <w:drawing>
          <wp:inline xmlns:wp="http://schemas.openxmlformats.org/drawingml/2006/wordprocessingDrawing" distT="0" distB="0" distL="0" distR="0">
            <wp:extent cx="5486400" cy="3753852"/>
            <wp:docPr id="1005" name="Picture1005"/>
            <a:graphic xmlns:a="http://schemas.openxmlformats.org/drawingml/2006/main">
              <a:graphicData uri="http://schemas.openxmlformats.org/drawingml/2006/picture">
                <pic:pic xmlns:pic="http://schemas.openxmlformats.org/drawingml/2006/picture">
                  <pic:nvPicPr>
                    <pic:cNvPr id="1005" name="Picture1005"/>
                    <pic:cNvPicPr/>
                  </pic:nvPicPr>
                  <pic:blipFill>
                    <a:blip xmlns:r="http://schemas.openxmlformats.org/officeDocument/2006/relationships" r:embed="rId1005"/>
                    <a:stretch>
                      <a:fillRect/>
                    </a:stretch>
                  </pic:blipFill>
                  <pic:spPr>
                    <a:xfrm>
                      <a:off x="0" y="0"/>
                      <a:ext cx="5486400" cy="3753852"/>
                    </a:xfrm>
                    <a:prstGeom prst="rect">
                      <a:avLst/>
                    </a:prstGeom>
                  </pic:spPr>
                </pic:pic>
              </a:graphicData>
            </a:graphic>
          </wp:inline>
        </w:drawing>
      </w:r>
    </w:p>
    <w:p>
      <w:pPr>
        <w:pStyle w:val="FigureCaption"/>
      </w:pPr>
      <w:r>
        <w:t xml:space="preserve">Figure 2.3 Relative viscosity of a representative nanofluid as a function of temperature at several volume concentrations.</w:t>
      </w:r>
    </w:p>
    <w:p>
      <w:pPr>
        <w:pStyle w:val="Normal"/>
      </w:pPr>
      <w:r>
        <w:t xml:space="preserve">Density and specific heat capacity are, by contrast, well described by simple mixing rules that follow from mass and energy conservation, and they exhibit far less anomalous behaviour than conductivity and viscosity. The density of a nanofluid is the volume-fraction-weighted average of the densities of the two phases, a relation confirmed by measurement to within experimental uncertainty across the range of concentrations of practical interest. The specific heat capacity, when expressed on a mass basis, follows from an energy balance that weights the two phases by their mass fractions, although some authors employ a simpler volume-weighted expression that is thermodynamically less consistent and can introduce discernible error at higher loadings. Because nanoparticles generally have a lower specific heat than water, the addition of particles reduces the specific heat of the suspension, which slightly diminishes its capacity to transport thermal energy per unit mass and must be weighed against the conductivity gain [26]. The reliability of these mixing rules for density and specific heat, in contrast to the difficulty of predicting conductivity and viscosity, is itself instructive: it shows that the anomalies of nanofluid behaviour are concentrated in the two properties most sensitive to the microscopic state of dispersion, and it explains why data-driven models are most needed precisely for conductivity and viscosity.</w:t>
      </w:r>
    </w:p>
    <w:p>
      <w:pPr>
        <w:pStyle w:val="Normal"/>
      </w:pPr>
      <w:r>
        <w:t xml:space="preserve">The measurement of nanofluid properties demands care because the small enhancements involved are easily obscured by experimental artefacts. Thermal conductivity is most commonly measured by the transient hot-wire method, in which a thin wire immersed in the fluid is heated by a known power and its temperature rise, inferred from its resistance, is analysed to extract the conductivity; the method is fast, which limits the influence of natural convection and sedimentation, but it requires that the wire be electrically insulated when used with conducting fluids and that the measurement window be short enough to precede significant particle settling. Steady-state methods and the transient plane-source technique are also used. Viscosity is measured with rotational and capillary viscometers and, increasingly, with rheometers that resolve any shear-rate dependence, which is important because some nanofluids exhibit non-Newtonian behaviour at higher concentrations. Density is obtained by pycnometry and specific heat by differential scanning calorimetry [27]. The transient hot-wire method deserves particular scrutiny because it dominates the conductivity literature and because its very virtues can become vices in careless hands. Its short measurement window, typically a fraction of a second to a few seconds, is a deliberate defence against natural convection, which would otherwise inflate the apparent conductivity by superimposing an advective transport on the conductive transport the method is meant to isolate; the same brevity guards against the sedimentation that would change the sample during a longer measurement. Yet the analysis assumes an ideal line source in an infinite medium, and departures from that ideal, through the finite length and heat capacity of the wire, through the insulating coating required when the fluid conducts electricity, and through any residual convection at longer times, all bias the result, so that the reliability of a hot-wire measurement rests on the restriction of the analysis to the time interval over which the ideal model holds. When different laboratories analyse different time windows, or fail to suppress convection, or use samples in different states of aggregation, their results on nominally identical fluids can diverge by margins that dwarf the enhancement being sought, and this methodological variance is a leading contributor to the notorious scatter of the conductivity database [24].</w:t>
      </w:r>
    </w:p>
    <w:p>
      <w:pPr>
        <w:pStyle w:val="Normal"/>
      </w:pPr>
      <w:r>
        <w:t xml:space="preserve">The measurement of specific heat illustrates a subtler source of error, namely the propagation of an inconsistent mixing rule into the reduction of the raw data. Some investigators, having measured a heat-capacity signal, report a specific heat computed from a volume-weighted rule rather than the thermodynamically consistent mass-weighted rule, and because the two rules diverge increasingly at higher loadings, the reported values embed a systematic and avoidable error whose sign and magnitude depend on a choice of formula rather than on any physical difference. Similar inconsistencies attend the reporting of concentration, which may be quoted as a volume or a mass fraction without clear indication of which, and the conversion between them, requiring the densities of both phases, is a recurrent site of arithmetic error. These are not exotic difficulties but mundane ones, and their prevalence underscores a point that recurs throughout the book: the quality of a property database is limited at least as much by the discipline of measurement and reporting as by the subtlety of the underlying physics, and any model, mechanistic or data-driven, is ultimately hostage to the fidelity of the numbers it is given [27]. The scatter among reported property values for nominally identical nanofluids, which can reach tens of per cent, arises from differences in preparation, dispersion state, characterisation and measurement technique, and it is this scatter, as much as the complexity of the underlying physics, that has made accurate property prediction such a persistent challenge and has drawn researchers toward the machine-learning methods that later chapters describe.</w:t>
      </w:r>
    </w:p>
    <w:p>
      <w:pPr>
        <w:pStyle w:val="Heading2"/>
      </w:pPr>
      <w:r>
        <w:t xml:space="preserve">2.3 Stability, Agglomeration, and Factors Affecting Nanofluid Performance</w:t>
      </w:r>
    </w:p>
    <w:p>
      <w:pPr>
        <w:pStyle w:val="Normal"/>
      </w:pPr>
      <w:r>
        <w:t xml:space="preserve">The single most important practical determinant of whether a nanofluid can be used in a real heat exchanger is its colloidal stability, that is, its ability to remain a uniformly dispersed suspension over the time scales and under the conditions of service. An unstable nanofluid, in which the particles aggregate and settle, loses its property enhancement as the conducting phase migrates out of suspension, and the settled deposits can foul surfaces, block passages and abrade pumps and valves, negating the very benefits that motivated the use of the nanofluid in the first place. Stability is therefore not a secondary concern to be addressed after the thermophysical properties have been optimised but a primary constraint that shapes the choice of particle, base fluid, concentration and stabilisation strategy from the outset [28]. The distinction between the pristine, freshly prepared state in which most laboratory property measurements are made and the aged, partially aggregated state in which a fluid actually operates is one of the most consequential gaps between the research literature and engineering practice.</w:t>
      </w:r>
    </w:p>
    <w:p>
      <w:pPr>
        <w:pStyle w:val="Normal"/>
      </w:pPr>
      <w:r>
        <w:t xml:space="preserve">The time scales over which stability must be maintained differ sharply between the laboratory and the field, and this difference is a principal reason that promising laboratory results so often disappoint in service. A property measurement or a short heat-transfer test may be completed within minutes or hours of preparation, an interval over which even a marginally stable suspension retains most of its dispersion; a heat exchanger in continuous industrial service, by contrast, may be expected to operate for years, subjecting the fluid to thousands of thermal cycles, prolonged exposure to elevated temperature, repeated passage through pumps and valves, and the slow chemical evolution of surfaces and additives. Aggregation that is negligible over an afternoon may be decisive over a year, and a stabilisation strategy adequate for a test may prove inadequate for a service life, so that the demonstration of enhancement in the laboratory establishes only that a benefit is achievable in principle, not that it is durable in practice. The assessment of long-term stability under realistic thermal and hydraulic cycling is accordingly among the most important and least frequently reported aspects of nanofluid research, and its neglect is one of the reasons that the translation of nanofluids from laboratory to industry has been slower than the early enthusiasm anticipated [28].</w:t>
      </w:r>
    </w:p>
    <w:p>
      <w:pPr>
        <w:pStyle w:val="Normal"/>
      </w:pPr>
      <w:r>
        <w:t xml:space="preserve">The physics of colloidal stability is governed by the balance between the attractive and repulsive forces acting between suspended particles, a balance formalised in the Derjaguin–Landau–Verwey–Overbeek theory. The attractive force is the van der Waals interaction, which is always present and which drives particles together and, once they are in contact, holds them in aggregates. Opposing it are repulsive forces, of which two are commonly exploited. Electrostatic repulsion arises when the particle surfaces carry like electrical charges, surrounded by diffuse clouds of counter-ions in the liquid, and its strength is characterised by the zeta potential, the electrical potential at the plane of shear around a particle. Steric repulsion arises when adsorbed polymer or surfactant molecules on adjacent particles overlap and resist compression. A suspension is stable when the repulsive forces dominate at the relevant interparticle separations, so that the thermal energy of Brownian motion is insufficient to drive particles over the energy barrier into the primary attractive minimum where aggregation occurs [29].</w:t>
      </w:r>
    </w:p>
    <w:p>
      <w:pPr>
        <w:pStyle w:val="Normal"/>
      </w:pPr>
      <w:r>
        <w:t xml:space="preserve">The shape of the interaction-energy curve that the Derjaguin–Landau–Verwey–Overbeek theory predicts repays interpretation, because its features map directly onto the observed behaviour of real suspensions. As two particles approach from a distance, the summed potential first passes through a shallow secondary minimum, at which particles may associate loosely and reversibly into flocs that can be redispersed by mild agitation; nearer still it rises to a maximum, the energy barrier whose height, relative to the thermal energy available from Brownian collisions, governs the rate at which particles reach the deep primary minimum of irreversible aggregation. A high barrier renders the suspension kinetically stable even though the aggregated state is thermodynamically favoured, which is the ordinary condition of a well-formulated nanofluid: it is not that aggregation is impossible but that it is slow on the time scale of use. Raising the barrier, by increasing surface charge or thickening the adsorbed steric layer, therefore extends the useful life of the suspension without altering the fact that aggregation is the ultimate destination. This kinetic conception of stability, in which the practical question is the rate of aggregation rather than its thermodynamic possibility, is essential to understanding why stability is always a matter of degree and of time scale rather than an absolute property [29].</w:t>
      </w:r>
    </w:p>
    <w:p>
      <w:pPr>
        <w:pStyle w:val="Normal"/>
      </w:pPr>
      <w:r>
        <w:t xml:space="preserve">The theory also clarifies the dramatic sensitivity of aqueous suspensions to dissolved salts, a sensitivity of considerable practical importance because real coolant water is rarely pure. Dissolved ions compress the diffuse double layer that carries the electrostatic repulsion, shrinking its range so that the repulsive barrier falls; beyond a critical ionic concentration the barrier vanishes and rapid aggregation ensues. A nanofluid stabilised electrostatically in deionised water may therefore aggregate promptly when introduced into a system carrying the dissolved solids of ordinary industrial water, a failure mode that laboratory tests in pure water do not reveal. This vulnerability is one of the strongest practical arguments for steric or electrosteric stabilisation, which depends on the physical bulk of adsorbed molecules rather than on a charge cloud that salts can collapse, and it exemplifies the general lesson that a stabilisation strategy must be matched not merely to the particle and the base fluid but to the full chemistry of the service environment [30].</w:t>
      </w:r>
    </w:p>
    <w:p>
      <w:pPr>
        <w:pStyle w:val="Normal"/>
      </w:pPr>
      <w:r>
        <w:t xml:space="preserve">The zeta potential provides the most widely used quantitative index of electrostatic stability, and its dependence on pH is central to the control of aqueous nanofluids. At the isoelectric point, the pH at which the net surface charge and hence the zeta potential is zero, electrostatic repulsion vanishes and the suspension is least stable, aggregating and settling rapidly. As the pH is moved away from the isoelectric point in either direction, the magnitude of the zeta potential grows and stability improves; a common rule of thumb regards a magnitude in excess of roughly thirty millivolts as indicative of a moderately stable suspension. Figure 2.4 shows the characteristic dependence of zeta potential on pH, with the isoelectric point marking the minimum-stability condition and the stable regimes lying at more acidic and more alkaline pH. Adjusting the pH away from the isoelectric point is consequently one of the simplest and most effective stabilisation strategies for oxide nanofluids [30].</w:t>
      </w:r>
    </w:p>
    <w:p>
      <w:pPr>
        <w:pStyle w:val="Normal"/>
      </w:pPr>
      <w:r>
        <w:t xml:space="preserve">The zeta potential, for all its usefulness, must be interpreted with an awareness of its limitations, lest it be mistaken for a complete measure of stability. It quantifies only the electrostatic contribution and is silent about steric stabilisation, so that a sterically stabilised suspension may be robustly stable at a zeta potential near zero, contradicting the naive rule of thumb. It is measured on dilute samples and at a particular ionic strength and temperature, and its value may differ in the concentrated, salt-bearing, elevated-temperature conditions of service. And it characterises the individual particle rather than the population, giving no direct indication of the cluster-size distribution that ultimately determines both the property enhancement and the settling behaviour. A responsible stability assessment therefore combines the zeta potential with direct observation of the cluster size, by dynamic light scattering, and with the sedimentation and spectroscopic tests that follow the suspension over the relevant time scale, treating the zeta potential as one informative indicator among several rather than as a sufficient criterion in itself [31]. The adjustment of pH away from the isoelectric point, though simple and effective for laboratory oxide suspensions, also has practical limits, because a system may impose its own constraints on pH through corrosion considerations or the chemistry of other fluids it contacts, so that the freedom to tune pH for stability is often smaller in an engineered system than in a beaker.</w:t>
      </w:r>
    </w:p>
    <w:p>
      <w:pPr>
        <w:pStyle w:val="FigureImage"/>
      </w:pPr>
      <w:r>
        <w:drawing>
          <wp:inline xmlns:wp="http://schemas.openxmlformats.org/drawingml/2006/wordprocessingDrawing" distT="0" distB="0" distL="0" distR="0">
            <wp:extent cx="5486400" cy="3753852"/>
            <wp:docPr id="1006" name="Picture1006"/>
            <a:graphic xmlns:a="http://schemas.openxmlformats.org/drawingml/2006/main">
              <a:graphicData uri="http://schemas.openxmlformats.org/drawingml/2006/picture">
                <pic:pic xmlns:pic="http://schemas.openxmlformats.org/drawingml/2006/picture">
                  <pic:nvPicPr>
                    <pic:cNvPr id="1006" name="Picture1006"/>
                    <pic:cNvPicPr/>
                  </pic:nvPicPr>
                  <pic:blipFill>
                    <a:blip xmlns:r="http://schemas.openxmlformats.org/officeDocument/2006/relationships" r:embed="rId1006"/>
                    <a:stretch>
                      <a:fillRect/>
                    </a:stretch>
                  </pic:blipFill>
                  <pic:spPr>
                    <a:xfrm>
                      <a:off x="0" y="0"/>
                      <a:ext cx="5486400" cy="3753852"/>
                    </a:xfrm>
                    <a:prstGeom prst="rect">
                      <a:avLst/>
                    </a:prstGeom>
                  </pic:spPr>
                </pic:pic>
              </a:graphicData>
            </a:graphic>
          </wp:inline>
        </w:drawing>
      </w:r>
    </w:p>
    <w:p>
      <w:pPr>
        <w:pStyle w:val="FigureCaption"/>
      </w:pPr>
      <w:r>
        <w:t xml:space="preserve">Figure 2.4 Zeta potential as a function of pH, showing the isoelectric point and the electrostatically stable regimes.</w:t>
      </w:r>
    </w:p>
    <w:p>
      <w:pPr>
        <w:pStyle w:val="Normal"/>
      </w:pPr>
      <w:r>
        <w:t xml:space="preserve">Three broad strategies are employed to enhance and maintain stability, and they are frequently combined. The first is physical dispersion, in which mechanical energy is supplied to break up aggregates, most commonly through ultrasonication with a probe or bath; the intensity and duration of sonication influence the resulting particle-size distribution, with insufficient sonication leaving large aggregates and excessive sonication risking particle damage or re-aggregation once the energy input ceases. The second is the addition of surfactants, amphiphilic molecules that adsorb on the particle surfaces and provide steric or electrosteric repulsion; the choice of surfactant must match the surface chemistry of the particle and the polarity of the base fluid, and an excess of surfactant can generate foam, raise viscosity and even degrade thermal performance, so an optimum dosage exists. The third is surface functionalisation, in which the particle surface is chemically modified to render it more compatible with the base fluid, a route especially important for carbon nanomaterials whose native hydrophobicity otherwise prevents their dispersion in water [31]. Each strategy has costs as well as benefits, and the design of a stable nanofluid is an exercise in balancing dispersion quality against viscosity penalty, cost and the risk of interfering with the heat-transfer mechanism.</w:t>
      </w:r>
    </w:p>
    <w:p>
      <w:pPr>
        <w:pStyle w:val="Normal"/>
      </w:pPr>
      <w:r>
        <w:t xml:space="preserve">The use of surfactants illustrates with particular clarity the conflicting demands that stabilisation places on the designer. A surfactant that adsorbs strongly enough to confer durable steric repulsion also coats the particle in a layer of organic material whose own thermal conductivity is low, interposing an additional interfacial resistance between the conducting particle and the liquid and thereby diminishing, at the microscopic scale, the very enhancement the particle was added to provide. An excess of surfactant, beyond the amount needed to coat the particles, remains free in solution, where it raises the viscosity, may generate troublesome foam under the agitation of a pump, and can even reduce the surface tension in ways that alter boiling behaviour in two-phase systems. There exists, therefore, an optimum surfactant dosage that secures adequate stability with the least penalty to the thermal and hydraulic performance, and locating that optimum is a delicate exercise specific to each particle-fluid-surfactant combination. The thermal degradation of surfactants at elevated temperature adds a further constraint, because a surfactant that stabilises a fluid at room temperature may decompose in service, releasing its stabilising grip precisely when the fluid is hottest and aggregation most rapid, which is one reason that high-temperature nanofluids often rely on surface functionalisation, more robust than physisorbed surfactant, or on inherently stable particle chemistries [31].</w:t>
      </w:r>
    </w:p>
    <w:p>
      <w:pPr>
        <w:pStyle w:val="Normal"/>
      </w:pPr>
      <w:r>
        <w:t xml:space="preserve">It is worth drawing together the several factors into an integrated picture of how a stable, high-performing nanofluid is actually formulated, because the individual influences interact in ways that a factor-by-factor account can obscure. The designer begins by selecting a particle material for its conductivity, cost and chemical compatibility, and a base fluid for its temperature range and its ability to support the intended stabilisation mechanism; chooses a particle size small enough to resist settling and to engage the interfacial enhancement mechanisms yet not so small that aggregation becomes uncontrollable; selects a concentration high enough to secure a useful enhancement yet below the loading at which viscosity and aggregation penalties overwhelm the benefit; and then commits to a stabilisation strategy, or a combination of strategies, matched to the surface chemistry of the particle, the polarity and ionic strength of the fluid, and the temperature and duration of service. Each of these choices constrains the others, so that the formulation is not a sequence of independent optimisations but a single coupled problem, and the space of feasible formulations is a bounded and irregular region within a high-dimensional space of composition and process variables. The size and complexity of that space, together with the scatter of the data that populate it, is the recurring motivation for the data-driven methods that the book develops, and it is the concrete sense in which the physical understanding of this chapter defines the problem that those methods are designed to solve [32].</w:t>
      </w:r>
    </w:p>
    <w:p>
      <w:pPr>
        <w:pStyle w:val="Normal"/>
      </w:pPr>
      <w:r>
        <w:t xml:space="preserve">Beyond stability, a number of factors modulate the heat-transfer performance of a nanofluid, and understanding them is essential to interpreting the sometimes contradictory results of the experimental literature. Particle concentration is the most obvious: increasing it raises the conductivity and hence, in principle, the heat transfer, but it also raises the viscosity and the pumping penalty, and beyond a certain loading the viscosity rises so steeply, and the risk of aggregation grows so large, that the net benefit declines and may become negative. Particle size influences both the conductivity, through the surface-area-to-volume ratio and the nanolayer and Brownian-motion mechanisms, and the stability, since smaller particles resist sedimentation more effectively but aggregate more readily owing to their higher surface energy. Particle shape, as noted in connection with the Hamilton–Crosser model, affects conductivity through the shape factor, with high-aspect-ratio particles enhancing conductivity more than spheres at equal loading but also raising viscosity more steeply [32]. The influence of shape thus embodies in miniature the central trade-off of the entire subject, for the very geometric feature that lengthens the conductive pathways through the suspension also increases the hydrodynamic resistance the particle presents to the flow, so that the morphology which maximises conductivity is seldom the morphology which maximises net performance once the pumping penalty is weighed. Temperature affects every property and generally improves the relative performance of nanofluids because it intensifies Brownian motion and reduces viscosity, though it may also accelerate aggregation. The dual role of temperature is a good example of the coupling that pervades the subject: the same rise in temperature that lowers viscosity and thereby eases the pumping penalty also lowers the height of the electrostatic energy barrier, through its effect on the double layer, and increases the frequency of the Brownian collisions that carry particles over that barrier, so that the thermal condition most favourable to instantaneous performance may be least favourable to long-term stability. A design that exploits the improved relative performance of nanofluids at elevated temperature must therefore reckon with the accelerated aggregation that the same elevation promotes, and the resolution of this tension is one of the practical judgements that distinguish a durable formulation from a merely demonstrable one [33].</w:t>
      </w:r>
    </w:p>
    <w:p>
      <w:pPr>
        <w:pStyle w:val="Normal"/>
      </w:pPr>
      <w:r>
        <w:t xml:space="preserve">The interplay of these factors means that the optimisation of a nanofluid for a given duty is a genuinely multivariable problem in which conductivity, viscosity, stability, cost and compatibility must be traded against one another, and in which the optimum for one application may be far from the optimum for another. This complexity, combined with the scatter in the experimental database and the absence of a first-principles model that captures all the relevant mechanisms, is precisely the setting in which data-driven and machine-learning methods offer the greatest promise, because such methods can learn the joint influence of many variables directly from data without requiring a closed-form mechanistic theory [33]. At the same time, the physical understanding developed in this chapter remains indispensable, both for the selection of the input variables, or features, that a data-driven model should receive and for the critical evaluation of whether a model's predictions are physically reasonable. The chapters that follow build directly on this foundation, first by examining the convective heat-transfer behaviour that these properties produce and then by developing the computational and data-driven tools with which that behaviour can be predicted and optimised. A recurring theme, established here and reinforced throughout, is that the promise of nanofluids is real but conditional, realised only when property enhancement, colloidal stability and hydraulic penalty are managed together rather than pursued in isolation [34].</w:t>
      </w:r>
    </w:p>
    <w:p>
      <w:r>
        <w:br w:type="page"/>
      </w:r>
    </w:p>
    <w:p>
      <w:pPr>
        <w:pStyle w:val="Title"/>
      </w:pPr>
      <w:r>
        <w:t xml:space="preserve">Chapter 3. Heat Transfer Characteristics of Nanofluids</w:t>
      </w:r>
    </w:p>
    <w:p>
      <w:pPr>
        <w:pStyle w:val="Heading1"/>
      </w:pPr>
      <w:r>
        <w:t xml:space="preserve">Abstract</w:t>
      </w:r>
    </w:p>
    <w:p>
      <w:pPr>
        <w:pStyle w:val="Normal"/>
      </w:pPr>
      <w:r>
        <w:t xml:space="preserve">Having established the thermophysical properties of nanofluids in the previous chapter, the present chapter turns to the question that ultimately determines their engineering value, namely how those properties translate into convective heat-transfer performance in flowing systems. The convective behaviour of a nanofluid is not a simple consequence of its enhanced conductivity, because the same particles that raise the conductivity also alter the viscosity, the near-wall structure of the flow and, according to a considerable body of evidence, the effective boundary conditions at the wall, so that the observed enhancement in the heat transfer coefficient frequently exceeds what the conductivity increase alone would predict. This chapter examines convective heat transfer and flow behaviour in both the laminar and turbulent regimes, discusses the mechanisms that have been proposed to account for the anomalous enhancement, and analyses the influence of the principal design variables of particle concentration, size, shape and material. It then addresses the two quantities that jointly determine the practical worth of a nanofluid in a flowing system, the Nusselt number that measures the heat-transfer benefit and the pressure drop and friction factor that measure the hydraulic cost, and it introduces the thermal-hydraulic performance criteria that combine them into a single index of merit. Throughout, the emphasis falls on the trade-offs that decide whether a nanofluid represents a genuine improvement over its base fluid, and on the reasons that closed-form correlations struggle to represent nanofluid behaviour with the accuracy required for confident design, thereby preparing the ground for the computational and data-driven approaches of the chapters that follow.</w:t>
      </w:r>
    </w:p>
    <w:p>
      <w:pPr>
        <w:pStyle w:val="Heading2"/>
      </w:pPr>
      <w:r>
        <w:t xml:space="preserve">3.1 Convective Heat Transfer and Flow Behaviour</w:t>
      </w:r>
    </w:p>
    <w:p>
      <w:pPr>
        <w:pStyle w:val="Normal"/>
      </w:pPr>
      <w:r>
        <w:t xml:space="preserve">The transition from the equilibrium thermophysical properties of the preceding chapter to the convective behaviour of the present one is not a matter of simple substitution, and it is worth pausing at the outset to say why. The properties measured on a quiescent sample describe the fluid at rest or in uniform shear, whereas a fluid in a heat exchanger flows through a temperature field and a shear field that vary across the channel and along its length, so that the local properties vary from point to point and the particle population itself may redistribute in response to the gradients. The convective performance is an integral over this varying field, weighted by the local transport, and it therefore depends not only on the properties but on how those properties are arranged by the flow, which is a question the equilibrium measurements cannot answer. This is the deep reason that convective enhancement is not simply read off from property enhancement, and it frames the mechanistic discussion that follows, in which the arrangement of particles by the flow, through migration and micro-convection, emerges as decisive [35].</w:t>
      </w:r>
    </w:p>
    <w:p>
      <w:pPr>
        <w:pStyle w:val="Normal"/>
      </w:pPr>
      <w:r>
        <w:t xml:space="preserve">The convective heat transfer of a nanofluid flowing through a channel is characterised, as for any fluid, by the heat transfer coefficient and its dimensionless form the Nusselt number, but the interpretation of these quantities for a nanofluid is complicated by the fact that the reference conductivity used to form the Nusselt number is itself altered by the particles. It is therefore essential, when comparing a nanofluid with its base fluid, to distinguish clearly between an enhancement in the heat transfer coefficient, which is what matters for the size and performance of a heat exchanger, and an enhancement in the Nusselt number, which is a dimensionless construct that may behave differently because its defining conductivity has changed. A nanofluid can exhibit a higher heat transfer coefficient than its base fluid even when its Nusselt number, referred to its own elevated conductivity, is lower, and confusion between these two measures has been a source of apparent contradiction in the literature [35]. Clarity on this point is a prerequisite for any meaningful assessment of convective performance.</w:t>
      </w:r>
    </w:p>
    <w:p>
      <w:pPr>
        <w:pStyle w:val="Normal"/>
      </w:pPr>
      <w:r>
        <w:t xml:space="preserve">The distinction may be sharpened by recalling the definitions and following the consequences through carefully. The heat transfer coefficient is the ratio of the local wall heat flux to the temperature difference between the wall and the bulk fluid, and it is the quantity that a heat-exchanger designer actually needs, because for a given wall temperature and duty it determines the surface area required. The Nusselt number is formed by multiplying this coefficient by a characteristic length and dividing by the fluid conductivity, and it is a dimensionless measure of the ratio of convective to purely conductive transport across the same length. When the fluid conductivity in the denominator is that of the nanofluid, which exceeds that of the base fluid, a given increase in the coefficient produces a smaller increase in the Nusselt number than the same coefficient increase would produce for the base fluid; in the limiting case where the coefficient rises in exact proportion to the conductivity, the Nusselt number does not rise at all. A report that a nanofluid's Nusselt number is unchanged or even reduced is therefore entirely compatible with a genuine and useful increase in its heat transfer coefficient, and the two statements describe the same physical situation viewed through different normalisations. The careful reader must always ascertain which conductivity has been used to form a reported Nusselt number, and whether comparisons between fluids have been made on a consistent basis, before drawing any conclusion about relative performance [35].</w:t>
      </w:r>
    </w:p>
    <w:p>
      <w:pPr>
        <w:pStyle w:val="Normal"/>
      </w:pPr>
      <w:r>
        <w:t xml:space="preserve">A related and equally important subtlety concerns the basis on which two fluids are compared, an issue that recurs in more quantitative form in the treatment of performance criteria later in the chapter. Two fluids may be compared at equal flow velocity, at equal mass flow rate, at equal Reynolds number, or at equal pumping power, and because the addition of particles changes the density and viscosity, these bases are no longer equivalent as they would be for a single fluid. A comparison at equal Reynolds number, for instance, requires a higher velocity for the more viscous nanofluid, which of itself raises the heat transfer, so that part of any apparent enhancement is an artefact of the comparison basis rather than a property of the fluid. The only basis that reflects the true operating economics is equal pumping power, because that is the resource actually consumed, and enhancements reported on other bases must be regarded with corresponding caution. This is not a pedantic distinction but one that can reverse the sign of the conclusion, and much of the apparent disagreement in the early literature dissolves once the comparison bases of the conflicting studies are made explicit [36].</w:t>
      </w:r>
    </w:p>
    <w:p>
      <w:pPr>
        <w:pStyle w:val="Normal"/>
      </w:pPr>
      <w:r>
        <w:t xml:space="preserve">In the laminar regime, which prevails at low Reynolds numbers in small channels and viscous fluids, the classical theory predicts a constant Nusselt number in fully developed flow, independent of the Reynolds number and determined only by the channel geometry and the thermal boundary condition. Experiments with nanofluids in laminar flow, however, frequently report Nusselt numbers that increase with particle loading and that depend on the Reynolds number in ways the classical theory forbids for a homogeneous fluid, a finding that points to mechanisms specific to the particulate nature of the suspension. Among these mechanisms are the migration of particles across the channel under the combined action of shear, viscosity gradients and Brownian diffusion, which flattens the velocity profile and thins the thermal boundary layer near the wall, and the micro-convection induced by the Brownian motion of the particles, which enhances the effective transport of energy in the near-wall region [36]. The relative importance of these effects is greatest in the developing region near the channel entrance, where the boundary layers are thin and the particle-induced disturbances are most influential, and many studies report that the enhancement is largest in this entrance region and diminishes toward the fully developed condition.</w:t>
      </w:r>
    </w:p>
    <w:p>
      <w:pPr>
        <w:pStyle w:val="Normal"/>
      </w:pPr>
      <w:r>
        <w:t xml:space="preserve">The particle-migration mechanism repays a fuller description because it is among the most physically distinctive features of nanofluid convection and because it accounts for behaviour that a homogeneous model cannot. In a pressure-driven flow through a channel the shear rate is greatest at the wall and vanishes at the centre, and several effects drive particles down this shear gradient toward the region of lower shear at the core: shear-induced migration, arising from the greater frequency of particle interactions on the high-shear side of a particle, and migration down the gradient of viscosity, which is itself a function of the local particle concentration. The result is a concentration profile that is depleted near the wall and enriched at the core, and this redistribution has two consequences for heat transfer. First, the near-wall depletion lowers the local viscosity there, which flattens the velocity profile and steepens the temperature gradient at the wall, raising the heat transfer coefficient. Second, the non-uniform concentration makes the effective conductivity itself non-uniform across the section, further complicating the relation between the bulk properties and the wall transport. Because these migration effects develop over a finite flow length and are strongest where the boundary layers are still thin, they explain both the pronounced entrance-region enhancement and its decay toward the fully developed state, and they are among the mechanisms that a genuinely two-phase computational treatment can capture but a single-phase correlation cannot [36].</w:t>
      </w:r>
    </w:p>
    <w:p>
      <w:pPr>
        <w:pStyle w:val="Normal"/>
      </w:pPr>
      <w:r>
        <w:t xml:space="preserve">The Brownian micro-convection mechanism, the second distinctive contributor in laminar flow, operates at a far smaller scale but in the same direction. Each nanoparticle, agitated by the random impacts of the surrounding liquid molecules, executes a ceaseless irregular motion, and this motion carries with it a small parcel of liquid, generating a fluctuating micro-scale velocity field superimposed on the mean flow. In the near-wall region, where the mean-flow transport of heat is weakest, this additional agitation can appreciably augment the effective transport, and because the intensity of Brownian motion increases with temperature and with decreasing particle size, the mechanism predicts an enhancement that grows under precisely those conditions, a prediction broadly borne out by experiment. The micro-convective contribution is difficult to quantify from first principles and is easily conflated with the migration effect, since both intensify near-wall transport, but the two are physically distinct, the one a systematic drift of the particle population and the other a stochastic agitation of individual particles, and a complete account of laminar enhancement must accommodate both [37].</w:t>
      </w:r>
    </w:p>
    <w:p>
      <w:pPr>
        <w:pStyle w:val="Normal"/>
      </w:pPr>
      <w:r>
        <w:t xml:space="preserve">The near-wall region deserves special attention in the laminar analysis because it is there that the resistance to heat transfer is concentrated and there that the particle-induced modifications have their greatest leverage. In laminar duct flow the heat must cross a thermal boundary layer whose thickness grows along the channel, and the coefficient is inversely related to that thickness; any mechanism that thins the boundary layer, or that augments transport within it, raises the coefficient. The depletion of particles near the wall, produced by migration, lowers the local viscosity and thereby steepens the near-wall velocity gradient, which thins the thermal boundary layer and raises the coefficient; the micro-convection of the remaining near-wall particles augments transport within the layer directly. That both mechanisms act where they are most effective, in the resistance-controlling near-wall region, explains why laminar nanofluid enhancements can exceed the modest conductivity increase by a considerable margin, and why the laminar regime, despite its lower absolute coefficients, is often where nanofluids show their most striking proportional benefit. This observation has practical weight because many of the applications for which nanofluids are most seriously considered, the cooling of compact electronic and photonic devices among them, operate in the laminar regime, so that the regime in which nanofluids perform best is also a regime of considerable technological importance [36].</w:t>
      </w:r>
    </w:p>
    <w:p>
      <w:pPr>
        <w:pStyle w:val="Normal"/>
      </w:pPr>
      <w:r>
        <w:t xml:space="preserve">In the turbulent regime, which prevails at the higher Reynolds numbers typical of industrial heat exchangers, the base-fluid heat transfer is already vigorous and the additional enhancement offered by nanoparticles is proportionally smaller, though still often significant. The classical turbulent correlations express the Nusselt number as a product of powers of the Reynolds and Prandtl numbers, and because the addition of nanoparticles raises the Prandtl number, through the combined effect of increased conductivity and increased viscosity, these correlations predict some enhancement even for a homogeneous fluid of the nanofluid's bulk properties. Whether the measured enhancement exceeds this homogeneous-fluid prediction, thereby indicating a genuinely anomalous mechanism, is a question on which the literature is divided, with some careful studies finding that the single-phase homogeneous model, using accurately measured nanofluid properties, accounts for the observed behaviour, and others reporting enhancements beyond it [37]. This division in the literature is not merely a matter of experimental disagreement but reflects a genuine ambiguity in what constitutes the fair baseline. If the nanofluid's own measured properties are used to evaluate the homogeneous-fluid correlation, and the observed heat transfer matches that prediction, then the enhancement over the base fluid is real but is fully explained by the altered bulk properties, with no need to invoke any mechanism peculiar to the particulate nature of the suspension; the nanofluid behaves, for engineering purposes, as a new homogeneous fluid with better properties. If, on the other hand, the observed heat transfer exceeds the homogeneous prediction based on measured properties, then some additional mechanism, migration, micro-convection or a modified boundary condition, must be operative. The resolution of this question in any particular case depends critically on the accuracy of the property measurements that feed the homogeneous prediction, and given the scatter in those measurements discussed in the previous chapter, it is unsurprising that studies reach differing conclusions. The pragmatic view, adequate for much design work, is that a nanofluid may be treated as a homogeneous fluid of its measured bulk properties in the turbulent regime, with any residual anomaly folded into the uncertainty, while the more searching two-phase description is reserved for the laminar and entrance regions where the particulate mechanisms are most pronounced [37]. Figure 3.1 shows the characteristic increase of the Nusselt number with Reynolds number and with particle concentration, illustrating both the strong dependence on flow rate and the additional lift conferred by the particles. The steep rise of the Nusselt number with Reynolds number, common to the base fluid and the nanofluids, reflects the fundamental strengthening of convective transport with flow rate and dwarfs, in absolute terms, the vertical separation between the curves that represents the nanoparticle contribution; this visual proportion is itself instructive, for it reminds the designer that the flow rate is a far more powerful lever on heat transfer than the nanoparticle loading, and that a nanofluid earns its place only where the flow rate cannot be increased freely, whether because of a pumping-power ceiling, a pressure-drop limit or an erosion constraint. Where the flow rate can be raised at acceptable cost, raising it is usually the more effective route to greater heat transfer; where it cannot, the nanofluid offers a means of augmenting transport without further increasing the flow, and it is in that constrained setting that its value is properly judged [37]. Recognising this hierarchy of levers, with flow rate dominant and loading secondary, guards against the error of pursuing ever higher concentrations when a simpler adjustment of the operating point would achieve more at less cost, and it keeps the role of the nanofluid in its proper and modest proportion.</w:t>
      </w:r>
    </w:p>
    <w:p>
      <w:pPr>
        <w:pStyle w:val="FigureImage"/>
      </w:pPr>
      <w:r>
        <w:drawing>
          <wp:inline xmlns:wp="http://schemas.openxmlformats.org/drawingml/2006/wordprocessingDrawing" distT="0" distB="0" distL="0" distR="0">
            <wp:extent cx="5486400" cy="3753852"/>
            <wp:docPr id="1007" name="Picture1007"/>
            <a:graphic xmlns:a="http://schemas.openxmlformats.org/drawingml/2006/main">
              <a:graphicData uri="http://schemas.openxmlformats.org/drawingml/2006/picture">
                <pic:pic xmlns:pic="http://schemas.openxmlformats.org/drawingml/2006/picture">
                  <pic:nvPicPr>
                    <pic:cNvPr id="1007" name="Picture1007"/>
                    <pic:cNvPicPr/>
                  </pic:nvPicPr>
                  <pic:blipFill>
                    <a:blip xmlns:r="http://schemas.openxmlformats.org/officeDocument/2006/relationships" r:embed="rId1007"/>
                    <a:stretch>
                      <a:fillRect/>
                    </a:stretch>
                  </pic:blipFill>
                  <pic:spPr>
                    <a:xfrm>
                      <a:off x="0" y="0"/>
                      <a:ext cx="5486400" cy="3753852"/>
                    </a:xfrm>
                    <a:prstGeom prst="rect">
                      <a:avLst/>
                    </a:prstGeom>
                  </pic:spPr>
                </pic:pic>
              </a:graphicData>
            </a:graphic>
          </wp:inline>
        </w:drawing>
      </w:r>
    </w:p>
    <w:p>
      <w:pPr>
        <w:pStyle w:val="FigureCaption"/>
      </w:pPr>
      <w:r>
        <w:t xml:space="preserve">Figure 3.1 Nusselt number as a function of Reynolds number for the base fluid and for nanofluids at several volume concentrations.</w:t>
      </w:r>
    </w:p>
    <w:p>
      <w:pPr>
        <w:pStyle w:val="Normal"/>
      </w:pPr>
      <w:r>
        <w:t xml:space="preserve">The flow behaviour of a nanofluid can itself depart from that of a simple Newtonian liquid, particularly at higher concentrations and for high-aspect-ratio particles. Some nanofluids exhibit shear-thinning behaviour, in which the apparent viscosity decreases with increasing shear rate as aggregates are broken up by the flow, while others show a yield stress below which they do not flow, and still others behave as Newtonian fluids over the range of shear rates of practical interest. This rheological complexity affects both the velocity profile and the friction factor, and it means that the Reynolds number, which for a non-Newtonian fluid must be defined with care using an appropriate apparent viscosity, may not by itself organise the data as cleanly as it does for Newtonian fluids [38]. The transition from laminar to turbulent flow may also be shifted by the presence of particles, with some evidence that nanoparticles can delay or advance transition depending on their concentration and the flow geometry. Such a shift, though easily overlooked, can have outsized consequences for design, because the heat transfer and the pressure drop both change character abruptly at transition, and a nanofluid that moves the transition Reynolds number relative to the base fluid can place a fixed operating point on a different side of the transition for the two fluids, so that a comparison at fixed Reynolds number may inadvertently compare laminar behaviour in one fluid with turbulent behaviour in the other. The mechanisms by which particles influence transition are not fully settled and appear to involve both the damping of disturbances by the increased effective viscosity, which would delay transition, and the introduction of finite-amplitude disturbances by the particles themselves, which would advance it, with the balance depending on concentration and geometry. These departures from ideal behaviour are among the reasons that correlations developed for the base fluid, or for nanofluids under one set of conditions, transfer poorly to other conditions, and they reinforce the case for models that can accommodate the full complexity of the observed behaviour. The interdependence of rheology, flow regime and heat transfer that this discussion has uncovered means that the several aspects of nanofluid convection cannot be understood in isolation from one another: the rheology determines the velocity profile, which determines the shear field, which drives the particle migration, which alters the local concentration, which feeds back on both the rheology and the local conductivity, closing a loop of mutual influence that no analysis treating the aspects separately can capture. It is the existence of such feedback loops, as much as the number of variables, that places the behaviour beyond the reach of simple correlation and that rewards the coupled treatment which computation alone can furnish.</w:t>
      </w:r>
    </w:p>
    <w:p>
      <w:pPr>
        <w:pStyle w:val="Normal"/>
      </w:pPr>
      <w:r>
        <w:t xml:space="preserve">The rheological complexity deserves elaboration because it bears directly on the reliability of any dimensionless treatment of nanofluid flow. For a Newtonian fluid the viscosity is a single number independent of the rate at which the fluid is sheared, and the Reynolds number that organises the flow behaviour is unambiguous. A shear-thinning nanofluid, by contrast, presents a lower apparent viscosity where the shear rate is high, near the wall, and a higher apparent viscosity where the shear rate is low, at the core, so that no single viscosity characterises the flow and the Reynolds number must be defined with reference to some representative apparent viscosity whose choice is to a degree arbitrary. The shear-thinning behaviour itself arises from the flow-induced breakup of the loose aggregates that form at rest, and it therefore couples the rheology to the state of dispersion, which in turn depends on concentration, temperature and the history of the sample. A yield stress, where present, means that the fluid does not flow at all until a threshold stress is exceeded, producing an unsheared plug at the core of the channel that alters the velocity profile fundamentally. These non-Newtonian features are most pronounced at high loadings and for high-aspect-ratio particles, precisely the conditions under which the largest conductivity enhancements are sought, so that the pursuit of maximum enhancement tends to carry the fluid into the rheological regime where its behaviour is least amenable to simple correlation [38]. The practical lesson is that the concentration range over which a nanofluid remains comfortably Newtonian is also the range over which its convective behaviour can be predicted with the greatest confidence, and that ventures beyond it, though sometimes rewarded with larger enhancements, demand the more sophisticated treatment that computational and data-driven methods provide.</w:t>
      </w:r>
    </w:p>
    <w:p>
      <w:pPr>
        <w:pStyle w:val="Heading2"/>
      </w:pPr>
      <w:r>
        <w:t xml:space="preserve">3.2 Effects of Particle Concentration, Size, Shape, and Material</w:t>
      </w:r>
    </w:p>
    <w:p>
      <w:pPr>
        <w:pStyle w:val="Normal"/>
      </w:pPr>
      <w:r>
        <w:t xml:space="preserve">Having established the general character of convective enhancement and the mechanisms that underlie it, the discussion now turns to the design variables through which that enhancement is controlled, for it is in the choice of concentration, size, shape and material that the physics of the preceding section becomes a matter of engineering decision. These variables do not act independently, and one of the recurring lessons of what follows is that a change made to improve one aspect of performance almost invariably affects others, so that the variables are best conceived as the axes of a coupled design space rather than as separate dials to be turned in isolation. The account proceeds from the variable of greatest practical leverage, the concentration, through size and shape to material and thence to the hybrid combinations that open the space further still.</w:t>
      </w:r>
    </w:p>
    <w:p>
      <w:pPr>
        <w:pStyle w:val="Normal"/>
      </w:pPr>
      <w:r>
        <w:t xml:space="preserve">The volume concentration of nanoparticles is the design variable that most strongly influences convective performance, and its effect is characteristically non-monotonic when the full thermal-hydraulic balance is considered. Increasing the concentration raises the effective conductivity and, through the mechanisms discussed above, tends to raise the heat transfer coefficient, so that from the standpoint of heat transfer alone a higher loading is beneficial. But increasing the concentration also raises the viscosity, and hence the pressure drop and pumping power, more steeply than it raises the conductivity, so that beyond a certain loading the incremental pumping cost outweighs the incremental heat-transfer benefit. The existence of an optimum concentration, at which the net thermal-hydraulic benefit is greatest, is one of the most robust conclusions of the nanofluid heat-transfer literature, although the value of the optimum depends strongly on the flow regime, the geometry and the particular pairing of particle and base fluid [39]. This optimum is rarely at the highest loading that can be stably suspended, and designs that simply maximise concentration in pursuit of maximum conductivity frequently perform worse, once pumping is accounted for, than designs at more modest loadings.</w:t>
      </w:r>
    </w:p>
    <w:p>
      <w:pPr>
        <w:pStyle w:val="Normal"/>
      </w:pPr>
      <w:r>
        <w:t xml:space="preserve">The physical origin of the non-monotonic optimum lies in the different scaling of the two competing effects with concentration. Over the dilute range the conductivity rises approximately linearly with volume fraction, so that the heat-transfer benefit accrues at a roughly constant rate as loading increases. The viscosity, by contrast, rises faster than linearly, with the higher-order terms of the extended suspension theories, and still more steeply once aggregation sets in, so that the hydraulic penalty accelerates as loading increases. The consequence is that the ratio of benefit to penalty, favourable at low loading where the linear conductivity gain dominates the small viscosity increase, deteriorates as loading rises and the accelerating viscosity overtakes it, passing through unity at the optimum and falling below it thereafter. The location of the optimum is not universal but depends on how steeply the viscosity rises for the particular system, which is governed in turn by particle shape, size and the propensity to aggregate, so that a system that remains well dispersed and nearly Newtonian sustains a higher optimum concentration than one that aggregates readily. This is the quantitative content of the qualitative observation that the best loading is modest: it is the loading at which the accelerating viscosity penalty first overtakes the steady conductivity benefit, and it is generally reached well before the stability limit [39].</w:t>
      </w:r>
    </w:p>
    <w:p>
      <w:pPr>
        <w:pStyle w:val="Normal"/>
      </w:pPr>
      <w:r>
        <w:t xml:space="preserve">It is instructive to note how the optimum concentration shifts with the flow regime, because this dependence has direct design consequences. In laminar flow the heat transfer is comparatively weak and any enhancement of it is proportionally valuable, while the pressure drop, though sensitive to viscosity, is modest in absolute terms; the balance therefore tolerates, and may reward, somewhat higher loadings. In turbulent flow the base-fluid heat transfer is already vigorous, so the proportional benefit of enhancement is smaller, while the pressure drop and hence the pumping penalty are large and grow rapidly with viscosity; the balance therefore favours lower loadings, and the window within which a nanofluid confers a net benefit is correspondingly narrower. The optimum loading is, in this sense, not a property of the fluid alone but a joint property of the fluid and the regime in which it is asked to work, and it must, without exception, be re-established afresh whenever either of them changes. This regime dependence means that a nanofluid formulation optimised for a laminar application, such as a compact electronics cooler operating at low Reynolds number, may be quite unsuitable for a turbulent application, such as a large industrial exchanger, and that the transferability of a formulation between duties cannot be assumed. It is one of several respects in which the optimisation of a nanofluid is inseparable from the specification of the system in which it will operate [40].</w:t>
      </w:r>
    </w:p>
    <w:p>
      <w:pPr>
        <w:pStyle w:val="Normal"/>
      </w:pPr>
      <w:r>
        <w:t xml:space="preserve">Particle size affects convective performance through several competing routes. Smaller particles present a larger total surface area per unit volume, which strengthens the interfacial and near-surface mechanisms of conductivity enhancement and intensifies the Brownian micro-convection that contributes to convective enhancement, so that on these grounds smaller particles are favourable. Smaller particles also resist sedimentation more effectively, improving stability. Working against these benefits is the greater tendency of very small particles to aggregate, driven by their high surface energy, which can produce large effective clusters that behave hydrodynamically like larger particles and that may settle or foul surfaces. The net effect of particle size on heat transfer is therefore the resultant of these opposing influences and is not always monotonic, a complexity that the experimental data reflect and that simple correlations struggle to capture [40]. The competing influences of particle size can be made concrete by tracing them through a single change. Halving the particle diameter at fixed volume fraction multiplies the number of particles eightfold and the total interfacial area between solid and liquid roughly twofold, strengthening every mechanism that depends on interfacial contact, the nanolayer, the interfacial thermal resistance averaged over more interfaces, and the Brownian agitation, whose intensity rises as the particle shrinks. On the favourable side this argues strongly for the smallest particles obtainable. On the unfavourable side, the same eightfold increase in particle number and the same rise in specific surface area increase the frequency of interparticle collisions and the total surface energy driving aggregation, so that the smaller particles, unless vigilantly stabilised, form clusters that behave hydrodynamically as larger entities and that may negate the very advantages their smallness was meant to secure. The observed dependence of heat transfer on particle size is therefore the net resultant of a monotonic microscopic benefit and a monotonic colloidal penalty, and because the two can balance differently in different systems the net dependence is sometimes increasing, sometimes decreasing and sometimes non-monotonic, a pattern that defies representation by any single simple relation and that exemplifies the difficulties catalogued at the close of this chapter. Particle material enters through its intrinsic conductivity, its density, its specific heat and its surface chemistry, with high-conductivity metals and carbon materials offering the largest potential enhancement, oxides offering a favourable balance of enhancement, stability and cost, and the choice among them being governed as much by stability and economics as by conductivity. The dominance of the oxides in the applied convective literature, mirroring their dominance in the property studies of the previous chapter, is thus not an accident of fashion but a reflection of the fact that convective performance in service depends on a fluid remaining stable, affordable and compatible over its life, criteria on which the oxides excel and on which the more conductive metals and carbons, for all their thermal promise, frequently fall short. A high intrinsic conductivity that cannot be sustained in a stable, affordable suspension is of no use to a heat exchanger, and the material rankings that emerge from convective testing under realistic conditions consequently look very different from the rankings of bulk conductivity alone, with the moderate but dependable oxides often outperforming, in net terms, the spectacular but troublesome carbons and metals.</w:t>
      </w:r>
    </w:p>
    <w:p>
      <w:pPr>
        <w:pStyle w:val="Normal"/>
      </w:pPr>
      <w:r>
        <w:t xml:space="preserve">The influence of particle material extends beyond the intrinsic conductivity to the density and specific heat, which affect convection through less obvious but real channels. A dense particle material, such as a noble metal, raises the density of the suspension and therefore, at a given volume flow, the mass flow and the momentum, which can modestly assist heat transfer but also increases the parasitic mass the pump must accelerate and the propensity of the particles to settle or to lag the fluid in accelerating flow. A particle material of low specific heat lowers the volumetric heat capacity of the suspension, diminishing the thermal energy that a given volume can carry for a given temperature rise, which works against the enhancement in coefficient and must be weighed in the balance. Surface chemistry, finally, governs not only stability but the interfacial thermal resistance between particle and liquid, the so-called Kapitza resistance, which impedes the flow of heat across the particle-liquid boundary and which can substantially blunt the enhancement expected from a high-conductivity particle if the interface is poorly matched. The selection of material is thus a genuinely multi-attribute decision in which conductivity, though the most conspicuous attribute, is far from the only one that matters, and in which the interfacial and secondary thermal properties can determine whether the promise of a high bulk conductivity is realised in practice [41].</w:t>
      </w:r>
    </w:p>
    <w:p>
      <w:pPr>
        <w:pStyle w:val="Normal"/>
      </w:pPr>
      <w:r>
        <w:t xml:space="preserve">Particle shape exerts a strong and well-documented influence, captured qualitatively by the shape factor of the Hamilton–Crosser conductivity model and manifest in convective experiments as a systematic advantage of elongated and platelet morphologies over spheres at equal loading. Figure 3.2 summarises the relative heat-transfer enhancement observed for several representative particle morphologies, showing that cylindrical, blade-like and platelet particles outperform spheres, a result usually attributed to their higher aspect ratio, which increases both the conductive pathways through the suspension and the disturbance they impart to the flow. The figure should be read, however, with the same caution that attends every enhancement reported at fixed volume concentration rather than at fixed pumping power, for the elongated morphologies that lead in heat transfer also lead in viscosity, and a ranking that would look decisive on a heat-transfer axis alone becomes far more equivocal once the hydraulic cost of each morphology is set against its thermal benefit. The platelet and cylindrical particles that head the heat-transfer ranking may therefore not head the net-performance ranking, and the ordering of morphologies by merit can differ according to whether the merit is defined by heat transfer alone or by the thermal-hydraulic balance, a distinction that the single-axis presentation of the figure necessarily suppresses and that the designer must supply from the fuller analysis developed later in the chapter. The advantage of high-aspect-ratio particles is, however, accompanied by a steeper rise in viscosity, so that the shape that maximises heat transfer is not necessarily the shape that maximises the net thermal-hydraulic benefit, and the selection of morphology, like the selection of concentration, is a trade-off rather than a simple maximisation [41]. The mechanism by which elongated particles enhance conductivity more effectively than spheres is worth stating plainly: a high-aspect-ratio particle spans a greater distance across the insulating liquid for a given volume of solid, so that a smaller number of such particles suffices to form a percolating network of touching or nearly touching particles through which heat can flow with little interruption by the resistive liquid. The same geometric spanning that builds conductive networks at low loading, however, causes the particles to interfere with one another's rotation and translation in the flow at low loadings too, which is why the viscosity of a suspension of rods or platelets rises more steeply with concentration than that of a suspension of spheres. The morphology therefore shifts both the conductivity and the viscosity curves in the same direction, and the net effect on performance depends on which shifts more in the particular regime of interest, a question that cannot be settled by geometry alone and that generally requires experiment or computation to resolve.</w:t>
      </w:r>
    </w:p>
    <w:p>
      <w:pPr>
        <w:pStyle w:val="FigureImage"/>
      </w:pPr>
      <w:r>
        <w:drawing>
          <wp:inline xmlns:wp="http://schemas.openxmlformats.org/drawingml/2006/wordprocessingDrawing" distT="0" distB="0" distL="0" distR="0">
            <wp:extent cx="5486400" cy="3753852"/>
            <wp:docPr id="1008" name="Picture1008"/>
            <a:graphic xmlns:a="http://schemas.openxmlformats.org/drawingml/2006/main">
              <a:graphicData uri="http://schemas.openxmlformats.org/drawingml/2006/picture">
                <pic:pic xmlns:pic="http://schemas.openxmlformats.org/drawingml/2006/picture">
                  <pic:nvPicPr>
                    <pic:cNvPr id="1008" name="Picture1008"/>
                    <pic:cNvPicPr/>
                  </pic:nvPicPr>
                  <pic:blipFill>
                    <a:blip xmlns:r="http://schemas.openxmlformats.org/officeDocument/2006/relationships" r:embed="rId1008"/>
                    <a:stretch>
                      <a:fillRect/>
                    </a:stretch>
                  </pic:blipFill>
                  <pic:spPr>
                    <a:xfrm>
                      <a:off x="0" y="0"/>
                      <a:ext cx="5486400" cy="3753852"/>
                    </a:xfrm>
                    <a:prstGeom prst="rect">
                      <a:avLst/>
                    </a:prstGeom>
                  </pic:spPr>
                </pic:pic>
              </a:graphicData>
            </a:graphic>
          </wp:inline>
        </w:drawing>
      </w:r>
    </w:p>
    <w:p>
      <w:pPr>
        <w:pStyle w:val="FigureCaption"/>
      </w:pPr>
      <w:r>
        <w:t xml:space="preserve">Figure 3.2 Relative heat-transfer enhancement for several nanoparticle morphologies at fixed volume concentration.</w:t>
      </w:r>
    </w:p>
    <w:p>
      <w:pPr>
        <w:pStyle w:val="Normal"/>
      </w:pPr>
      <w:r>
        <w:t xml:space="preserve">The single-component nanofluids considered so far already present a design space of considerable dimension, spanning concentration, size, shape and material, but that space is enlarged dramatically once the constraint of a single particle species is relaxed. Hybrid nanofluids, which combine two or more particle species, offer an additional degree of freedom through which these competing effects can be balanced. By pairing a high-conductivity but expensive or unstable component with a cheaper or more stable one, or by combining particles of different shapes, the designer can seek a composition whose net performance exceeds that of either single-component nanofluid, and a growing body of work reports synergistic effects in which the hybrid outperforms the linear combination of its constituents. The mechanisms of such synergy are not fully understood and may involve favourable packing, mutual stabilisation or complementary contributions to the several conductivity-enhancement mechanisms, and the multidimensional composition space of hybrid nanofluids, spanning the identities, proportions, sizes and shapes of two or more components, is far too large to explore exhaustively by experiment [42]. This combinatorial explosion is one of the clearest illustrations of why data-driven surrogate models, which can interpolate across a high-dimensional composition space from a limited set of measurements, have become attractive tools in nanofluid research.</w:t>
      </w:r>
    </w:p>
    <w:p>
      <w:pPr>
        <w:pStyle w:val="Normal"/>
      </w:pPr>
      <w:r>
        <w:t xml:space="preserve">The reported synergy of hybrid nanofluids, where it is genuine, admits several physical interpretations that are not mutually exclusive. One class of explanation is geometric: particles of different sizes or shapes may pack together more effectively to form conductive networks than particles of a single kind, so that a small addition of a spanning high-aspect-ratio component bridges the gaps between larger, cheaper spherical particles and completes percolation paths that neither component would form alone. A second class is colloidal: one component may adsorb on or otherwise stabilise the other, arresting the aggregation that would degrade a single-component suspension, so that the hybrid remains better dispersed and retains its enhancement longer. A third class concerns the several conductivity mechanisms themselves, with different components engaging the interfacial, Brownian and percolation contributions to differing degrees, so that a mixture accesses a more favourable combination than either constituent. Against these possibilities of positive synergy must be set the real risk of antagonism, in which two components destabilise one another or interfere with one another's conductive contribution, producing a hybrid inferior to its better constituent. The literature reports both outcomes, and the difficulty of predicting which will occur for an untried combination, from the properties of the constituents alone, is exactly the kind of high-dimensional interpolation problem at which data-driven methods excel and at which mechanistic reasoning, unaided, struggles [42]. Table 3.1 collects representative Nusselt-number correlations that have been proposed for nanofluid flows, illustrating the diversity of functional forms and the consequent difficulty of selecting a single reliable expression. The very multiplicity of the correlations gathered there is itself the most eloquent commentary on the state of the field, for if any one expression were reliably general the others would have fallen into disuse; that several coexist, each fitted to a particular family of fluids and conditions and each departing from the others outside its calibration range, is the direct evidence that no closed-form relation has succeeded in capturing the behaviour across the full space of variables. Some of the correlations simply take a classical single-phase form and substitute nanofluid bulk properties, embodying the homogeneous assumption discussed above; others append an explicit concentration-dependent enhancement factor whose exponent and coefficient are fitted empirically; still others introduce the Peclet number to represent the particle transport that the homogeneous forms omit. Each performs creditably on the data that shaped it and indifferently elsewhere, and the practitioner who must choose among them is left to match the calibration range of a correlation to the intended application as best the sparse documentation allows, an unsatisfactory situation that is precisely the motivation for the more flexible predictors developed later.</w:t>
      </w:r>
    </w:p>
    <w:p>
      <w:pPr>
        <w:pStyle w:val="TableCaption"/>
      </w:pPr>
      <w:r>
        <w:rPr>
          <w:b/>
        </w:rPr>
        <w:t xml:space="preserve">Table 3.1</w:t>
      </w:r>
      <w:r>
        <w:t xml:space="preserve"> Representative Nusselt-number correlations proposed for nanofluid convective flow.</w:t>
      </w:r>
    </w:p>
    <w:tbl>
      <w:tblPr>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w="2340" w:type="dxa"/>
            <w:shd w:val="clear" w:color="auto" w:fill="D9E2F3"/>
          </w:tcPr>
          <w:p>
            <w:pPr>
              <w:jc w:val="center"/>
              <w:spacing w:after="20"/>
            </w:pPr>
            <w:r>
              <w:rPr>
                <w:b/>
              </w:rPr>
              <w:t xml:space="preserve">Correlation basis</w:t>
            </w:r>
          </w:p>
        </w:tc>
        <w:tc>
          <w:tcPr>
            <w:tcW w:w="2340" w:type="dxa"/>
            <w:shd w:val="clear" w:color="auto" w:fill="D9E2F3"/>
          </w:tcPr>
          <w:p>
            <w:pPr>
              <w:jc w:val="center"/>
              <w:spacing w:after="20"/>
            </w:pPr>
            <w:r>
              <w:rPr>
                <w:b/>
              </w:rPr>
              <w:t xml:space="preserve">Functional form (schematic)</w:t>
            </w:r>
          </w:p>
        </w:tc>
        <w:tc>
          <w:tcPr>
            <w:tcW w:w="2340" w:type="dxa"/>
            <w:shd w:val="clear" w:color="auto" w:fill="D9E2F3"/>
          </w:tcPr>
          <w:p>
            <w:pPr>
              <w:jc w:val="center"/>
              <w:spacing w:after="20"/>
            </w:pPr>
            <w:r>
              <w:rPr>
                <w:b/>
              </w:rPr>
              <w:t xml:space="preserve">Regime</w:t>
            </w:r>
          </w:p>
        </w:tc>
        <w:tc>
          <w:tcPr>
            <w:tcW w:w="2340" w:type="dxa"/>
            <w:shd w:val="clear" w:color="auto" w:fill="D9E2F3"/>
          </w:tcPr>
          <w:p>
            <w:pPr>
              <w:jc w:val="center"/>
              <w:spacing w:after="20"/>
            </w:pPr>
            <w:r>
              <w:rPr>
                <w:b/>
              </w:rPr>
              <w:t xml:space="preserve">Notes</w:t>
            </w:r>
          </w:p>
        </w:tc>
      </w:tr>
      <w:tr>
        <w:tc>
          <w:tcPr>
            <w:tcW w:w="2340" w:type="dxa"/>
          </w:tcPr>
          <w:p>
            <w:pPr>
              <w:spacing w:after="20"/>
              <w:jc w:val="left"/>
            </w:pPr>
            <w:r>
              <w:t xml:space="preserve">Modified Dittus–Boelter</w:t>
            </w:r>
          </w:p>
        </w:tc>
        <w:tc>
          <w:tcPr>
            <w:tcW w:w="2340" w:type="dxa"/>
          </w:tcPr>
          <w:p>
            <w:pPr>
              <w:spacing w:after="20"/>
              <w:jc w:val="left"/>
            </w:pPr>
            <w:r>
              <w:t xml:space="preserve">Nu ~ Re^0.8 Pr^0.4 with property update</w:t>
            </w:r>
          </w:p>
        </w:tc>
        <w:tc>
          <w:tcPr>
            <w:tcW w:w="2340" w:type="dxa"/>
          </w:tcPr>
          <w:p>
            <w:pPr>
              <w:spacing w:after="20"/>
              <w:jc w:val="left"/>
            </w:pPr>
            <w:r>
              <w:t xml:space="preserve">Turbulent</w:t>
            </w:r>
          </w:p>
        </w:tc>
        <w:tc>
          <w:tcPr>
            <w:tcW w:w="2340" w:type="dxa"/>
          </w:tcPr>
          <w:p>
            <w:pPr>
              <w:spacing w:after="20"/>
              <w:jc w:val="left"/>
            </w:pPr>
            <w:r>
              <w:t xml:space="preserve">Uses nanofluid bulk properties</w:t>
            </w:r>
          </w:p>
        </w:tc>
      </w:tr>
      <w:tr>
        <w:tc>
          <w:tcPr>
            <w:tcW w:w="2340" w:type="dxa"/>
          </w:tcPr>
          <w:p>
            <w:pPr>
              <w:spacing w:after="20"/>
              <w:jc w:val="left"/>
            </w:pPr>
            <w:r>
              <w:t xml:space="preserve">Pak–Cho type</w:t>
            </w:r>
          </w:p>
        </w:tc>
        <w:tc>
          <w:tcPr>
            <w:tcW w:w="2340" w:type="dxa"/>
          </w:tcPr>
          <w:p>
            <w:pPr>
              <w:spacing w:after="20"/>
              <w:jc w:val="left"/>
            </w:pPr>
            <w:r>
              <w:t xml:space="preserve">Nu ~ Re^0.8 Pr^0.5</w:t>
            </w:r>
          </w:p>
        </w:tc>
        <w:tc>
          <w:tcPr>
            <w:tcW w:w="2340" w:type="dxa"/>
          </w:tcPr>
          <w:p>
            <w:pPr>
              <w:spacing w:after="20"/>
              <w:jc w:val="left"/>
            </w:pPr>
            <w:r>
              <w:t xml:space="preserve">Turbulent</w:t>
            </w:r>
          </w:p>
        </w:tc>
        <w:tc>
          <w:tcPr>
            <w:tcW w:w="2340" w:type="dxa"/>
          </w:tcPr>
          <w:p>
            <w:pPr>
              <w:spacing w:after="20"/>
              <w:jc w:val="left"/>
            </w:pPr>
            <w:r>
              <w:t xml:space="preserve">Fitted to oxide nanofluids</w:t>
            </w:r>
          </w:p>
        </w:tc>
      </w:tr>
      <w:tr>
        <w:tc>
          <w:tcPr>
            <w:tcW w:w="2340" w:type="dxa"/>
          </w:tcPr>
          <w:p>
            <w:pPr>
              <w:spacing w:after="20"/>
              <w:jc w:val="left"/>
            </w:pPr>
            <w:r>
              <w:t xml:space="preserve">Xuan–Li type</w:t>
            </w:r>
          </w:p>
        </w:tc>
        <w:tc>
          <w:tcPr>
            <w:tcW w:w="2340" w:type="dxa"/>
          </w:tcPr>
          <w:p>
            <w:pPr>
              <w:spacing w:after="20"/>
              <w:jc w:val="left"/>
            </w:pPr>
            <w:r>
              <w:t xml:space="preserve">Adds concentration and Peclet terms</w:t>
            </w:r>
          </w:p>
        </w:tc>
        <w:tc>
          <w:tcPr>
            <w:tcW w:w="2340" w:type="dxa"/>
          </w:tcPr>
          <w:p>
            <w:pPr>
              <w:spacing w:after="20"/>
              <w:jc w:val="left"/>
            </w:pPr>
            <w:r>
              <w:t xml:space="preserve">Turbulent</w:t>
            </w:r>
          </w:p>
        </w:tc>
        <w:tc>
          <w:tcPr>
            <w:tcW w:w="2340" w:type="dxa"/>
          </w:tcPr>
          <w:p>
            <w:pPr>
              <w:spacing w:after="20"/>
              <w:jc w:val="left"/>
            </w:pPr>
            <w:r>
              <w:t xml:space="preserve">Explicit particle effects</w:t>
            </w:r>
          </w:p>
        </w:tc>
      </w:tr>
      <w:tr>
        <w:tc>
          <w:tcPr>
            <w:tcW w:w="2340" w:type="dxa"/>
          </w:tcPr>
          <w:p>
            <w:pPr>
              <w:spacing w:after="20"/>
              <w:jc w:val="left"/>
            </w:pPr>
            <w:r>
              <w:t xml:space="preserve">Shah type (developing)</w:t>
            </w:r>
          </w:p>
        </w:tc>
        <w:tc>
          <w:tcPr>
            <w:tcW w:w="2340" w:type="dxa"/>
          </w:tcPr>
          <w:p>
            <w:pPr>
              <w:spacing w:after="20"/>
              <w:jc w:val="left"/>
            </w:pPr>
            <w:r>
              <w:t xml:space="preserve">Entrance-region laminar form</w:t>
            </w:r>
          </w:p>
        </w:tc>
        <w:tc>
          <w:tcPr>
            <w:tcW w:w="2340" w:type="dxa"/>
          </w:tcPr>
          <w:p>
            <w:pPr>
              <w:spacing w:after="20"/>
              <w:jc w:val="left"/>
            </w:pPr>
            <w:r>
              <w:t xml:space="preserve">Laminar</w:t>
            </w:r>
          </w:p>
        </w:tc>
        <w:tc>
          <w:tcPr>
            <w:tcW w:w="2340" w:type="dxa"/>
          </w:tcPr>
          <w:p>
            <w:pPr>
              <w:spacing w:after="20"/>
              <w:jc w:val="left"/>
            </w:pPr>
            <w:r>
              <w:t xml:space="preserve">Captures entry enhancement</w:t>
            </w:r>
          </w:p>
        </w:tc>
      </w:tr>
      <w:tr>
        <w:tc>
          <w:tcPr>
            <w:tcW w:w="2340" w:type="dxa"/>
          </w:tcPr>
          <w:p>
            <w:pPr>
              <w:spacing w:after="20"/>
              <w:jc w:val="left"/>
            </w:pPr>
            <w:r>
              <w:t xml:space="preserve">Concentration-corrected</w:t>
            </w:r>
          </w:p>
        </w:tc>
        <w:tc>
          <w:tcPr>
            <w:tcW w:w="2340" w:type="dxa"/>
          </w:tcPr>
          <w:p>
            <w:pPr>
              <w:spacing w:after="20"/>
              <w:jc w:val="left"/>
            </w:pPr>
            <w:r>
              <w:t xml:space="preserve">Base correlation x (1 + a·phi^b)</w:t>
            </w:r>
          </w:p>
        </w:tc>
        <w:tc>
          <w:tcPr>
            <w:tcW w:w="2340" w:type="dxa"/>
          </w:tcPr>
          <w:p>
            <w:pPr>
              <w:spacing w:after="20"/>
              <w:jc w:val="left"/>
            </w:pPr>
            <w:r>
              <w:t xml:space="preserve">Both</w:t>
            </w:r>
          </w:p>
        </w:tc>
        <w:tc>
          <w:tcPr>
            <w:tcW w:w="2340" w:type="dxa"/>
          </w:tcPr>
          <w:p>
            <w:pPr>
              <w:spacing w:after="20"/>
              <w:jc w:val="left"/>
            </w:pPr>
            <w:r>
              <w:t xml:space="preserve">Empirical enhancement factor</w:t>
            </w:r>
          </w:p>
        </w:tc>
      </w:tr>
    </w:tbl>
    <w:p>
      <w:pPr>
        <w:spacing w:after="120"/>
      </w:pPr>
    </w:p>
    <w:p>
      <w:pPr>
        <w:pStyle w:val="Heading2"/>
      </w:pPr>
      <w:r>
        <w:t xml:space="preserve">3.3 Nusselt Number, Pressure Drop, and Thermal Performance</w:t>
      </w:r>
    </w:p>
    <w:p>
      <w:pPr>
        <w:pStyle w:val="Normal"/>
      </w:pPr>
      <w:r>
        <w:t xml:space="preserve">The preceding sections have treated the heat-transfer benefit of nanofluids and the design variables that govern it, but a benefit assessed in isolation from its cost is no basis for a decision, and the present section restores the cost side of the ledger by bringing the hydraulic penalty into explicit view and combining it with the benefit into criteria of net worth. This combination is the intellectual heart of the chapter, for it is only when benefit and cost are weighed on a common footing that the conditional and optimum-bearing character of nanofluid performance, glimpsed repeatedly in the foregoing discussion, comes fully into focus.</w:t>
      </w:r>
    </w:p>
    <w:p>
      <w:pPr>
        <w:pStyle w:val="Normal"/>
      </w:pPr>
      <w:r>
        <w:t xml:space="preserve">The two quantities that jointly decide the practical value of a nanofluid in a flowing system are the Nusselt number, which measures the heat-transfer benefit, and the friction factor or pressure drop, which measures the hydraulic cost, and a sound assessment must weigh them together. The pressure drop in a channel is proportional to the friction factor, the length-to-diameter ratio and the dynamic pressure of the flow, and the pumping power required to overcome it is the product of the pressure drop and the volumetric flow rate. Because the addition of nanoparticles raises the viscosity and, in turbulent flow, may modestly raise the friction factor beyond the viscosity effect, the pressure drop of a nanofluid exceeds that of its base fluid at the same flow rate, and the excess grows with concentration. Since the pumping power is the product of this elevated pressure drop and the volumetric flow rate, and since it is drawn as high-quality mechanical work, the penalty it represents weighs heavily in any honest accounting, and it is the quantity that the performance criteria developed below are designed to hold in check. Figure 3.3 shows the characteristic increase of the pressure-drop ratio with concentration at several Reynolds numbers, quantifying the hydraulic penalty that must be set against the heat-transfer gain [43].</w:t>
      </w:r>
    </w:p>
    <w:p>
      <w:pPr>
        <w:pStyle w:val="Normal"/>
      </w:pPr>
      <w:r>
        <w:t xml:space="preserve">The structure of the pressure-drop penalty differs between the laminar and turbulent regimes in a way that materially affects the design calculus. In laminar flow the friction factor is inversely proportional to the Reynolds number, so that the pressure drop is directly proportional to the viscosity; a nanofluid whose viscosity exceeds that of its base fluid by a given fraction incurs a pressure-drop penalty of the same fraction at equal flow rate, a penalty that is real but that scales gently and predictably. In turbulent flow the friction factor depends only weakly on the Reynolds number, so the direct dependence on viscosity is diluted, but the higher velocities and the larger absolute pressure drops of turbulent flow mean that even a modest fractional penalty translates into a substantial absolute pumping cost. Moreover, some studies report that in turbulent flow the friction factor of a nanofluid slightly exceeds the value its bulk viscosity would predict, an excess attributed to the interaction of the particles with the turbulent eddies and the near-wall structure, so that the hydraulic penalty in turbulent flow may exceed the viscosity increase alone. The combination of a diluted viscosity dependence with a possible eddy-interaction excess makes the turbulent pressure-drop penalty harder to predict than its laminar counterpart, and it is one more reason that turbulent nanofluid flows reward the more detailed treatment that computation affords [43].</w:t>
      </w:r>
    </w:p>
    <w:p>
      <w:pPr>
        <w:pStyle w:val="Normal"/>
      </w:pPr>
      <w:r>
        <w:t xml:space="preserve">It follows from the foregoing that the pressure-drop penalty and the heat-transfer benefit do not scale together as concentration or flow rate is varied, and it is this divergence in their scaling that gives rise to the optima and the conditional advantages that characterise the field. If benefit and penalty grew in fixed proportion, the choice of concentration and flow rate would be a matter of indifference from the standpoint of net performance; it is precisely because the penalty accelerates relative to the benefit, as loading and flow rate increase, that a genuine optimum exists and that the identification of the operating conditions under which the benefit outweighs the penalty becomes the central design question. The remainder of this section develops the criteria by which that question is answered [44].</w:t>
      </w:r>
    </w:p>
    <w:p>
      <w:pPr>
        <w:pStyle w:val="FigureImage"/>
      </w:pPr>
      <w:r>
        <w:drawing>
          <wp:inline xmlns:wp="http://schemas.openxmlformats.org/drawingml/2006/wordprocessingDrawing" distT="0" distB="0" distL="0" distR="0">
            <wp:extent cx="5486400" cy="3753852"/>
            <wp:docPr id="1009" name="Picture1009"/>
            <a:graphic xmlns:a="http://schemas.openxmlformats.org/drawingml/2006/main">
              <a:graphicData uri="http://schemas.openxmlformats.org/drawingml/2006/picture">
                <pic:pic xmlns:pic="http://schemas.openxmlformats.org/drawingml/2006/picture">
                  <pic:nvPicPr>
                    <pic:cNvPr id="1009" name="Picture1009"/>
                    <pic:cNvPicPr/>
                  </pic:nvPicPr>
                  <pic:blipFill>
                    <a:blip xmlns:r="http://schemas.openxmlformats.org/officeDocument/2006/relationships" r:embed="rId1009"/>
                    <a:stretch>
                      <a:fillRect/>
                    </a:stretch>
                  </pic:blipFill>
                  <pic:spPr>
                    <a:xfrm>
                      <a:off x="0" y="0"/>
                      <a:ext cx="5486400" cy="3753852"/>
                    </a:xfrm>
                    <a:prstGeom prst="rect">
                      <a:avLst/>
                    </a:prstGeom>
                  </pic:spPr>
                </pic:pic>
              </a:graphicData>
            </a:graphic>
          </wp:inline>
        </w:drawing>
      </w:r>
    </w:p>
    <w:p>
      <w:pPr>
        <w:pStyle w:val="FigureCaption"/>
      </w:pPr>
      <w:r>
        <w:t xml:space="preserve">Figure 3.3 Ratio of nanofluid to base-fluid pressure drop as a function of concentration at several Reynolds numbers.</w:t>
      </w:r>
    </w:p>
    <w:p>
      <w:pPr>
        <w:pStyle w:val="Normal"/>
      </w:pPr>
      <w:r>
        <w:t xml:space="preserve">To combine the heat-transfer benefit and the hydraulic cost into a single index, several performance-evaluation criteria have been proposed, of which the most widely used compares the heat transfer achieved by the nanofluid with that of the base fluid at equal pumping power rather than at equal flow rate or equal Reynolds number. The rationale is that pumping power is the true operating cost, and a fair comparison holds it constant; under this constraint a nanofluid delivers a net benefit only if its heat-transfer enhancement exceeds the enhancement in pumping power that its higher viscosity and friction factor entail. When the comparison is made instead at equal Reynolds number or equal velocity, a nanofluid may appear beneficial simply because its higher Prandtl number raises the Nusselt number, while at equal pumping power the same fluid may show no advantage or even a penalty [44]. The choice of comparison basis is therefore not a technicality but a decision that can reverse the apparent conclusion, and the careful specification of the basis is essential to any credible claim of nanofluid superiority.</w:t>
      </w:r>
    </w:p>
    <w:p>
      <w:pPr>
        <w:pStyle w:val="Normal"/>
      </w:pPr>
      <w:r>
        <w:t xml:space="preserve">The rationale for the equal-pumping-power basis rewards a fuller statement because it is so frequently misunderstood. The purpose of a heat exchanger is to transfer a required duty, and the cost of operating it is dominated, over its service life, by the energy expended in pumping the working fluid through it. A fair comparison between a candidate nanofluid and its base fluid must therefore ask which fluid transfers more heat for the same expenditure of pumping energy, because that is the question the operating budget actually poses. To compare at equal Reynolds number is to compare at conditions that require different pumping powers, since the more viscous nanofluid needs more power to reach the same Reynolds number, and any heat-transfer advantage so obtained has been purchased with an unaccounted increase in pumping cost. When the comparison is corrected to equal pumping power, the nanofluid must be run at a lower velocity, or the channel geometry adjusted, to hold the power constant, and the heat-transfer advantage that survives this correction is the advantage that is genuinely available to the operator. It is a common and sobering finding that an enhancement impressive at equal Reynolds number shrinks markedly, and sometimes vanishes or reverses, when re-expressed at equal pumping power, and this correction alone accounts for a large part of the gap between the optimistic and the sceptical strands of the literature [44].</w:t>
      </w:r>
    </w:p>
    <w:p>
      <w:pPr>
        <w:pStyle w:val="Normal"/>
      </w:pPr>
      <w:r>
        <w:t xml:space="preserve">The thermal-hydraulic performance factor, commonly defined as the ratio of the heat-transfer enhancement to a suitable power of the friction enhancement, provides a compact criterion whose value exceeding unity indicates a net benefit at fixed pumping power. Studies that report this factor find that it exceeds unity for many nanofluids at low to moderate concentrations and in appropriate flow regimes, confirming that nanofluids can offer genuine net advantages, but that it falls below unity at high concentrations or in regimes where the friction penalty dominates, confirming that the advantage is conditional. The conditional character of the advantage is worth stating in the strongest terms, because it is the single most important corrective to the uncritical enthusiasm that attended the early literature. A nanofluid is not, in general, a better working fluid than its base fluid; it is a better working fluid under particular conditions of concentration, flow regime and geometry, and a worse one outside those conditions. The task of the designer is therefore not to decide whether to use a nanofluid in the abstract but to determine whether the specific duty at hand falls within the window in which a specific nanofluid confers a net benefit, and to select the concentration and operating point that place it as favourably within that window as the constraints allow. Posed this way, the adoption of a nanofluid becomes an ordinary engineering optimisation subject to constraints rather than an act of faith in a superior fluid, and the performance factor, correctly constructed and honestly reported, is the instrument by which that optimisation is conducted [45]. The value of the performance factor depends on the concentration, the flow regime, the geometry and the particle characteristics in a coupled and often non-monotonic manner, which means that identifying the conditions under which a nanofluid is beneficial is itself a multivariable optimisation problem [45]. That this optimisation must be performed anew for each combination of fluid, geometry and duty, rather than resolved once and for all, is a direct consequence of the coupling that pervades the subject, and it is the practical reason that the fast surrogate models of later chapters, which can evaluate the performance factor across the design space at negligible cost once trained, promise so much to the designer who would otherwise face a forbidding programme of experiment or simulation for every new case.</w:t>
      </w:r>
    </w:p>
    <w:p>
      <w:pPr>
        <w:pStyle w:val="Normal"/>
      </w:pPr>
      <w:r>
        <w:t xml:space="preserve">The precise form of the performance factor merits comment, because the power to which the friction enhancement is raised encodes an assumption about the comparison basis and is not arbitrary. When the criterion is constructed so that the heat-transfer enhancement is divided by the friction enhancement raised to the one-third power, the resulting index expresses the heat-transfer ratio at constant pumping power for turbulent flow in a fixed geometry, the exponent following from the way friction and heat transfer each depend on velocity in that regime. Different regimes and different constraints yield different exponents, and a performance factor quoted without its underlying assumptions is as ambiguous as a Nusselt number quoted without its reference conductivity. The value of the factor, properly constructed, has an immediate interpretation: a value above unity means the nanofluid delivers more heat than the base fluid for the same pumping power, and a value below unity means it delivers less. Reported values cluster above unity at low to moderate loadings in favourable regimes and fall below unity at high loadings or in friction-dominated regimes, and the concentration at which the factor is maximised is the concentration a rational design would select, absent other constraints. That this thermal-hydraulic optimum broadly coincides, as later chapters show, with the optima identified by the second-law analyses of exergy and entropy is a reassuring sign that the several criteria are measuring facets of the same underlying trade-off [45]. Table 3.2 summarises, in qualitative terms, how the principal design variables influence the heat transfer, the pressure drop and the resulting net performance, and it makes explicit the pervasive trade-offs that characterise the field. The table repays study not for any single entry but for the pattern its columns reveal, namely that almost every variable which raises the heat transfer also raises the pressure drop, so that the net-performance column is, in nearly every row, the outcome of a contest between two same-signed influences of differing magnitude rather than a straightforward benefit. The one variable that improves heat transfer while reducing pressure drop is temperature, which raises the coefficient through intensified Brownian motion while lowering the viscosity and hence the pumping penalty, and it is no accident that operation at elevated temperature is among the conditions most consistently found to favour nanofluids, subject always to the countervailing acceleration of aggregation noted in the previous chapter. Every other variable presents the designer with a compromise, and the recognition that net performance is generically the small difference between two larger opposing effects explains both why the advantages of nanofluids are real yet modest and why they are so sensitive to the precise conditions of operation that general prescriptions are hazardous [45].</w:t>
      </w:r>
    </w:p>
    <w:p>
      <w:pPr>
        <w:pStyle w:val="TableCaption"/>
      </w:pPr>
      <w:r>
        <w:rPr>
          <w:b/>
        </w:rPr>
        <w:t xml:space="preserve">Table 3.2</w:t>
      </w:r>
      <w:r>
        <w:t xml:space="preserve"> Qualitative influence of design variables on nanofluid thermal-hydraulic performance.</w:t>
      </w:r>
    </w:p>
    <w:tbl>
      <w:tblPr>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w="2340" w:type="dxa"/>
            <w:shd w:val="clear" w:color="auto" w:fill="D9E2F3"/>
          </w:tcPr>
          <w:p>
            <w:pPr>
              <w:jc w:val="center"/>
              <w:spacing w:after="20"/>
            </w:pPr>
            <w:r>
              <w:rPr>
                <w:b/>
              </w:rPr>
              <w:t xml:space="preserve">Variable</w:t>
            </w:r>
          </w:p>
        </w:tc>
        <w:tc>
          <w:tcPr>
            <w:tcW w:w="2340" w:type="dxa"/>
            <w:shd w:val="clear" w:color="auto" w:fill="D9E2F3"/>
          </w:tcPr>
          <w:p>
            <w:pPr>
              <w:jc w:val="center"/>
              <w:spacing w:after="20"/>
            </w:pPr>
            <w:r>
              <w:rPr>
                <w:b/>
              </w:rPr>
              <w:t xml:space="preserve">Effect on heat transfer</w:t>
            </w:r>
          </w:p>
        </w:tc>
        <w:tc>
          <w:tcPr>
            <w:tcW w:w="2340" w:type="dxa"/>
            <w:shd w:val="clear" w:color="auto" w:fill="D9E2F3"/>
          </w:tcPr>
          <w:p>
            <w:pPr>
              <w:jc w:val="center"/>
              <w:spacing w:after="20"/>
            </w:pPr>
            <w:r>
              <w:rPr>
                <w:b/>
              </w:rPr>
              <w:t xml:space="preserve">Effect on pressure drop</w:t>
            </w:r>
          </w:p>
        </w:tc>
        <w:tc>
          <w:tcPr>
            <w:tcW w:w="2340" w:type="dxa"/>
            <w:shd w:val="clear" w:color="auto" w:fill="D9E2F3"/>
          </w:tcPr>
          <w:p>
            <w:pPr>
              <w:jc w:val="center"/>
              <w:spacing w:after="20"/>
            </w:pPr>
            <w:r>
              <w:rPr>
                <w:b/>
              </w:rPr>
              <w:t xml:space="preserve">Net performance tendency</w:t>
            </w:r>
          </w:p>
        </w:tc>
      </w:tr>
      <w:tr>
        <w:tc>
          <w:tcPr>
            <w:tcW w:w="2340" w:type="dxa"/>
          </w:tcPr>
          <w:p>
            <w:pPr>
              <w:spacing w:after="20"/>
              <w:jc w:val="left"/>
            </w:pPr>
            <w:r>
              <w:t xml:space="preserve">Increasing concentration</w:t>
            </w:r>
          </w:p>
        </w:tc>
        <w:tc>
          <w:tcPr>
            <w:tcW w:w="2340" w:type="dxa"/>
          </w:tcPr>
          <w:p>
            <w:pPr>
              <w:spacing w:after="20"/>
              <w:jc w:val="left"/>
            </w:pPr>
            <w:r>
              <w:t xml:space="preserve">Increase</w:t>
            </w:r>
          </w:p>
        </w:tc>
        <w:tc>
          <w:tcPr>
            <w:tcW w:w="2340" w:type="dxa"/>
          </w:tcPr>
          <w:p>
            <w:pPr>
              <w:spacing w:after="20"/>
              <w:jc w:val="left"/>
            </w:pPr>
            <w:r>
              <w:t xml:space="preserve">Strong increase</w:t>
            </w:r>
          </w:p>
        </w:tc>
        <w:tc>
          <w:tcPr>
            <w:tcW w:w="2340" w:type="dxa"/>
          </w:tcPr>
          <w:p>
            <w:pPr>
              <w:spacing w:after="20"/>
              <w:jc w:val="left"/>
            </w:pPr>
            <w:r>
              <w:t xml:space="preserve">Optimum at moderate loading</w:t>
            </w:r>
          </w:p>
        </w:tc>
      </w:tr>
      <w:tr>
        <w:tc>
          <w:tcPr>
            <w:tcW w:w="2340" w:type="dxa"/>
          </w:tcPr>
          <w:p>
            <w:pPr>
              <w:spacing w:after="20"/>
              <w:jc w:val="left"/>
            </w:pPr>
            <w:r>
              <w:t xml:space="preserve">Decreasing particle size</w:t>
            </w:r>
          </w:p>
        </w:tc>
        <w:tc>
          <w:tcPr>
            <w:tcW w:w="2340" w:type="dxa"/>
          </w:tcPr>
          <w:p>
            <w:pPr>
              <w:spacing w:after="20"/>
              <w:jc w:val="left"/>
            </w:pPr>
            <w:r>
              <w:t xml:space="preserve">Increase (surface, Brownian)</w:t>
            </w:r>
          </w:p>
        </w:tc>
        <w:tc>
          <w:tcPr>
            <w:tcW w:w="2340" w:type="dxa"/>
          </w:tcPr>
          <w:p>
            <w:pPr>
              <w:spacing w:after="20"/>
              <w:jc w:val="left"/>
            </w:pPr>
            <w:r>
              <w:t xml:space="preserve">Mild increase</w:t>
            </w:r>
          </w:p>
        </w:tc>
        <w:tc>
          <w:tcPr>
            <w:tcW w:w="2340" w:type="dxa"/>
          </w:tcPr>
          <w:p>
            <w:pPr>
              <w:spacing w:after="20"/>
              <w:jc w:val="left"/>
            </w:pPr>
            <w:r>
              <w:t xml:space="preserve">Favourable if stable</w:t>
            </w:r>
          </w:p>
        </w:tc>
      </w:tr>
      <w:tr>
        <w:tc>
          <w:tcPr>
            <w:tcW w:w="2340" w:type="dxa"/>
          </w:tcPr>
          <w:p>
            <w:pPr>
              <w:spacing w:after="20"/>
              <w:jc w:val="left"/>
            </w:pPr>
            <w:r>
              <w:t xml:space="preserve">High aspect ratio (shape)</w:t>
            </w:r>
          </w:p>
        </w:tc>
        <w:tc>
          <w:tcPr>
            <w:tcW w:w="2340" w:type="dxa"/>
          </w:tcPr>
          <w:p>
            <w:pPr>
              <w:spacing w:after="20"/>
              <w:jc w:val="left"/>
            </w:pPr>
            <w:r>
              <w:t xml:space="preserve">Strong increase</w:t>
            </w:r>
          </w:p>
        </w:tc>
        <w:tc>
          <w:tcPr>
            <w:tcW w:w="2340" w:type="dxa"/>
          </w:tcPr>
          <w:p>
            <w:pPr>
              <w:spacing w:after="20"/>
              <w:jc w:val="left"/>
            </w:pPr>
            <w:r>
              <w:t xml:space="preserve">Strong increase</w:t>
            </w:r>
          </w:p>
        </w:tc>
        <w:tc>
          <w:tcPr>
            <w:tcW w:w="2340" w:type="dxa"/>
          </w:tcPr>
          <w:p>
            <w:pPr>
              <w:spacing w:after="20"/>
              <w:jc w:val="left"/>
            </w:pPr>
            <w:r>
              <w:t xml:space="preserve">Case-dependent</w:t>
            </w:r>
          </w:p>
        </w:tc>
      </w:tr>
      <w:tr>
        <w:tc>
          <w:tcPr>
            <w:tcW w:w="2340" w:type="dxa"/>
          </w:tcPr>
          <w:p>
            <w:pPr>
              <w:spacing w:after="20"/>
              <w:jc w:val="left"/>
            </w:pPr>
            <w:r>
              <w:t xml:space="preserve">Higher conductivity material</w:t>
            </w:r>
          </w:p>
        </w:tc>
        <w:tc>
          <w:tcPr>
            <w:tcW w:w="2340" w:type="dxa"/>
          </w:tcPr>
          <w:p>
            <w:pPr>
              <w:spacing w:after="20"/>
              <w:jc w:val="left"/>
            </w:pPr>
            <w:r>
              <w:t xml:space="preserve">Increase</w:t>
            </w:r>
          </w:p>
        </w:tc>
        <w:tc>
          <w:tcPr>
            <w:tcW w:w="2340" w:type="dxa"/>
          </w:tcPr>
          <w:p>
            <w:pPr>
              <w:spacing w:after="20"/>
              <w:jc w:val="left"/>
            </w:pPr>
            <w:r>
              <w:t xml:space="preserve">Neutral</w:t>
            </w:r>
          </w:p>
        </w:tc>
        <w:tc>
          <w:tcPr>
            <w:tcW w:w="2340" w:type="dxa"/>
          </w:tcPr>
          <w:p>
            <w:pPr>
              <w:spacing w:after="20"/>
              <w:jc w:val="left"/>
            </w:pPr>
            <w:r>
              <w:t xml:space="preserve">Favourable if stable</w:t>
            </w:r>
          </w:p>
        </w:tc>
      </w:tr>
      <w:tr>
        <w:tc>
          <w:tcPr>
            <w:tcW w:w="2340" w:type="dxa"/>
          </w:tcPr>
          <w:p>
            <w:pPr>
              <w:spacing w:after="20"/>
              <w:jc w:val="left"/>
            </w:pPr>
            <w:r>
              <w:t xml:space="preserve">Increasing temperature</w:t>
            </w:r>
          </w:p>
        </w:tc>
        <w:tc>
          <w:tcPr>
            <w:tcW w:w="2340" w:type="dxa"/>
          </w:tcPr>
          <w:p>
            <w:pPr>
              <w:spacing w:after="20"/>
              <w:jc w:val="left"/>
            </w:pPr>
            <w:r>
              <w:t xml:space="preserve">Increase</w:t>
            </w:r>
          </w:p>
        </w:tc>
        <w:tc>
          <w:tcPr>
            <w:tcW w:w="2340" w:type="dxa"/>
          </w:tcPr>
          <w:p>
            <w:pPr>
              <w:spacing w:after="20"/>
              <w:jc w:val="left"/>
            </w:pPr>
            <w:r>
              <w:t xml:space="preserve">Decrease (lower viscosity)</w:t>
            </w:r>
          </w:p>
        </w:tc>
        <w:tc>
          <w:tcPr>
            <w:tcW w:w="2340" w:type="dxa"/>
          </w:tcPr>
          <w:p>
            <w:pPr>
              <w:spacing w:after="20"/>
              <w:jc w:val="left"/>
            </w:pPr>
            <w:r>
              <w:t xml:space="preserve">Favourable</w:t>
            </w:r>
          </w:p>
        </w:tc>
      </w:tr>
      <w:tr>
        <w:tc>
          <w:tcPr>
            <w:tcW w:w="2340" w:type="dxa"/>
          </w:tcPr>
          <w:p>
            <w:pPr>
              <w:spacing w:after="20"/>
              <w:jc w:val="left"/>
            </w:pPr>
            <w:r>
              <w:t xml:space="preserve">Increasing Reynolds number</w:t>
            </w:r>
          </w:p>
        </w:tc>
        <w:tc>
          <w:tcPr>
            <w:tcW w:w="2340" w:type="dxa"/>
          </w:tcPr>
          <w:p>
            <w:pPr>
              <w:spacing w:after="20"/>
              <w:jc w:val="left"/>
            </w:pPr>
            <w:r>
              <w:t xml:space="preserve">Increase</w:t>
            </w:r>
          </w:p>
        </w:tc>
        <w:tc>
          <w:tcPr>
            <w:tcW w:w="2340" w:type="dxa"/>
          </w:tcPr>
          <w:p>
            <w:pPr>
              <w:spacing w:after="20"/>
              <w:jc w:val="left"/>
            </w:pPr>
            <w:r>
              <w:t xml:space="preserve">Increase</w:t>
            </w:r>
          </w:p>
        </w:tc>
        <w:tc>
          <w:tcPr>
            <w:tcW w:w="2340" w:type="dxa"/>
          </w:tcPr>
          <w:p>
            <w:pPr>
              <w:spacing w:after="20"/>
              <w:jc w:val="left"/>
            </w:pPr>
            <w:r>
              <w:t xml:space="preserve">Regime-dependent</w:t>
            </w:r>
          </w:p>
        </w:tc>
      </w:tr>
    </w:tbl>
    <w:p>
      <w:pPr>
        <w:spacing w:after="120"/>
      </w:pPr>
    </w:p>
    <w:p>
      <w:pPr>
        <w:pStyle w:val="Normal"/>
      </w:pPr>
      <w:r>
        <w:t xml:space="preserve">The difficulty of predicting nanofluid convective performance from closed-form correlations, evident throughout this chapter, has several roots that together make the case for computational and data-driven methods compelling. First, the underlying property behaviour, particularly for conductivity and viscosity, resists first-principles prediction, so that any convective correlation built upon assumed property relations inherits their inaccuracy. Second, the convective enhancement appears to involve mechanisms, such as particle migration and Brownian micro-convection, that are absent from the homogeneous-fluid theory on which classical correlations rest, so that the functional forms of those correlations may be structurally inadequate. Third, the performance depends on a large number of coupled variables, including concentration, size, shape, material, temperature, flow regime and geometry, whose joint influence is difficult to represent with a small number of fitted constants. Fourth, the experimental database on which correlations are fitted is itself scattered, owing to differences in preparation, characterisation and measurement, so that even a structurally adequate correlation would be limited by the quality of its training data [46].</w:t>
      </w:r>
    </w:p>
    <w:p>
      <w:pPr>
        <w:pStyle w:val="Normal"/>
      </w:pPr>
      <w:r>
        <w:t xml:space="preserve">Each of these four difficulties deserves to be drawn out, because together they explain why the field has moved toward computation and data-driven modelling rather than persisting with ever more elaborate closed-form correlations. The first difficulty, the resistance of the property behaviour to first-principles prediction, means that a convective correlation rests on a foundation that is itself uncertain; an error in the assumed conductivity or viscosity propagates directly into the predicted Nusselt number and friction factor, and no refinement of the convective correlation can compensate for an erroneous property input. This is the sense in which the convective problem inherits the property problem, and it is why the accurate property models developed later in the book are a prerequisite for accurate convective prediction rather than a separate concern. The second difficulty, the presence of mechanisms absent from the homogeneous theory, means that the functional form of a classical correlation may be structurally wrong for a nanofluid, not merely miscalibrated; a correlation that expresses the Nusselt number as a fixed power of the Reynolds and Prandtl numbers cannot represent an entrance-region enhancement that depends on particle migration, however its constants are adjusted, because the physics it omits has no place in its structure. The third difficulty, the large number of coupled variables, means that even a correlation of the right structure would require many fitted constants to span the space of concentration, size, shape, material, temperature, regime and geometry, and that the constants fitted in one region of the space would not be expected to hold in another. The fourth difficulty, the scatter of the training data, sets a ceiling on the accuracy achievable by any model fitted to that data, mechanistic or empirical, and it means that progress depends as much on the disciplined generation of high-quality data as on the sophistication of the models fitted to it [46].</w:t>
      </w:r>
    </w:p>
    <w:p>
      <w:pPr>
        <w:pStyle w:val="Normal"/>
      </w:pPr>
      <w:r>
        <w:t xml:space="preserve">The response of the field to these difficulties has been twofold, and it defines the structure of the remainder of the book. On the one hand, computational fluid dynamics offers to resolve the flow and temperature fields directly, incorporating the two-phase mechanisms of migration and micro-convection through appropriate multiphase models and thereby dispensing with the structural assumptions of the homogeneous correlations; its cost is the expense of each simulation and its dependence, still, on accurate property inputs and appropriate closure models. On the other hand, machine-learning models offer to learn the joint influence of the many variables directly from the assembled experimental and computational data, without positing any functional form in advance, and thereby to represent dependences that no closed-form correlation captures; their cost is a hunger for data and a tendency, if unconstrained, to extrapolate unphysically beyond the region in which they were trained. The two approaches are complementary, computation generating high-quality data under controlled conditions and machine learning distilling that data, together with experiment, into fast and flexible predictors, and the physical understanding assembled in this chapter is the indispensable guide to both, informing the closures and boundary conditions of the computations and the feature selection and sanity-checking of the learned models. A reader who has grasped why the convective behaviour of nanofluids is so resistant to simple correlation is well prepared to appreciate why the more powerful methods that follow are not a fashion but a response to a genuine and well-defined difficulty [46]. Each of these difficulties is addressed, in a different way, by the methods developed in the remainder of the book: computational fluid dynamics, treated in Chapter 5, can resolve the flow and temperature fields and incorporate two-phase mechanisms directly, while machine-learning models, treated in Chapters 7 through 9, can learn the joint influence of many variables from data without requiring a closed-form mechanistic theory. The physical understanding assembled in this chapter remains the indispensable foundation for both, guiding the formulation of computational models and the selection of features for data-driven ones, and providing the physical benchmarks against which their predictions must be judged.</w:t>
      </w:r>
    </w:p>
    <w:p>
      <w:r>
        <w:br w:type="page"/>
      </w:r>
    </w:p>
    <w:p>
      <w:pPr>
        <w:pStyle w:val="Title"/>
      </w:pPr>
      <w:r>
        <w:t xml:space="preserve">Chapter 4. Conventional Design of Nanofluid Heat Exchangers</w:t>
      </w:r>
    </w:p>
    <w:p>
      <w:pPr>
        <w:pStyle w:val="Heading1"/>
      </w:pPr>
      <w:r>
        <w:t xml:space="preserve">Abstract</w:t>
      </w:r>
    </w:p>
    <w:p>
      <w:pPr>
        <w:pStyle w:val="Normal"/>
      </w:pPr>
      <w:r>
        <w:t xml:space="preserve">The design of a heat exchanger that uses a nanofluid as its working fluid rests on the same conservation principles and the same sizing frameworks as the design of a conventional exchanger, but it introduces additional considerations that arise from the concentration-dependent and often uncertain properties of the working fluid and from the hydraulic penalty that those properties entail. This chapter develops the conventional, that is to say the pre-computational and pre-data-driven, methodology for designing nanofluid heat exchangers, and it situates that methodology within a thermodynamic framework broad enough to expose the trade-offs that determine whether a nanofluid design is genuinely superior to its base-fluid counterpart. It begins with the established design methodologies, the logarithmic mean temperature difference and effectiveness formulations introduced in Chapter 1, and shows how they are adapted to accommodate property variation and the coupled thermal-hydraulic behaviour of nanofluids. It then develops the energy, exergy and entropy-based methods of performance assessment, which together provide a far more penetrating evaluation than a first-law energy balance alone, because they account for the quality as well as the quantity of energy and locate the irreversibilities that a design should seek to minimise. Finally, it examines the constraints, trade-offs and performance indicators that govern practical design, including the pumping-power penalty, the concentration optimum, and the several figures of merit by which competing designs are compared. The chapter thereby completes the conventional foundation on which the computational and machine-learning methods of the subsequent chapters build, and it makes explicit the multi-objective character of the design problem that those methods are ultimately intended to solve.</w:t>
      </w:r>
    </w:p>
    <w:p>
      <w:pPr>
        <w:pStyle w:val="Heading2"/>
      </w:pPr>
      <w:r>
        <w:t xml:space="preserve">4.1 Heat Exchanger Design Methodologies</w:t>
      </w:r>
    </w:p>
    <w:p>
      <w:pPr>
        <w:pStyle w:val="Normal"/>
      </w:pPr>
      <w:r>
        <w:t xml:space="preserve">The design of a heat exchanger is conventionally divided into two related but distinct tasks, sizing and rating. In a sizing problem the required duty and the inlet and outlet conditions are specified, and the object is to determine the transfer area and hence the physical dimensions of an exchanger that will accomplish the duty. In a rating problem the exchanger is already specified, and the object is to determine the outlet conditions and the duty that it will achieve under given inlet conditions. The two frameworks introduced in Chapter 1, the logarithmic mean temperature difference method and the effectiveness–number-of-transfer-units method, are suited respectively to the sizing and rating tasks, and both must be adapted when the working fluid is a nanofluid, principally because the thermophysical properties that enter them are functions of the nanoparticle concentration and of temperature [47]. The logarithmic mean temperature difference method suits the sizing task because, when the terminal temperatures of both streams are known, it yields directly the mean driving temperature difference from which, given the duty and the overall coefficient, the required area follows; a correction factor accommodates the departure of real multi-pass and cross-flow arrangements from the ideal counterflow on which the logarithmic mean is based. The effectiveness–number-of-transfer-units method suits the rating task because it expresses the effectiveness, the ratio of the actual duty to the maximum thermodynamically possible, as a function of the number of transfer units and the ratio of the heat-capacity rates, functions that are tabulated for each flow arrangement and that permit the outlet conditions to be found without the iterative solution that the logarithmic mean method would require when the outlets are unknown. Both methods rest on the assumption that the properties are constant, evaluated at a representative mean condition, and it is this assumption that the concentration and temperature dependence of nanofluid properties strains, for the more strongly the properties vary the less faithfully a single mean value represents them across the exchanger [48]. Figure 4.1 sets out the iterative design workflow that underlies both tasks, in which an initial estimate of the overall coefficient leads to a first sizing, which is then checked against the pressure-drop constraint and revised until a self-consistent and constraint-satisfying design is obtained.</w:t>
      </w:r>
    </w:p>
    <w:p>
      <w:pPr>
        <w:pStyle w:val="Normal"/>
      </w:pPr>
      <w:r>
        <w:t xml:space="preserve">The iterative character of the workflow shown in Figure 4.1 is not an incidental inconvenience but an intrinsic feature of the design problem, and it arises because the quantities that must be known to begin the calculation are themselves outcomes of the calculation. The overall heat transfer coefficient depends on the film coefficients, which depend on the flow velocities, which depend on the flow areas, which are among the dimensions the design is meant to determine; the mean temperature at which properties are evaluated depends on the outlet temperatures, which depend on the duty achieved, which depends on the coefficient being sought. The designer breaks this circularity by assuming initial values, computing the consequences, and revising the assumptions in the light of the results, repeating until successive iterations agree to within an acceptable tolerance. For a conventional single-phase fluid with weakly varying properties the iteration converges rapidly and can be carried out by hand, but for a nanofluid, whose properties depend on both temperature and concentration and whose viscosity may vary strongly across the operating range, the iteration is more delicate and the property evaluations more numerous, so that the manual procedure becomes tedious and error-prone and the case for computational implementation correspondingly stronger [47]. The workflow thus foreshadows, within the conventional framework itself, the computational assistance that the later chapters develop more fully.</w:t>
      </w:r>
    </w:p>
    <w:p>
      <w:pPr>
        <w:pStyle w:val="Normal"/>
      </w:pPr>
      <w:r>
        <w:t xml:space="preserve">It is worth emphasising that the sizing and rating tasks, though computationally distinct, address the same physical device from complementary directions, and that a mature design practice moves fluently between them. A preliminary sizing establishes the approximate dimensions required for a duty; a rating of that preliminary design under off-design conditions reveals how it will behave across the range of loads it will actually encounter; and the insights of the rating feed back into a revised sizing that better accommodates the full operating envelope. For a nanofluid heat exchanger this iteration between sizing and rating acquires an additional dimension, because the concentration of the nanofluid is itself a design variable that may be chosen, so that the designer is free to vary not only the geometry but the working fluid in search of a satisfactory design. This enlargement of the design space is the source of both the opportunity and the difficulty that nanofluids present: the opportunity to tune the fluid to the duty, and the difficulty of searching a space enlarged by the concentration and the several particle characteristics that define the fluid [48].</w:t>
      </w:r>
    </w:p>
    <w:p>
      <w:pPr>
        <w:pStyle w:val="FigureImage"/>
      </w:pPr>
      <w:r>
        <w:drawing>
          <wp:inline xmlns:wp="http://schemas.openxmlformats.org/drawingml/2006/wordprocessingDrawing" distT="0" distB="0" distL="0" distR="0">
            <wp:extent cx="5486400" cy="3753852"/>
            <wp:docPr id="1010" name="Picture1010"/>
            <a:graphic xmlns:a="http://schemas.openxmlformats.org/drawingml/2006/main">
              <a:graphicData uri="http://schemas.openxmlformats.org/drawingml/2006/picture">
                <pic:pic xmlns:pic="http://schemas.openxmlformats.org/drawingml/2006/picture">
                  <pic:nvPicPr>
                    <pic:cNvPr id="1010" name="Picture1010"/>
                    <pic:cNvPicPr/>
                  </pic:nvPicPr>
                  <pic:blipFill>
                    <a:blip xmlns:r="http://schemas.openxmlformats.org/officeDocument/2006/relationships" r:embed="rId1010"/>
                    <a:stretch>
                      <a:fillRect/>
                    </a:stretch>
                  </pic:blipFill>
                  <pic:spPr>
                    <a:xfrm>
                      <a:off x="0" y="0"/>
                      <a:ext cx="5486400" cy="3753852"/>
                    </a:xfrm>
                    <a:prstGeom prst="rect">
                      <a:avLst/>
                    </a:prstGeom>
                  </pic:spPr>
                </pic:pic>
              </a:graphicData>
            </a:graphic>
          </wp:inline>
        </w:drawing>
      </w:r>
    </w:p>
    <w:p>
      <w:pPr>
        <w:pStyle w:val="FigureCaption"/>
      </w:pPr>
      <w:r>
        <w:t xml:space="preserve">Figure 4.1 Iterative workflow for the thermal and hydraulic design of a heat exchanger.</w:t>
      </w:r>
    </w:p>
    <w:p>
      <w:pPr>
        <w:pStyle w:val="Normal"/>
      </w:pPr>
      <w:r>
        <w:t xml:space="preserve">The adaptation of the sizing method to nanofluids proceeds by inserting the nanofluid properties, evaluated at the appropriate mean temperature and concentration, into the correlations for the film coefficients and into the expression for the overall coefficient. Because the nanofluid conductivity is higher than that of the base fluid, the film coefficient on the nanofluid side is raised, and because the nanofluid viscosity is also higher, the Reynolds number at a given mass flow rate is reduced, so that the two effects partly oppose one another in their influence on the coefficient. The net change in the overall coefficient, and hence in the required area, depends on which film controls the total resistance and on the balance between the conductivity and viscosity changes, and it can only be determined by carrying the property changes through the full calculation rather than by reasoning about conductivity alone [48]. This is the design-level expression of the principle, emphasised in earlier chapters, that a nanofluid benefits an exchanger only to the extent that the film it flows against is a significant contributor to the total thermal resistance. The overall coefficient, being the reciprocal of the sum of the series resistances, cannot be raised beyond the limit set by the resistances that the nanofluid does not touch, and no enhancement of the nanofluid film can overcome a wall or an opposing film that dominates the sum; the arithmetic of series resistances thus imposes a ceiling on the benefit obtainable from any working-fluid improvement, and recognising where that ceiling lies is the first step in judging whether a nanofluid is worth considering at all for a given exchanger.</w:t>
      </w:r>
    </w:p>
    <w:p>
      <w:pPr>
        <w:pStyle w:val="Normal"/>
      </w:pPr>
      <w:r>
        <w:t xml:space="preserve">This principle, the controlling-resistance principle, is worth developing because it disciplines expectations and directs effort where it will be rewarded. The overall resistance to heat transfer in an exchanger is the sum of the resistances in series: the film resistance on the hot side, the resistance of the separating wall, any fouling resistances, and the film resistance on the cold side. Because these resistances add, the largest of them dominates the sum, and an improvement in a small resistance yields a correspondingly small improvement in the total, however large that improvement may be in proportional terms. If the nanofluid flows on the side whose film resistance is already small compared with the resistance on the other side or in the wall, then enhancing the nanofluid film, even substantially, moves the total resistance scarcely at all, and the effort and expense of the nanofluid are largely wasted. If, on the contrary, the nanofluid flows on the side that controls the total resistance, then its enhancement translates almost fully into an enhancement of the overall coefficient. The implication for design is direct: a nanofluid should be deployed on the controlling side, and the assessment of any nanofluid proposal must begin by identifying which resistance controls, for a nanofluid on the wrong side is a solution to the wrong problem [48]. This consideration also explains why nanofluids are most attractive in applications where a liquid faces a high-resistance situation, such as laminar flow in compact passages, and least attractive where the liquid film is already a minor resistance.</w:t>
      </w:r>
    </w:p>
    <w:p>
      <w:pPr>
        <w:pStyle w:val="Normal"/>
      </w:pPr>
      <w:r>
        <w:t xml:space="preserve">The controlling-resistance principle interacts with the opposing effects of conductivity and viscosity in a way that further constrains the benefit. Raising the nanofluid conductivity raises the film coefficient and so lowers the film resistance, but raising the viscosity lowers the Reynolds number at fixed mass flow, which also lowers the film coefficient and so raises the resistance, and the two effects partly cancel. Whether the net effect on the controlling film is favourable depends on the relative magnitudes of the conductivity and viscosity changes and on how strongly the film coefficient depends on the Reynolds number in the prevailing regime, a dependence that is stronger in turbulent flow than in laminar. The upshot is that even on the controlling side a nanofluid does not guarantee an improvement, and that the improvement, where it occurs, must be established by carrying both property changes through the coefficient correlation rather than assumed from the conductivity gain alone. This is the design-level counterpart of the thermal-hydraulic trade-off that pervaded the preceding chapter, and it shows that the trade-off cannot be evaded by moving from the fluid to the device: it reappears, in transformed guise, at every level of the analysis [49].</w:t>
      </w:r>
    </w:p>
    <w:p>
      <w:pPr>
        <w:pStyle w:val="Normal"/>
      </w:pPr>
      <w:r>
        <w:t xml:space="preserve">The property variation of a nanofluid along the length of an exchanger complicates the constant-property assumptions on which the classical correlations rest. As the nanofluid is heated or cooled, its viscosity and, to a lesser degree, its conductivity change, altering the local film coefficient and the local friction factor, so that a design based on properties evaluated at a single mean temperature incurs an error whose magnitude depends on the temperature range and the strength of the property variation. For fluids and duties in which this variation is significant, the exchanger is divided into segments, the properties and coefficients are evaluated locally in each segment, and the segmental results are combined, a procedure that is straightforward in principle but laborious by hand and that consequently benefits from computational implementation [49]. The need to evaluate concentration- and temperature-dependent properties repeatedly, and to do so accurately, is one of the points at which the property-prediction models of Chapter 8 connect directly to conventional design practice, because a design method is only as accurate as the property values it is fed.</w:t>
      </w:r>
    </w:p>
    <w:p>
      <w:pPr>
        <w:pStyle w:val="Normal"/>
      </w:pPr>
      <w:r>
        <w:t xml:space="preserve">The segmental treatment of property variation deserves fuller description because it is the conventional method's principal device for coping with the strong temperature dependence of nanofluid properties, and because it exposes clearly the computational burden that motivates the more efficient methods of later chapters. In the segmental approach the exchanger is divided along its length into a number of zones small enough that the properties may be regarded as constant within each, the local mean temperature and concentration are used to evaluate the properties and coefficients for that zone, the local duty and temperature change are computed, and the results are accumulated from zone to zone along the exchanger. The accuracy of the method improves as the zones are made smaller and more numerous, at the cost of proportionally more property evaluations and more arithmetic, so that a fine segmentation of a nanofluid exchanger, whose properties must be evaluated from concentration- and temperature-dependent models at every zone, entails a large number of property calculations. When those property calculations are themselves the output of an elaborate model, whether a mechanistic correlation or a data-driven predictor, the cost of the segmental design is dominated by the cost of the property evaluations, and the efficiency of the property model becomes a determinant of the practicality of the design procedure. This is a concrete instance of the general truth that the conventional design framework and the property-modelling methods of later chapters are not separate concerns but tightly interlocked, the one consuming what the other produces [49].</w:t>
      </w:r>
    </w:p>
    <w:p>
      <w:pPr>
        <w:pStyle w:val="Normal"/>
      </w:pPr>
      <w:r>
        <w:t xml:space="preserve">A further complication specific to nanofluids, and absent from conventional single-phase design, is the possibility that the concentration itself varies along the exchanger or over time, whether through the migration effects discussed in the previous chapter, through local aggregation and settling in low-velocity zones, or through the gradual degradation of the suspension over the service life. A design that assumes a uniform and constant concentration may therefore mispredict the performance of a real exchanger in which the concentration is neither uniform nor constant, and a conservative design practice makes allowance for the degradation of properties as the suspension ages, sizing the exchanger to meet its duty not only when the fluid is fresh but when it has aged to the least favourable state anticipated in service. This requirement, that the design be robust to the evolution of the working fluid, has no counterpart in conventional design and is one of the ways in which the uncertain and time-dependent nature of nanofluid properties complicates the conventional framework beyond the mere substitution of enhanced property values [50]. Table 4.1 summarises the principal design methods together with the problems they suit and their treatment of property variation.</w:t>
      </w:r>
    </w:p>
    <w:p>
      <w:pPr>
        <w:pStyle w:val="TableCaption"/>
      </w:pPr>
      <w:r>
        <w:rPr>
          <w:b/>
        </w:rPr>
        <w:t xml:space="preserve">Table 4.1</w:t>
      </w:r>
      <w:r>
        <w:t xml:space="preserve"> Conventional heat-exchanger design methods and their characteristics.</w:t>
      </w:r>
    </w:p>
    <w:tbl>
      <w:tblPr>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w="2340" w:type="dxa"/>
            <w:shd w:val="clear" w:color="auto" w:fill="D9E2F3"/>
          </w:tcPr>
          <w:p>
            <w:pPr>
              <w:jc w:val="center"/>
              <w:spacing w:after="20"/>
            </w:pPr>
            <w:r>
              <w:rPr>
                <w:b/>
              </w:rPr>
              <w:t xml:space="preserve">Method</w:t>
            </w:r>
          </w:p>
        </w:tc>
        <w:tc>
          <w:tcPr>
            <w:tcW w:w="2340" w:type="dxa"/>
            <w:shd w:val="clear" w:color="auto" w:fill="D9E2F3"/>
          </w:tcPr>
          <w:p>
            <w:pPr>
              <w:jc w:val="center"/>
              <w:spacing w:after="20"/>
            </w:pPr>
            <w:r>
              <w:rPr>
                <w:b/>
              </w:rPr>
              <w:t xml:space="preserve">Suited to</w:t>
            </w:r>
          </w:p>
        </w:tc>
        <w:tc>
          <w:tcPr>
            <w:tcW w:w="2340" w:type="dxa"/>
            <w:shd w:val="clear" w:color="auto" w:fill="D9E2F3"/>
          </w:tcPr>
          <w:p>
            <w:pPr>
              <w:jc w:val="center"/>
              <w:spacing w:after="20"/>
            </w:pPr>
            <w:r>
              <w:rPr>
                <w:b/>
              </w:rPr>
              <w:t xml:space="preserve">Property treatment</w:t>
            </w:r>
          </w:p>
        </w:tc>
        <w:tc>
          <w:tcPr>
            <w:tcW w:w="2340" w:type="dxa"/>
            <w:shd w:val="clear" w:color="auto" w:fill="D9E2F3"/>
          </w:tcPr>
          <w:p>
            <w:pPr>
              <w:jc w:val="center"/>
              <w:spacing w:after="20"/>
            </w:pPr>
            <w:r>
              <w:rPr>
                <w:b/>
              </w:rPr>
              <w:t xml:space="preserve">Principal limitation</w:t>
            </w:r>
          </w:p>
        </w:tc>
      </w:tr>
      <w:tr>
        <w:tc>
          <w:tcPr>
            <w:tcW w:w="2340" w:type="dxa"/>
          </w:tcPr>
          <w:p>
            <w:pPr>
              <w:spacing w:after="20"/>
              <w:jc w:val="left"/>
            </w:pPr>
            <w:r>
              <w:t xml:space="preserve">LMTD with correction factor</w:t>
            </w:r>
          </w:p>
        </w:tc>
        <w:tc>
          <w:tcPr>
            <w:tcW w:w="2340" w:type="dxa"/>
          </w:tcPr>
          <w:p>
            <w:pPr>
              <w:spacing w:after="20"/>
              <w:jc w:val="left"/>
            </w:pPr>
            <w:r>
              <w:t xml:space="preserve">Sizing, known terminal temperatures</w:t>
            </w:r>
          </w:p>
        </w:tc>
        <w:tc>
          <w:tcPr>
            <w:tcW w:w="2340" w:type="dxa"/>
          </w:tcPr>
          <w:p>
            <w:pPr>
              <w:spacing w:after="20"/>
              <w:jc w:val="left"/>
            </w:pPr>
            <w:r>
              <w:t xml:space="preserve">Mean-temperature properties</w:t>
            </w:r>
          </w:p>
        </w:tc>
        <w:tc>
          <w:tcPr>
            <w:tcW w:w="2340" w:type="dxa"/>
          </w:tcPr>
          <w:p>
            <w:pPr>
              <w:spacing w:after="20"/>
              <w:jc w:val="left"/>
            </w:pPr>
            <w:r>
              <w:t xml:space="preserve">Requires all terminal temperatures</w:t>
            </w:r>
          </w:p>
        </w:tc>
      </w:tr>
      <w:tr>
        <w:tc>
          <w:tcPr>
            <w:tcW w:w="2340" w:type="dxa"/>
          </w:tcPr>
          <w:p>
            <w:pPr>
              <w:spacing w:after="20"/>
              <w:jc w:val="left"/>
            </w:pPr>
            <w:r>
              <w:t xml:space="preserve">Effectiveness–NTU</w:t>
            </w:r>
          </w:p>
        </w:tc>
        <w:tc>
          <w:tcPr>
            <w:tcW w:w="2340" w:type="dxa"/>
          </w:tcPr>
          <w:p>
            <w:pPr>
              <w:spacing w:after="20"/>
              <w:jc w:val="left"/>
            </w:pPr>
            <w:r>
              <w:t xml:space="preserve">Rating, unknown outlets</w:t>
            </w:r>
          </w:p>
        </w:tc>
        <w:tc>
          <w:tcPr>
            <w:tcW w:w="2340" w:type="dxa"/>
          </w:tcPr>
          <w:p>
            <w:pPr>
              <w:spacing w:after="20"/>
              <w:jc w:val="left"/>
            </w:pPr>
            <w:r>
              <w:t xml:space="preserve">Mean-temperature properties</w:t>
            </w:r>
          </w:p>
        </w:tc>
        <w:tc>
          <w:tcPr>
            <w:tcW w:w="2340" w:type="dxa"/>
          </w:tcPr>
          <w:p>
            <w:pPr>
              <w:spacing w:after="20"/>
              <w:jc w:val="left"/>
            </w:pPr>
            <w:r>
              <w:t xml:space="preserve">Closed-form per arrangement</w:t>
            </w:r>
          </w:p>
        </w:tc>
      </w:tr>
      <w:tr>
        <w:tc>
          <w:tcPr>
            <w:tcW w:w="2340" w:type="dxa"/>
          </w:tcPr>
          <w:p>
            <w:pPr>
              <w:spacing w:after="20"/>
              <w:jc w:val="left"/>
            </w:pPr>
            <w:r>
              <w:t xml:space="preserve">Segmental / zone method</w:t>
            </w:r>
          </w:p>
        </w:tc>
        <w:tc>
          <w:tcPr>
            <w:tcW w:w="2340" w:type="dxa"/>
          </w:tcPr>
          <w:p>
            <w:pPr>
              <w:spacing w:after="20"/>
              <w:jc w:val="left"/>
            </w:pPr>
            <w:r>
              <w:t xml:space="preserve">Strong property variation</w:t>
            </w:r>
          </w:p>
        </w:tc>
        <w:tc>
          <w:tcPr>
            <w:tcW w:w="2340" w:type="dxa"/>
          </w:tcPr>
          <w:p>
            <w:pPr>
              <w:spacing w:after="20"/>
              <w:jc w:val="left"/>
            </w:pPr>
            <w:r>
              <w:t xml:space="preserve">Local, per segment</w:t>
            </w:r>
          </w:p>
        </w:tc>
        <w:tc>
          <w:tcPr>
            <w:tcW w:w="2340" w:type="dxa"/>
          </w:tcPr>
          <w:p>
            <w:pPr>
              <w:spacing w:after="20"/>
              <w:jc w:val="left"/>
            </w:pPr>
            <w:r>
              <w:t xml:space="preserve">Computationally intensive</w:t>
            </w:r>
          </w:p>
        </w:tc>
      </w:tr>
      <w:tr>
        <w:tc>
          <w:tcPr>
            <w:tcW w:w="2340" w:type="dxa"/>
          </w:tcPr>
          <w:p>
            <w:pPr>
              <w:spacing w:after="20"/>
              <w:jc w:val="left"/>
            </w:pPr>
            <w:r>
              <w:t xml:space="preserve">Bell–Delaware (shell side)</w:t>
            </w:r>
          </w:p>
        </w:tc>
        <w:tc>
          <w:tcPr>
            <w:tcW w:w="2340" w:type="dxa"/>
          </w:tcPr>
          <w:p>
            <w:pPr>
              <w:spacing w:after="20"/>
              <w:jc w:val="left"/>
            </w:pPr>
            <w:r>
              <w:t xml:space="preserve">Shell-and-tube detail</w:t>
            </w:r>
          </w:p>
        </w:tc>
        <w:tc>
          <w:tcPr>
            <w:tcW w:w="2340" w:type="dxa"/>
          </w:tcPr>
          <w:p>
            <w:pPr>
              <w:spacing w:after="20"/>
              <w:jc w:val="left"/>
            </w:pPr>
            <w:r>
              <w:t xml:space="preserve">Local with leakage streams</w:t>
            </w:r>
          </w:p>
        </w:tc>
        <w:tc>
          <w:tcPr>
            <w:tcW w:w="2340" w:type="dxa"/>
          </w:tcPr>
          <w:p>
            <w:pPr>
              <w:spacing w:after="20"/>
              <w:jc w:val="left"/>
            </w:pPr>
            <w:r>
              <w:t xml:space="preserve">Correlational, geometry-specific</w:t>
            </w:r>
          </w:p>
        </w:tc>
      </w:tr>
      <w:tr>
        <w:tc>
          <w:tcPr>
            <w:tcW w:w="2340" w:type="dxa"/>
          </w:tcPr>
          <w:p>
            <w:pPr>
              <w:spacing w:after="20"/>
              <w:jc w:val="left"/>
            </w:pPr>
            <w:r>
              <w:t xml:space="preserve">Number-transfer with correlation</w:t>
            </w:r>
          </w:p>
        </w:tc>
        <w:tc>
          <w:tcPr>
            <w:tcW w:w="2340" w:type="dxa"/>
          </w:tcPr>
          <w:p>
            <w:pPr>
              <w:spacing w:after="20"/>
              <w:jc w:val="left"/>
            </w:pPr>
            <w:r>
              <w:t xml:space="preserve">Compact surfaces</w:t>
            </w:r>
          </w:p>
        </w:tc>
        <w:tc>
          <w:tcPr>
            <w:tcW w:w="2340" w:type="dxa"/>
          </w:tcPr>
          <w:p>
            <w:pPr>
              <w:spacing w:after="20"/>
              <w:jc w:val="left"/>
            </w:pPr>
            <w:r>
              <w:t xml:space="preserve">Surface-specific data</w:t>
            </w:r>
          </w:p>
        </w:tc>
        <w:tc>
          <w:tcPr>
            <w:tcW w:w="2340" w:type="dxa"/>
          </w:tcPr>
          <w:p>
            <w:pPr>
              <w:spacing w:after="20"/>
              <w:jc w:val="left"/>
            </w:pPr>
            <w:r>
              <w:t xml:space="preserve">Needs experimental surface data</w:t>
            </w:r>
          </w:p>
        </w:tc>
      </w:tr>
    </w:tbl>
    <w:p>
      <w:pPr>
        <w:spacing w:after="120"/>
      </w:pPr>
    </w:p>
    <w:p>
      <w:pPr>
        <w:pStyle w:val="Heading2"/>
      </w:pPr>
      <w:r>
        <w:t xml:space="preserve">4.2 Energy, Exergy, and Entropy-Based Performance Assessment</w:t>
      </w:r>
    </w:p>
    <w:p>
      <w:pPr>
        <w:pStyle w:val="Normal"/>
      </w:pPr>
      <w:r>
        <w:t xml:space="preserve">A design that satisfies the thermal duty and respects the pressure-drop constraint is not necessarily a good design, because the first-law energy balance on which conventional sizing rests accounts only for the quantity of energy transferred and is silent about its quality and about the irreversibilities incurred in transferring it. The second-law methods of exergy and entropy analysis remedy this deficiency and provide a far more discriminating basis for the assessment and optimisation of nanofluid heat exchangers, in which the pumping penalty and the finite-temperature-difference heat transfer are both sources of irreversibility that a first-law analysis cannot properly weigh [50]. Energy analysis begins with the first law and quantifies the energy effectiveness of the exchanger, the fraction of the available energy that is actually transferred, and it is the basis of the effectiveness measure already introduced, which expresses in a single dimensionless number how nearly the exchanger approaches the greatest duty that the second law would permit given the inlet conditions and the heat-capacity rates of the two streams. Energy analysis is indispensable but incomplete, because it treats a joule of high-temperature energy and a joule of low-temperature energy as equivalent, whereas their capacity to perform useful work differs. A joule of thermal energy at a temperature far above the surroundings can be made to perform a large amount of useful work, through a heat engine that rejects heat to the environment, whereas a joule at a temperature only slightly above the surroundings can perform almost none; the two joules are equal in quantity but unequal in quality, and any accounting that treats them as interchangeable, as the first law does, is blind to a distinction that is central to the rational use of energy. It is exactly this blindness that the exergy and entropy analyses remove, and their removal of it transforms the assessment of a nanofluid design from a question of how much heat is moved into the far more searching question of how well the quality of the energy is preserved and how little work is squandered in moving it.</w:t>
      </w:r>
    </w:p>
    <w:p>
      <w:pPr>
        <w:pStyle w:val="Normal"/>
      </w:pPr>
      <w:r>
        <w:t xml:space="preserve">The inadequacy of a purely first-law assessment for nanofluid design can be made vivid by considering what it fails to see. A first-law energy balance is satisfied whenever the heat given up by the hot stream equals the heat received by the cold stream, less any losses to the surroundings, and it is entirely indifferent to the temperature difference across which that heat is transferred and to the pumping work expended in moving the fluids. Two exchangers that transfer the same duty are, to the first law, equivalent, even if one accomplishes it across a small temperature difference with little pumping and the other across a large temperature difference with heavy pumping. Yet the two are far from equivalent in any economic or thermodynamic sense: the first preserves the quality of the energy and consumes little work, while the second degrades the energy and consumes much. The pumping penalty that dominates the nanofluid trade-off is precisely a consumption of high-quality mechanical work, and the finite-temperature-difference heat transfer that a nanofluid seeks to reduce is precisely a degradation of energy quality, so that the two central concerns of nanofluid design are the two irreversibilities that the first law cannot weigh and the second law is designed to expose. This is why the second-law methods are not a refinement to be applied after the first-law design is complete but a necessary component of any assessment that aspires to identify the genuinely best design rather than merely a feasible one [50].</w:t>
      </w:r>
    </w:p>
    <w:p>
      <w:pPr>
        <w:pStyle w:val="Normal"/>
      </w:pPr>
      <w:r>
        <w:t xml:space="preserve">The reference environment, or dead state, against which exergy is measured deserves a word, because its choice, though it does not affect the location of the optima, affects the numerical values of the exergy quantities and must be stated for the results to be interpretable. The dead state is the condition of temperature, pressure and composition to which a stream could be brought by reversible processes exchanging heat and work only with the surroundings, and it is conventionally taken as the ambient condition; exergy is the maximum work obtainable as a stream is brought reversibly to this state. Because the exergy of a heat interaction depends on its temperature relative to the dead state, through the Carnot factor, exergy analysis automatically weights high-temperature heat more heavily than low-temperature heat, capturing the quality distinction that the first law misses. For a heat exchanger operating near ambient temperature the exergetic value of the heat transferred is modest, and the frictional destruction of mechanical exergy looms correspondingly large in the balance, which is one reason that the pumping penalty weighs so heavily in near-ambient applications and that the exergy optimum in such applications falls at a low concentration [51].</w:t>
      </w:r>
    </w:p>
    <w:p>
      <w:pPr>
        <w:pStyle w:val="Normal"/>
      </w:pPr>
      <w:r>
        <w:t xml:space="preserve">Exergy analysis, founded on the second law, quantifies the maximum useful work obtainable from a stream relative to a reference environment and thereby measures the quality of energy as well as its quantity. Applied to a heat exchanger, exergy analysis identifies the exergy destroyed by the two principal irreversibilities of the device, the transfer of heat across a finite temperature difference, which is the price paid for driving the heat at a finite rate, and the frictional dissipation of mechanical energy in overcoming the pressure drop, which is the price paid for moving the fluid through the passages. The exergy efficiency, the ratio of the exergy recovered to the exergy supplied, provides a figure of merit that penalises both a large temperature difference, which wastes the quality of the energy, and a large pressure drop, which destroys mechanical exergy, and it therefore captures the central thermal-hydraulic trade-off of nanofluid design in a single number [51]. The power of the exergy efficiency as a single figure of merit lies precisely in this capacity to weigh two dissimilar irreversibilities, the thermal and the frictional, on a common scale, for the two are otherwise incommensurable: a temperature difference and a pressure drop cannot be compared directly, but the exergy each destroys can, because exergy is a single currency into which both are converted. By expressing the thermal loss and the frictional loss in the common currency of destroyed work-potential, the exergy analysis makes it possible to add them, to compare them, and to find the design that minimises their sum, which no analysis working in the separate and incommensurable units of temperature and pressure could do. This is the deep reason that the second-law analysis succeeds where the first law fails: not merely that it accounts for quality, but that it provides a common measure in which the competing losses can be balanced against one another and an optimum meaningfully defined [52]. Figure 4.2 contrasts the energy and exergy efficiencies of a representative nanofluid exchanger as functions of concentration, illustrating that the energy efficiency rises steadily with loading while the exergy efficiency passes through a maximum, because at higher loadings the growing pumping irreversibility begins to outweigh the improving heat-transfer irreversibility.</w:t>
      </w:r>
    </w:p>
    <w:p>
      <w:pPr>
        <w:pStyle w:val="Normal"/>
      </w:pPr>
      <w:r>
        <w:t xml:space="preserve">The contrast between the two curves in Figure 4.2 is among the most pedagogically valuable results in the whole treatment of nanofluid design, because it shows two legitimate figures of merit disagreeing, and it forces the recognition that the choice of figure of merit is itself a design decision with consequences. A designer guided solely by the energy efficiency, which rises monotonically with concentration, would be led toward ever higher loadings, concluding that more nanoparticles are always better; a designer guided by the exergy efficiency, which peaks and then declines, would be led to a finite optimum loading and would reject the high concentrations that the energy criterion favours. The two designers, looking at the same exchanger and the same data, would reach opposite conclusions about the direction of improvement, and the disagreement is resolved not by more accurate calculation but by recognising that the exergy efficiency is the sounder criterion, because it accounts for the pumping work that the energy efficiency ignores. The lesson generalises well beyond nanofluids: whenever a first-law criterion and a second-law criterion disagree about the direction of improvement, the second-law criterion is to be trusted, because it alone accounts for the quality of energy and the work consumed, and a design optimised on a first-law criterion alone may be systematically driven toward thermodynamically inferior configurations [52].</w:t>
      </w:r>
    </w:p>
    <w:p>
      <w:pPr>
        <w:pStyle w:val="Normal"/>
      </w:pPr>
      <w:r>
        <w:t xml:space="preserve">The monotonic rise of the energy efficiency itself merits explanation, lest it be thought paradoxical that a genuine figure of merit should mislead. The energy efficiency rises with concentration because the enhanced conductivity raises the heat transfer coefficient and hence the duty achievable for a given surface and temperature difference, and the first law records this straightforwardly as an improvement. What the first law does not record is that the same increase in concentration raises the viscosity and hence the pumping work, and that beyond a certain loading the additional pumping work exceeds, in exergetic terms, the value of the additional heat transferred. The energy efficiency is therefore not wrong within its own terms; it is incomplete, measuring a real benefit while omitting a real cost. The exergy efficiency completes the accounting by placing benefit and cost on the common footing of work-equivalent value, and its maximum marks the loading at which the marginal exergetic benefit of further enhancement equals its marginal exergetic cost. That this maximum is finite and generally modest is the thermodynamic vindication of the empirical observation, made repeatedly in the previous chapter, that the best concentration is a moderate one [52].</w:t>
      </w:r>
    </w:p>
    <w:p>
      <w:pPr>
        <w:pStyle w:val="FigureImage"/>
      </w:pPr>
      <w:r>
        <w:drawing>
          <wp:inline xmlns:wp="http://schemas.openxmlformats.org/drawingml/2006/wordprocessingDrawing" distT="0" distB="0" distL="0" distR="0">
            <wp:extent cx="5486400" cy="3753852"/>
            <wp:docPr id="1011" name="Picture1011"/>
            <a:graphic xmlns:a="http://schemas.openxmlformats.org/drawingml/2006/main">
              <a:graphicData uri="http://schemas.openxmlformats.org/drawingml/2006/picture">
                <pic:pic xmlns:pic="http://schemas.openxmlformats.org/drawingml/2006/picture">
                  <pic:nvPicPr>
                    <pic:cNvPr id="1011" name="Picture1011"/>
                    <pic:cNvPicPr/>
                  </pic:nvPicPr>
                  <pic:blipFill>
                    <a:blip xmlns:r="http://schemas.openxmlformats.org/officeDocument/2006/relationships" r:embed="rId1011"/>
                    <a:stretch>
                      <a:fillRect/>
                    </a:stretch>
                  </pic:blipFill>
                  <pic:spPr>
                    <a:xfrm>
                      <a:off x="0" y="0"/>
                      <a:ext cx="5486400" cy="3753852"/>
                    </a:xfrm>
                    <a:prstGeom prst="rect">
                      <a:avLst/>
                    </a:prstGeom>
                  </pic:spPr>
                </pic:pic>
              </a:graphicData>
            </a:graphic>
          </wp:inline>
        </w:drawing>
      </w:r>
    </w:p>
    <w:p>
      <w:pPr>
        <w:pStyle w:val="FigureCaption"/>
      </w:pPr>
      <w:r>
        <w:t xml:space="preserve">Figure 4.2 Energy and exergy efficiency of a nanofluid heat exchanger as functions of nanoparticle concentration.</w:t>
      </w:r>
    </w:p>
    <w:p>
      <w:pPr>
        <w:pStyle w:val="Normal"/>
      </w:pPr>
      <w:r>
        <w:t xml:space="preserve">The existence of a maximum in the exergy efficiency, evident in Figure 4.2, is one of the most important results of second-law analysis for nanofluid design, because it establishes that the optimum concentration from a thermodynamic standpoint is finite and generally modest, in contrast to the first-law intuition that more conductivity is always better. The optimum arises from the competition between two opposing trends: as concentration increases, the heat-transfer irreversibility associated with the finite temperature difference falls, because the enhanced coefficient permits the same duty at a smaller temperature difference, but the frictional irreversibility associated with the pressure drop rises, because the higher viscosity and friction factor increase the pumping dissipation. The concentration at which the sum of these irreversibilities is minimised, or equivalently at which the exergy efficiency is maximised, is the thermodynamically optimal loading, and it provides a principled target for design that the coupled property and hydraulic models of later chapters can help to locate [52]. The existence and the modesty of this optimum together constitute perhaps the most important single message of second-law analysis for the practitioner, for they replace the open-ended and misleading injunction to maximise conductivity with the bounded and correct injunction to seek a particular, calculable, and generally low concentration. A great deal of the disappointment that has attended attempts to deploy nanofluids can be traced to designs that pursued the first-law intuition past the second-law optimum, loading the fluid so heavily in pursuit of conductivity that the pumping penalty destroyed the advantage, and the exergy analysis provides both the diagnosis of that error and the remedy for it.</w:t>
      </w:r>
    </w:p>
    <w:p>
      <w:pPr>
        <w:pStyle w:val="Normal"/>
      </w:pPr>
      <w:r>
        <w:t xml:space="preserve">Entropy-generation analysis provides an equivalent and often more convenient formulation of the same second-law reasoning, expressed in terms of the rate at which entropy is generated by the irreversibilities of the exchanger. The total entropy-generation rate is the sum of a thermal contribution, arising from heat transfer across the finite temperature difference, and a frictional contribution, arising from the pressure drop, and the two contributions depend oppositely on many design variables, so that their sum passes through a minimum. The method of entropy-generation minimisation, which seeks the design that minimises the total entropy-generation rate, thereby provides a systematic route to the thermodynamically optimal design and has been applied extensively to nanofluid exchangers [53].</w:t>
      </w:r>
    </w:p>
    <w:p>
      <w:pPr>
        <w:pStyle w:val="Normal"/>
      </w:pPr>
      <w:r>
        <w:t xml:space="preserve">The equivalence between the entropy-generation and exergy formulations, which the Gouy–Stodola relation makes precise by proportioning the destroyed exergy to the generated entropy through the dead-state temperature, means that the two analyses must agree on the location of the optimum, and that the choice between them is one of convenience rather than of substance. The entropy-generation formulation is often preferred for design because its two contributions, the thermal and the frictional, can be written directly in terms of the heat duty, the temperature difference, the mass flow and the pressure drop, quantities that emerge naturally from the sizing calculation, so that the entropy-generation rate can be evaluated as a by-product of the thermal-hydraulic design with little additional labour. The exergy formulation is often preferred for communication, because an efficiency between zero and unity is more readily grasped than a rate of entropy generation, and because it connects the analysis to the broader language of thermodynamic performance. That the two agree is not a coincidence but a consequence of their common foundation in the second law, and a designer may move between them according to the demands of the moment, secure in the knowledge that they point to the same optimal design [53].</w:t>
      </w:r>
    </w:p>
    <w:p>
      <w:pPr>
        <w:pStyle w:val="Normal"/>
      </w:pPr>
      <w:r>
        <w:t xml:space="preserve">The opposing dependence of the two entropy contributions on the design variables is the mathematical engine that produces the optimum, and understanding it guides the direction of design changes. The thermal contribution, arising from heat transfer across a finite temperature difference, is reduced by anything that lowers that temperature difference, which for a fixed duty means anything that raises the heat transfer coefficient or the surface area; increasing the flow rate or the nanoparticle loading, by raising the coefficient, therefore reduces the thermal entropy generation. The frictional contribution, arising from the pressure drop, is increased by anything that raises the pressure drop, which increasing the flow rate or the loading also does. The two contributions thus respond oppositely to the flow rate and to the loading, the one falling and the other rising, and their sum, falling at first as the rapidly decreasing thermal contribution dominates and rising later as the accelerating frictional contribution takes over, passes through a minimum at the operating point where their marginal changes balance. That this minimum exists and is unique under ordinary conditions is what makes entropy-generation minimisation a well-posed design method, and its location is the operating point a rational design should seek [54]. Figure 4.3 shows the thermal, frictional and total entropy-generation rates as functions of the Reynolds number, exhibiting the characteristic minimum in the total that defines the optimal operating point and that shifts as the fluid and geometry are changed. The shifting of the minimum with the fluid and the geometry is itself informative, for it shows that the optimal operating point is not a universal constant but a property of the particular combination of fluid and device, to be located afresh for each case; introducing a nanofluid, by altering the conductivity and the viscosity, moves both the thermal and the frictional curves and hence relocates their summed minimum, generally toward a lower Reynolds number than the base fluid would favour, because the enhanced conductivity reduces the flow rate needed to suppress the thermal irreversibility while the elevated viscosity aggravates the frictional penalty at any given flow rate. The direction and magnitude of the shift depend on the balance between the conductivity gain and the viscosity penalty of the particular nanofluid, and reading it from the entropy-generation curves is among the most direct ways of judging whether a given nanofluid improves upon its base fluid at the optimal operating point rather than merely at some arbitrarily chosen one [54].</w:t>
      </w:r>
    </w:p>
    <w:p>
      <w:pPr>
        <w:pStyle w:val="FigureImage"/>
      </w:pPr>
      <w:r>
        <w:drawing>
          <wp:inline xmlns:wp="http://schemas.openxmlformats.org/drawingml/2006/wordprocessingDrawing" distT="0" distB="0" distL="0" distR="0">
            <wp:extent cx="5486400" cy="3753852"/>
            <wp:docPr id="1012" name="Picture1012"/>
            <a:graphic xmlns:a="http://schemas.openxmlformats.org/drawingml/2006/main">
              <a:graphicData uri="http://schemas.openxmlformats.org/drawingml/2006/picture">
                <pic:pic xmlns:pic="http://schemas.openxmlformats.org/drawingml/2006/picture">
                  <pic:nvPicPr>
                    <pic:cNvPr id="1012" name="Picture1012"/>
                    <pic:cNvPicPr/>
                  </pic:nvPicPr>
                  <pic:blipFill>
                    <a:blip xmlns:r="http://schemas.openxmlformats.org/officeDocument/2006/relationships" r:embed="rId1012"/>
                    <a:stretch>
                      <a:fillRect/>
                    </a:stretch>
                  </pic:blipFill>
                  <pic:spPr>
                    <a:xfrm>
                      <a:off x="0" y="0"/>
                      <a:ext cx="5486400" cy="3753852"/>
                    </a:xfrm>
                    <a:prstGeom prst="rect">
                      <a:avLst/>
                    </a:prstGeom>
                  </pic:spPr>
                </pic:pic>
              </a:graphicData>
            </a:graphic>
          </wp:inline>
        </w:drawing>
      </w:r>
    </w:p>
    <w:p>
      <w:pPr>
        <w:pStyle w:val="FigureCaption"/>
      </w:pPr>
      <w:r>
        <w:t xml:space="preserve">Figure 4.3 Thermal, frictional and total entropy-generation rates as functions of Reynolds number, showing the minimum-entropy operating point.</w:t>
      </w:r>
    </w:p>
    <w:p>
      <w:pPr>
        <w:pStyle w:val="Normal"/>
      </w:pPr>
      <w:r>
        <w:t xml:space="preserve">The entropy-generation minimisation framework brings a valuable discipline to nanofluid design because it forces the pumping penalty and the heat-transfer benefit onto a common thermodynamic footing and identifies the operating point at which their combined irreversibility is least. The Bejan number, defined as the ratio of the thermal entropy generation to the total, expresses which of the two irreversibilities dominates at a given operating point, and it provides a diagnostic that guides the direction of design changes: when the Bejan number is near unity the thermal irreversibility dominates and enhancement is worthwhile, whereas when it is small the frictional irreversibility dominates and further enhancement is counterproductive [54]. These second-law tools, taken together, transform the assessment of a nanofluid from a one-dimensional question about conductivity into a multidimensional optimisation that weighs quality, quantity and irreversibility, and they define objective functions that the machine-learning-assisted optimisation of later chapters can pursue.</w:t>
      </w:r>
    </w:p>
    <w:p>
      <w:pPr>
        <w:pStyle w:val="Normal"/>
      </w:pPr>
      <w:r>
        <w:t xml:space="preserve">The Bejan number deserves a closer look as a design diagnostic, because it converts the abstract balance of irreversibilities into a concrete indication of what to do next. When the Bejan number is close to unity, the thermal irreversibility dominates the total, which means that the exchanger is losing most of its available work to heat transfer across too large a temperature difference; the appropriate response is to enhance the heat transfer, whether by raising the flow rate, increasing the surface, or introducing or increasing the nanoparticle loading, because such enhancement attacks the dominant loss. When the Bejan number is small, the frictional irreversibility dominates, which means the exchanger is losing most of its available work to pumping; the appropriate response is the opposite, to reduce the flow rate or the loading, because further enhancement would only aggravate the dominant loss. The optimum lies where the two losses are comparable and the Bejan number takes an intermediate value, and the direction in which a design should move to approach the optimum is read off from whether its Bejan number is too large or too small. This diagnostic use of the Bejan number gives the designer not merely a figure of merit to be maximised or minimised but a signpost indicating the direction of improvement, and it is especially valuable in the early stages of design when the location of the optimum is not yet known [54].</w:t>
      </w:r>
    </w:p>
    <w:p>
      <w:pPr>
        <w:pStyle w:val="Normal"/>
      </w:pPr>
      <w:r>
        <w:t xml:space="preserve">A caution must accompany the enthusiasm for second-law methods, however, lest they be applied mechanically to the exclusion of judgement. The entropy-generation and exergy analyses locate a thermodynamic optimum, but the thermodynamic optimum is not necessarily the design that should be built, because it takes no account of capital cost, of the practical constraints on stability and erosion discussed in the next section, or of the reliability and maintainability of the equipment. A design at the thermodynamic optimum might require a surface area so large, or a nanofluid so concentrated, that its capital cost or its instability rendered it uneconomic or impractical, and the true design optimum, weighing thermodynamic performance against cost and constraint, generally differs from the thermodynamic optimum considered alone. The second-law analysis is therefore best understood as furnishing one of several objectives in a multi-objective problem, an objective that captures the thermodynamic quality of the design with a rigour that the first law cannot match, but that must be balanced against the economic and practical objectives that the following section brings into view [55].</w:t>
      </w:r>
    </w:p>
    <w:p>
      <w:pPr>
        <w:pStyle w:val="Heading2"/>
      </w:pPr>
      <w:r>
        <w:t xml:space="preserve">4.3 Design Constraints, Trade-Offs, and Performance Indicators</w:t>
      </w:r>
    </w:p>
    <w:p>
      <w:pPr>
        <w:pStyle w:val="Normal"/>
      </w:pPr>
      <w:r>
        <w:t xml:space="preserve">The energy, exergy and entropy analyses of the preceding section identify the thermodynamically optimal design, but thermodynamics is not the whole of engineering, and a design must satisfy a host of practical requirements that lie outside the thermodynamic account altogether. The present section turns from the thermodynamic optimum to the practical constraints that bound the space within which any optimum, thermodynamic or economic, must be sought, and to the indicators by which candidate designs are compared once the constraints are respected. It is in the interplay of these constraints, indicators and objectives that the design problem attains its full complexity, and that the case for the systematic computational methods of the later chapters becomes conclusive.</w:t>
      </w:r>
    </w:p>
    <w:p>
      <w:pPr>
        <w:pStyle w:val="Normal"/>
      </w:pPr>
      <w:r>
        <w:t xml:space="preserve">Every practical design is bounded by constraints, and the constraints that bound a nanofluid heat exchanger are more numerous and more tightly coupled than those of a conventional exchanger. The pressure-drop constraint, which limits the pumping power that may be expended, is the most immediate, because the higher viscosity of a nanofluid raises the pressure drop at a given flow rate and can cause a design that meets the thermal duty to violate the hydraulic limit. The stability constraint, discussed in Chapter 2, limits the concentration and the operating temperature to values at which the suspension remains dispersed over the service life, and it may be more restrictive than the thermodynamic optimum. The erosion constraint, in its turn, limits the velocity to those values at which the particles do not unacceptably abrade the wetted surfaces, and the cost constraint limits the concentration and the choice of particle material to values that the application can economically bear [55]. These constraints interact, so that the feasible design space is a bounded region within the multidimensional space of concentration, flow rate, geometry and material, and the optimal design lies within or on the boundary of that region.</w:t>
      </w:r>
    </w:p>
    <w:p>
      <w:pPr>
        <w:pStyle w:val="Normal"/>
      </w:pPr>
      <w:r>
        <w:t xml:space="preserve">The interaction of the constraints deserves emphasis because it is the feature that most distinguishes nanofluid design from conventional design and that most complicates the search for an optimum. In a conventional exchanger the constraints are relatively few and largely independent: a pressure-drop limit bounds the flow rate, a velocity limit bounds erosion, and the two can be treated more or less separately. In a nanofluid exchanger the constraints are coupled through the shared dependence on concentration, so that tightening one may relax or tighten another in ways that are not obvious. Raising the concentration to improve heat transfer raises the viscosity and hence tightens the pressure-drop constraint; it also raises the propensity to aggregate and hence tightens the stability constraint; and it raises the cost of the fluid and hence tightens the economic constraint. Lowering the velocity to respect the erosion constraint lowers the heat transfer and may push the design toward higher concentration to compensate, re-tightening the stability and cost constraints. The constraints thus form a coupled system, and a change made to satisfy one may violate another, so that the feasible region is not a simple box but an irregular volume whose boundaries bend and interact, and finding the true optimum within it is a genuine constrained optimisation rather than a sequence of independent adjustments [55]. This coupling is one of the clearest respects in which nanofluid design exceeds the reach of hand calculation and rewards the systematic optimisation that computational methods afford.</w:t>
      </w:r>
    </w:p>
    <w:p>
      <w:pPr>
        <w:pStyle w:val="Normal"/>
      </w:pPr>
      <w:r>
        <w:t xml:space="preserve">The stability constraint merits particular attention among the constraints because it is the one most often neglected in academic studies and most often decisive in practice. A design that is optimal by every thermal, hydraulic and thermodynamic criterion is worthless if the working fluid aggregates and settles within weeks of commissioning, and the concentration and temperature at which a nanofluid remains stable over its service life may be well below the values that the thermodynamic optimisation would select. The stability constraint therefore frequently binds before the thermodynamic optimum is reached, so that the best achievable design is not the thermodynamic optimum but the most thermodynamically favourable design that remains stable, a design on the boundary of the stability constraint rather than at the interior thermodynamic optimum. This is a sobering conclusion, because it means that the elaborate thermodynamic optimisation may in the end be overridden by a colloidal-chemical limit, and it underscores the theme, developed throughout the book, that the stability of the suspension is not a secondary concern but a primary determinant of what designs are achievable. The proper treatment of the stability constraint requires the long-term stability data that, as noted in Chapter 2, are among the least frequently reported quantities in the literature, and the scarcity of such data is a real impediment to sound nanofluid design [56].</w:t>
      </w:r>
    </w:p>
    <w:p>
      <w:pPr>
        <w:pStyle w:val="Normal"/>
      </w:pPr>
      <w:r>
        <w:t xml:space="preserve">The erosion constraint, though less often binding than the stability constraint, introduces a consideration absent from single-phase design and deserves mention. The solid particles in a nanofluid, however small, carry momentum, and where the flow impinges on a surface, at bends, at tube inlets and around obstructions, the particles can abrade the surface over time, thinning walls and eventually causing failure. The rate of erosion increases steeply with velocity, so that the erosion constraint takes the form of an upper limit on the flow velocity, and this limit interacts with the heat-transfer and pressure-drop considerations that also depend on velocity. The very hardness that makes some particle materials attractive for their conductivity, such as the oxides and carbides, may make them more erosive, adding yet another dimension to the multi-attribute material selection discussed in earlier chapters. Although the extremely small size of nanoparticles renders their individual erosive effect far smaller than that of the coarse particles that plagued early slurry systems, the effect is not zero, especially at the aggregated clusters that form in an ageing suspension, and a conservative design respects a velocity limit that keeps erosion within acceptable bounds over the service life [57].</w:t>
      </w:r>
    </w:p>
    <w:p>
      <w:pPr>
        <w:pStyle w:val="Normal"/>
      </w:pPr>
      <w:r>
        <w:t xml:space="preserve">The pumping-power penalty deserves particular emphasis because it is the single consideration most likely to negate the apparent benefit of a nanofluid, and because it is frequently understated in studies that compare fluids at equal flow rate or equal Reynolds number rather than at equal pumping power. As established in Chapter 3, a fair comparison holds the pumping power constant and asks whether the nanofluid transfers more heat under that constraint, and the thermal-hydraulic performance factor, exceeding unity for a net benefit, encapsulates the answer. The performance factor depends on the concentration, the flow regime and the geometry in a coupled manner, and it typically exceeds unity at low to moderate concentrations in appropriate regimes and falls below unity at high concentrations, so that its maximisation defines an optimum that coincides broadly with the thermodynamic optimum identified by the exergy and entropy analyses [56]. The frequent understatement of the pumping penalty in the literature is worth dwelling on because it has distorted the perceived value of nanofluids and because avoiding it is within the designer's control. A study that compares a nanofluid with its base fluid at equal Reynolds number, or at equal flow velocity, credits the nanofluid with a heat-transfer enhancement while charging it nothing for the extra pumping work that its higher viscosity demands to reach that Reynolds number or velocity, and the enhancement so reported is therefore illusory in part, an artefact of an unfair comparison rather than a genuine benefit available to an operator. The same fluid compared honestly at equal pumping power, the resource actually constrained in service, frequently shows a far smaller enhancement, and sometimes a penalty. Because the equal-Reynolds-number comparison is easier to arrange experimentally and yields more flattering numbers, it has been widely used, and a large part of the optimistic literature on nanofluids rests upon it; the more demanding equal-pumping-power comparison, though harder and less flattering, is the only one that reflects the operating economics, and a designer who adopts it as the standard will avoid the disappointment that has attended designs based on the easier comparison. The discipline of always comparing at equal pumping power is thus among the most important habits a nanofluid designer can cultivate, and it costs nothing but the willingness to report honest rather than flattering numbers [56].</w:t>
      </w:r>
    </w:p>
    <w:p>
      <w:pPr>
        <w:pStyle w:val="Normal"/>
      </w:pPr>
      <w:r>
        <w:t xml:space="preserve">The consistency of these several optima, arrived at from the first-law performance factor, the exergy efficiency and the entropy-generation minimisation, provides reassurance that a modest, well-chosen concentration is the robustly correct design target across a range of criteria.</w:t>
      </w:r>
    </w:p>
    <w:p>
      <w:pPr>
        <w:pStyle w:val="Normal"/>
      </w:pPr>
      <w:r>
        <w:t xml:space="preserve">The convergence of the several optima, arrived at independently from the first-law performance factor, the exergy efficiency and the entropy-generation minimisation, is a result of some depth that repays reflection, because it is not logically guaranteed and its occurrence tells us something about the structure of the problem. The criteria measure different things: the performance factor measures heat transferred per unit pumping power, the exergy efficiency measures the fraction of supplied work-equivalent energy that is usefully recovered, and the entropy-generation rate measures total irreversibility. That their optima coincide, at least approximately, reflects the fact that all three are governed by the same underlying competition between the heat-transfer benefit and the pumping penalty, and that this single competition dominates the behaviour of all three criteria over the range of practical interest. Where the competition is more even, or where secondary effects intrude, the optima may separate somewhat, and the designer must then decide which criterion best represents the objectives of the particular application. But the broad convergence provides a valuable robustness: a design placed near the common optimum is nearly optimal by several independent measures, and is therefore unlikely to be badly wrong under any reasonable weighting of the objectives, a reassurance that is worth a great deal in the face of the uncertainty that attends nanofluid properties and performance [56].</w:t>
      </w:r>
    </w:p>
    <w:p>
      <w:pPr>
        <w:pStyle w:val="Normal"/>
      </w:pPr>
      <w:r>
        <w:t xml:space="preserve">It should not be inferred from this convergence, however, that the design problem reduces to the selection of a single optimal concentration, for the concentration is only one of the variables the designer controls, and the others, the geometry, the flow rate, the particle material, size and shape, and the base fluid, remain to be chosen, and their optima do not in general coincide so obligingly. The convergence of the concentration optima simplifies one dimension of the problem but leaves the others, and the full design problem remains a genuine multivariable, multi-objective optimisation over a constrained space. The value of the second-law analysis and the performance factor is that they collapse the thermal-hydraulic trade-off, the most important single trade-off, into criteria whose optima largely agree, thereby reducing the effective dimensionality of the problem and providing a firm anchor from which the remaining variables can be explored. This partial simplification is welcome, but it does not eliminate the need for the systematic search over the remaining variables that the computational and data-driven methods of later chapters are designed to perform [57].</w:t>
      </w:r>
    </w:p>
    <w:p>
      <w:pPr>
        <w:pStyle w:val="Normal"/>
      </w:pPr>
      <w:r>
        <w:t xml:space="preserve">The performance indicators by which competing nanofluid designs are compared may be organised into first-law, second-law and economic categories, and a comprehensive assessment employs indicators from all three. The first-law indicators include the heat transfer coefficient, the Nusselt number, the effectiveness and the thermal-hydraulic performance factor, which measure the heat-transfer benefit and, in the case of the performance factor, weigh it against the hydraulic cost. The second-law indicators include the exergy efficiency, the entropy-generation rate and the Bejan number, which measure the thermodynamic quality of the design and locate its irreversibilities. The economic indicators include the capital cost, which scales with the transfer area, the operating cost, which is dominated by the pumping power and hence by the hydraulic penalty, and the cost of the nanofluid itself, which scales with the concentration and the particle material [57]. Table 4.2 organises these indicators and identifies the aspect of performance that each captures, making explicit the multi-objective character of the design problem.</w:t>
      </w:r>
    </w:p>
    <w:p>
      <w:pPr>
        <w:pStyle w:val="Normal"/>
      </w:pPr>
      <w:r>
        <w:t xml:space="preserve">The organisation of the indicators into first-law, second-law and economic categories is more than a taxonomic convenience, for it reflects a hierarchy of concerns that a mature design process addresses in sequence. The first-law indicators answer the primary question of whether the design accomplishes its duty and how much heat it transfers for a given hydraulic cost; they are the indicators of feasibility and of gross performance, and a design that fails them is rejected outright. The second-law indicators answer the deeper question of how well the design uses the quality of the energy it handles and where its irreversibilities lie; they discriminate among designs that all satisfy the first-law requirements, identifying the thermodynamically superior among them and guiding their improvement. The economic indicators answer the ultimate question of whether the design is worth building and operating, weighing the capital cost of the surface against the operating cost of the pumping and the recurring cost of the nanofluid itself; they are the indicators by which the thermodynamically attractive design is finally judged fit or unfit for the application. A comprehensive assessment moves through these categories in order, using the first law to establish feasibility, the second law to optimise thermodynamic quality, and economics to confirm viability, and a design that excels in one category but fails in another is not a good design however impressive its selective merits [57].</w:t>
      </w:r>
    </w:p>
    <w:p>
      <w:pPr>
        <w:pStyle w:val="Normal"/>
      </w:pPr>
      <w:r>
        <w:t xml:space="preserve">The economic indicators deserve particular emphasis in the nanofluid context because they capture a cost that conventional design does not face, namely the cost of the working fluid itself. In a conventional water or glycol system the working fluid is cheap and its cost negligible against the capital and pumping costs, but a nanofluid, especially one containing precious-metal or high-quality carbon particles, may be expensive, and its cost scales with the concentration and with the volume of the system. This fluid cost introduces an economic pressure toward lower concentrations that reinforces the thermodynamic pressure already identified, and it can shift the economic optimum below even the thermodynamic optimum, particularly for expensive particle materials in large systems. The economic assessment must also reckon with the cost of maintaining stability, the cost of replacing degraded fluid over the service life, and the potential cost of the more elaborate equipment that an erosive or unstable fluid may demand, so that the true lifetime economics of a nanofluid system can be considerably less favourable than a comparison of thermal performance alone would suggest. It is a recurring finding of careful techno-economic studies that the thermal advantages of nanofluids, real though they are, translate into economic advantages only under particular and often demanding conditions, and that the economic case for a nanofluid is frequently more marginal than its thermal case, a sobering conclusion that any honest assessment must confront [58].</w:t>
      </w:r>
    </w:p>
    <w:p>
      <w:pPr>
        <w:pStyle w:val="TableCaption"/>
      </w:pPr>
      <w:r>
        <w:rPr>
          <w:b/>
        </w:rPr>
        <w:t xml:space="preserve">Table 4.2</w:t>
      </w:r>
      <w:r>
        <w:t xml:space="preserve"> Performance indicators for nanofluid heat-exchanger design, grouped by category.</w:t>
      </w:r>
    </w:p>
    <w:tbl>
      <w:tblPr>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w="2340" w:type="dxa"/>
            <w:shd w:val="clear" w:color="auto" w:fill="D9E2F3"/>
          </w:tcPr>
          <w:p>
            <w:pPr>
              <w:jc w:val="center"/>
              <w:spacing w:after="20"/>
            </w:pPr>
            <w:r>
              <w:rPr>
                <w:b/>
              </w:rPr>
              <w:t xml:space="preserve">Category</w:t>
            </w:r>
          </w:p>
        </w:tc>
        <w:tc>
          <w:tcPr>
            <w:tcW w:w="2340" w:type="dxa"/>
            <w:shd w:val="clear" w:color="auto" w:fill="D9E2F3"/>
          </w:tcPr>
          <w:p>
            <w:pPr>
              <w:jc w:val="center"/>
              <w:spacing w:after="20"/>
            </w:pPr>
            <w:r>
              <w:rPr>
                <w:b/>
              </w:rPr>
              <w:t xml:space="preserve">Indicator</w:t>
            </w:r>
          </w:p>
        </w:tc>
        <w:tc>
          <w:tcPr>
            <w:tcW w:w="2340" w:type="dxa"/>
            <w:shd w:val="clear" w:color="auto" w:fill="D9E2F3"/>
          </w:tcPr>
          <w:p>
            <w:pPr>
              <w:jc w:val="center"/>
              <w:spacing w:after="20"/>
            </w:pPr>
            <w:r>
              <w:rPr>
                <w:b/>
              </w:rPr>
              <w:t xml:space="preserve">Aspect captured</w:t>
            </w:r>
          </w:p>
        </w:tc>
        <w:tc>
          <w:tcPr>
            <w:tcW w:w="2340" w:type="dxa"/>
            <w:shd w:val="clear" w:color="auto" w:fill="D9E2F3"/>
          </w:tcPr>
          <w:p>
            <w:pPr>
              <w:jc w:val="center"/>
              <w:spacing w:after="20"/>
            </w:pPr>
            <w:r>
              <w:rPr>
                <w:b/>
              </w:rPr>
              <w:t xml:space="preserve">Design use</w:t>
            </w:r>
          </w:p>
        </w:tc>
      </w:tr>
      <w:tr>
        <w:tc>
          <w:tcPr>
            <w:tcW w:w="2340" w:type="dxa"/>
          </w:tcPr>
          <w:p>
            <w:pPr>
              <w:spacing w:after="20"/>
              <w:jc w:val="left"/>
            </w:pPr>
            <w:r>
              <w:t xml:space="preserve">First law</w:t>
            </w:r>
          </w:p>
        </w:tc>
        <w:tc>
          <w:tcPr>
            <w:tcW w:w="2340" w:type="dxa"/>
          </w:tcPr>
          <w:p>
            <w:pPr>
              <w:spacing w:after="20"/>
              <w:jc w:val="left"/>
            </w:pPr>
            <w:r>
              <w:t xml:space="preserve">Heat transfer coefficient / Nu</w:t>
            </w:r>
          </w:p>
        </w:tc>
        <w:tc>
          <w:tcPr>
            <w:tcW w:w="2340" w:type="dxa"/>
          </w:tcPr>
          <w:p>
            <w:pPr>
              <w:spacing w:after="20"/>
              <w:jc w:val="left"/>
            </w:pPr>
            <w:r>
              <w:t xml:space="preserve">Heat-transfer rate</w:t>
            </w:r>
          </w:p>
        </w:tc>
        <w:tc>
          <w:tcPr>
            <w:tcW w:w="2340" w:type="dxa"/>
          </w:tcPr>
          <w:p>
            <w:pPr>
              <w:spacing w:after="20"/>
              <w:jc w:val="left"/>
            </w:pPr>
            <w:r>
              <w:t xml:space="preserve">Sizing</w:t>
            </w:r>
          </w:p>
        </w:tc>
      </w:tr>
      <w:tr>
        <w:tc>
          <w:tcPr>
            <w:tcW w:w="2340" w:type="dxa"/>
          </w:tcPr>
          <w:p>
            <w:pPr>
              <w:spacing w:after="20"/>
              <w:jc w:val="left"/>
            </w:pPr>
            <w:r>
              <w:t xml:space="preserve">First law</w:t>
            </w:r>
          </w:p>
        </w:tc>
        <w:tc>
          <w:tcPr>
            <w:tcW w:w="2340" w:type="dxa"/>
          </w:tcPr>
          <w:p>
            <w:pPr>
              <w:spacing w:after="20"/>
              <w:jc w:val="left"/>
            </w:pPr>
            <w:r>
              <w:t xml:space="preserve">Effectiveness</w:t>
            </w:r>
          </w:p>
        </w:tc>
        <w:tc>
          <w:tcPr>
            <w:tcW w:w="2340" w:type="dxa"/>
          </w:tcPr>
          <w:p>
            <w:pPr>
              <w:spacing w:after="20"/>
              <w:jc w:val="left"/>
            </w:pPr>
            <w:r>
              <w:t xml:space="preserve">Fraction of maximum duty</w:t>
            </w:r>
          </w:p>
        </w:tc>
        <w:tc>
          <w:tcPr>
            <w:tcW w:w="2340" w:type="dxa"/>
          </w:tcPr>
          <w:p>
            <w:pPr>
              <w:spacing w:after="20"/>
              <w:jc w:val="left"/>
            </w:pPr>
            <w:r>
              <w:t xml:space="preserve">Rating</w:t>
            </w:r>
          </w:p>
        </w:tc>
      </w:tr>
      <w:tr>
        <w:tc>
          <w:tcPr>
            <w:tcW w:w="2340" w:type="dxa"/>
          </w:tcPr>
          <w:p>
            <w:pPr>
              <w:spacing w:after="20"/>
              <w:jc w:val="left"/>
            </w:pPr>
            <w:r>
              <w:t xml:space="preserve">First law</w:t>
            </w:r>
          </w:p>
        </w:tc>
        <w:tc>
          <w:tcPr>
            <w:tcW w:w="2340" w:type="dxa"/>
          </w:tcPr>
          <w:p>
            <w:pPr>
              <w:spacing w:after="20"/>
              <w:jc w:val="left"/>
            </w:pPr>
            <w:r>
              <w:t xml:space="preserve">Thermal-hydraulic factor</w:t>
            </w:r>
          </w:p>
        </w:tc>
        <w:tc>
          <w:tcPr>
            <w:tcW w:w="2340" w:type="dxa"/>
          </w:tcPr>
          <w:p>
            <w:pPr>
              <w:spacing w:after="20"/>
              <w:jc w:val="left"/>
            </w:pPr>
            <w:r>
              <w:t xml:space="preserve">Benefit vs pumping cost</w:t>
            </w:r>
          </w:p>
        </w:tc>
        <w:tc>
          <w:tcPr>
            <w:tcW w:w="2340" w:type="dxa"/>
          </w:tcPr>
          <w:p>
            <w:pPr>
              <w:spacing w:after="20"/>
              <w:jc w:val="left"/>
            </w:pPr>
            <w:r>
              <w:t xml:space="preserve">Fluid comparison</w:t>
            </w:r>
          </w:p>
        </w:tc>
      </w:tr>
      <w:tr>
        <w:tc>
          <w:tcPr>
            <w:tcW w:w="2340" w:type="dxa"/>
          </w:tcPr>
          <w:p>
            <w:pPr>
              <w:spacing w:after="20"/>
              <w:jc w:val="left"/>
            </w:pPr>
            <w:r>
              <w:t xml:space="preserve">Second law</w:t>
            </w:r>
          </w:p>
        </w:tc>
        <w:tc>
          <w:tcPr>
            <w:tcW w:w="2340" w:type="dxa"/>
          </w:tcPr>
          <w:p>
            <w:pPr>
              <w:spacing w:after="20"/>
              <w:jc w:val="left"/>
            </w:pPr>
            <w:r>
              <w:t xml:space="preserve">Exergy efficiency</w:t>
            </w:r>
          </w:p>
        </w:tc>
        <w:tc>
          <w:tcPr>
            <w:tcW w:w="2340" w:type="dxa"/>
          </w:tcPr>
          <w:p>
            <w:pPr>
              <w:spacing w:after="20"/>
              <w:jc w:val="left"/>
            </w:pPr>
            <w:r>
              <w:t xml:space="preserve">Energy quality recovered</w:t>
            </w:r>
          </w:p>
        </w:tc>
        <w:tc>
          <w:tcPr>
            <w:tcW w:w="2340" w:type="dxa"/>
          </w:tcPr>
          <w:p>
            <w:pPr>
              <w:spacing w:after="20"/>
              <w:jc w:val="left"/>
            </w:pPr>
            <w:r>
              <w:t xml:space="preserve">Optimisation</w:t>
            </w:r>
          </w:p>
        </w:tc>
      </w:tr>
      <w:tr>
        <w:tc>
          <w:tcPr>
            <w:tcW w:w="2340" w:type="dxa"/>
          </w:tcPr>
          <w:p>
            <w:pPr>
              <w:spacing w:after="20"/>
              <w:jc w:val="left"/>
            </w:pPr>
            <w:r>
              <w:t xml:space="preserve">Second law</w:t>
            </w:r>
          </w:p>
        </w:tc>
        <w:tc>
          <w:tcPr>
            <w:tcW w:w="2340" w:type="dxa"/>
          </w:tcPr>
          <w:p>
            <w:pPr>
              <w:spacing w:after="20"/>
              <w:jc w:val="left"/>
            </w:pPr>
            <w:r>
              <w:t xml:space="preserve">Entropy generation</w:t>
            </w:r>
          </w:p>
        </w:tc>
        <w:tc>
          <w:tcPr>
            <w:tcW w:w="2340" w:type="dxa"/>
          </w:tcPr>
          <w:p>
            <w:pPr>
              <w:spacing w:after="20"/>
              <w:jc w:val="left"/>
            </w:pPr>
            <w:r>
              <w:t xml:space="preserve">Total irreversibility</w:t>
            </w:r>
          </w:p>
        </w:tc>
        <w:tc>
          <w:tcPr>
            <w:tcW w:w="2340" w:type="dxa"/>
          </w:tcPr>
          <w:p>
            <w:pPr>
              <w:spacing w:after="20"/>
              <w:jc w:val="left"/>
            </w:pPr>
            <w:r>
              <w:t xml:space="preserve">Optimisation</w:t>
            </w:r>
          </w:p>
        </w:tc>
      </w:tr>
      <w:tr>
        <w:tc>
          <w:tcPr>
            <w:tcW w:w="2340" w:type="dxa"/>
          </w:tcPr>
          <w:p>
            <w:pPr>
              <w:spacing w:after="20"/>
              <w:jc w:val="left"/>
            </w:pPr>
            <w:r>
              <w:t xml:space="preserve">Second law</w:t>
            </w:r>
          </w:p>
        </w:tc>
        <w:tc>
          <w:tcPr>
            <w:tcW w:w="2340" w:type="dxa"/>
          </w:tcPr>
          <w:p>
            <w:pPr>
              <w:spacing w:after="20"/>
              <w:jc w:val="left"/>
            </w:pPr>
            <w:r>
              <w:t xml:space="preserve">Bejan number</w:t>
            </w:r>
          </w:p>
        </w:tc>
        <w:tc>
          <w:tcPr>
            <w:tcW w:w="2340" w:type="dxa"/>
          </w:tcPr>
          <w:p>
            <w:pPr>
              <w:spacing w:after="20"/>
              <w:jc w:val="left"/>
            </w:pPr>
            <w:r>
              <w:t xml:space="preserve">Thermal vs frictional balance</w:t>
            </w:r>
          </w:p>
        </w:tc>
        <w:tc>
          <w:tcPr>
            <w:tcW w:w="2340" w:type="dxa"/>
          </w:tcPr>
          <w:p>
            <w:pPr>
              <w:spacing w:after="20"/>
              <w:jc w:val="left"/>
            </w:pPr>
            <w:r>
              <w:t xml:space="preserve">Diagnostic</w:t>
            </w:r>
          </w:p>
        </w:tc>
      </w:tr>
      <w:tr>
        <w:tc>
          <w:tcPr>
            <w:tcW w:w="2340" w:type="dxa"/>
          </w:tcPr>
          <w:p>
            <w:pPr>
              <w:spacing w:after="20"/>
              <w:jc w:val="left"/>
            </w:pPr>
            <w:r>
              <w:t xml:space="preserve">Economic</w:t>
            </w:r>
          </w:p>
        </w:tc>
        <w:tc>
          <w:tcPr>
            <w:tcW w:w="2340" w:type="dxa"/>
          </w:tcPr>
          <w:p>
            <w:pPr>
              <w:spacing w:after="20"/>
              <w:jc w:val="left"/>
            </w:pPr>
            <w:r>
              <w:t xml:space="preserve">Capital / operating cost</w:t>
            </w:r>
          </w:p>
        </w:tc>
        <w:tc>
          <w:tcPr>
            <w:tcW w:w="2340" w:type="dxa"/>
          </w:tcPr>
          <w:p>
            <w:pPr>
              <w:spacing w:after="20"/>
              <w:jc w:val="left"/>
            </w:pPr>
            <w:r>
              <w:t xml:space="preserve">Lifetime economics</w:t>
            </w:r>
          </w:p>
        </w:tc>
        <w:tc>
          <w:tcPr>
            <w:tcW w:w="2340" w:type="dxa"/>
          </w:tcPr>
          <w:p>
            <w:pPr>
              <w:spacing w:after="20"/>
              <w:jc w:val="left"/>
            </w:pPr>
            <w:r>
              <w:t xml:space="preserve">Selection</w:t>
            </w:r>
          </w:p>
        </w:tc>
      </w:tr>
    </w:tbl>
    <w:p>
      <w:pPr>
        <w:spacing w:after="120"/>
      </w:pPr>
    </w:p>
    <w:p>
      <w:pPr>
        <w:pStyle w:val="Normal"/>
      </w:pPr>
      <w:r>
        <w:t xml:space="preserve">The multi-objective character of nanofluid heat-exchanger design, evident from the diversity of constraints and indicators, means that there is in general no single design that is best by every measure, but rather a set of designs, each of which is optimal in the sense that no other design improves one objective without worsening another. This set, known as the Pareto front, is the proper object of a rigorous design study, and its determination requires the repeated evaluation of many candidate designs across the feasible space, an undertaking that is expensive when each evaluation involves a full thermal-hydraulic calculation with accurate property models. It is precisely here that the computational and data-driven methods of the following chapters demonstrate their value: computational fluid dynamics can evaluate candidate designs with a fidelity that correlations cannot match, while machine-learning surrogates can approximate the expensive evaluations cheaply enough to permit the many-query optimisation that Pareto-front determination demands [58]. The conventional design framework developed in this chapter thus defines the objectives, the constraints and the indicators of the problem, while the methods of the subsequent chapters provide the computational means to solve it efficiently, and the two are complementary rather than competing.</w:t>
      </w:r>
    </w:p>
    <w:p>
      <w:pPr>
        <w:pStyle w:val="Normal"/>
      </w:pPr>
      <w:r>
        <w:t xml:space="preserve">The notion of the Pareto front deserves elaboration because it reframes the design problem in a way that is both more honest and more useful than the search for a single best design. When several objectives conflict, as the thermal, hydraulic, thermodynamic and economic objectives of a nanofluid exchanger do, there is in general no design that is best on all of them at once, and the demand for such a design is misconceived. What exists instead is a set of designs each of which is efficient, in the sense that any change that improves one objective necessarily worsens another; these are the non-dominated designs, and they form the Pareto front. A design not on the front is dominated, meaning some other design is at least as good on every objective and strictly better on one, and such a design can be improved unambiguously and should be rejected. A design on the front cannot be improved on one objective without sacrifice on another, and the choice among the designs on the front is not a matter of optimisation but of preference, of how the decision-maker weighs the competing objectives against one another. The proper output of a rigorous design study is therefore not a single design but the Pareto front, presented to the decision-maker so that the trade-offs are explicit and the final choice is made with full knowledge of what each objective costs in terms of the others [58].</w:t>
      </w:r>
    </w:p>
    <w:p>
      <w:pPr>
        <w:pStyle w:val="Normal"/>
      </w:pPr>
      <w:r>
        <w:t xml:space="preserve">The determination of the Pareto front is computationally demanding, for it requires the evaluation of many candidate designs distributed across the feasible space, and the retention of the non-dominated ones, and when each evaluation entails a full thermal-hydraulic calculation with accurate concentration- and temperature-dependent property models, the total cost of mapping the front can be prohibitive by conventional means. This is the precise point at which the machine-learning surrogates of the later chapters earn their place, for a surrogate trained on a limited set of expensive evaluations can approximate the objectives across the whole space at negligible cost per evaluation, permitting the many thousands of evaluations that a thorough exploration of the Pareto front requires. The surrogate does not replace the accurate but expensive model; it interpolates it, standing in for it during the many-query optimisation and being validated against it at the designs of interest. The conventional design framework of this chapter defines the objectives and constraints, the accurate models of the intervening chapters supply the expensive evaluations, and the machine-learning surrogates make the many-query optimisation tractable, the three combining into a design methodology far more powerful than any one of them alone [58]. The engineer who understands the thermodynamic structure of the design problem is best placed to formulate the machine-learning problem that will accelerate its solution, and to judge whether the solution that emerges is physically and economically sound.</w:t>
      </w:r>
    </w:p>
    <w:p>
      <w:r>
        <w:br w:type="page"/>
      </w:r>
    </w:p>
    <w:p>
      <w:pPr>
        <w:pStyle w:val="Title"/>
      </w:pPr>
      <w:r>
        <w:t xml:space="preserve">Chapter 5. Computational Fluid Dynamics for Heat Exchanger Analysis</w:t>
      </w:r>
    </w:p>
    <w:p>
      <w:pPr>
        <w:pStyle w:val="Heading1"/>
      </w:pPr>
      <w:r>
        <w:t xml:space="preserve">Abstract</w:t>
      </w:r>
    </w:p>
    <w:p>
      <w:pPr>
        <w:pStyle w:val="Normal"/>
      </w:pPr>
      <w:r>
        <w:t xml:space="preserve">Computational fluid dynamics has become an indispensable tool in the analysis and design of heat exchangers because it resolves the velocity, pressure and temperature fields throughout a device with a spatial and temporal detail that empirical correlations cannot provide, and because it can incorporate the geometric complexity and the two-phase transport mechanisms that make nanofluid flows so difficult to predict by classical means. This chapter presents the foundations of computational fluid dynamics as applied to heat-exchanger and nanofluid analysis. It begins with the governing conservation equations of mass, momentum and energy and the closure models required to render the turbulent forms of those equations solvable, surveying the eddy-viscosity and Reynolds-stress families of turbulence model and the circumstances in which each is appropriate. It then addresses the modelling of nanofluid flow and heat transfer, contrasting the single-phase homogeneous approach, in which the suspension is treated as an effective fluid with concentration-dependent properties, with the several two-phase approaches that resolve, to varying degrees, the relative motion of the particles and the liquid. Finally, it examines the numerical practices on which the credibility of any computational result depends, namely mesh generation and the demonstration of mesh independence, the specification of physically appropriate boundary conditions, and the validation of the computational model against experimental or analytical benchmarks. The chapter emphasises throughout that a computational result is only as trustworthy as the modelling choices and numerical practices that produced it, and it prepares the reader to appreciate both the power of computational fluid dynamics as a source of high-fidelity data and its role as a generator of the datasets on which the machine-learning models of later chapters are trained.</w:t>
      </w:r>
    </w:p>
    <w:p>
      <w:pPr>
        <w:pStyle w:val="Heading2"/>
      </w:pPr>
      <w:r>
        <w:t xml:space="preserve">5.1 Governing Equations and Computational Models</w:t>
      </w:r>
    </w:p>
    <w:p>
      <w:pPr>
        <w:pStyle w:val="Normal"/>
      </w:pPr>
      <w:r>
        <w:t xml:space="preserve">The motion of a fluid and the transport of thermal energy within it are governed by the conservation of mass, momentum and energy, expressed as a coupled set of partial differential equations that, for a Newtonian fluid, constitute the Navier–Stokes equations together with the energy equation. The continuity equation expresses the conservation of mass and, for an incompressible flow, reduces to the requirement that the velocity field be divergence-free. The momentum equations express Newton's second law for a fluid element and balance the local acceleration and the convective transport of momentum against the pressure gradient, the viscous stresses and any body forces such as gravity and buoyancy. The energy equation expresses the conservation of thermal energy and balances the local rate of change and the convective transport of energy against conduction, described by Fourier's law, and any volumetric sources [59]. These equations, closed by an equation of state and by constitutive relations for the fluid properties, in principle describe the flow and heat transfer in a heat exchanger completely, and their numerical solution is the object of computational fluid dynamics. Table 5.1 sets out the governing equations and the physical principle each expresses.</w:t>
      </w:r>
    </w:p>
    <w:p>
      <w:pPr>
        <w:pStyle w:val="Normal"/>
      </w:pPr>
      <w:r>
        <w:t xml:space="preserve">It is worth dwelling on the mathematical character of this system, because the numerical difficulties that attend its solution are direct consequences of that character. The convective terms in the momentum and energy equations are nonlinear, since the transported quantity is carried by the very velocity field that the momentum equations determine, and this nonlinearity is the mathematical seat of turbulence and the reason that closed-form solutions exist only for a handful of idealised laminar cases. The pressure, meanwhile, does not possess its own evolution equation in an incompressible flow; it appears in the momentum equations only through its gradient and functions as a Lagrange multiplier that enforces the divergence-free constraint on the velocity, so that the pressure field must be found indirectly by requiring that the velocity it produces satisfy continuity. This peculiar role of the pressure is what gives the incompressible equations their characteristic elliptic-parabolic structure and what motivates the pressure-correction algorithms, such as the family of segregated solvers that alternate between provisional velocity solutions and pressure corrections, that dominate incompressible heat-exchanger computation [59]. An appreciation of these structural features is not a mathematical nicety but a practical necessity, because the convergence behaviour, the stability limits and the sensitivity to boundary specification that a practitioner encounters in a real computation are all rooted in them.</w:t>
      </w:r>
    </w:p>
    <w:p>
      <w:pPr>
        <w:pStyle w:val="Normal"/>
      </w:pPr>
      <w:r>
        <w:t xml:space="preserve">The coupling between the momentum and energy equations deserves particular attention in heat-exchanger analysis, because it determines whether the flow and thermal fields must be solved simultaneously or may be solved in sequence. When the fluid properties are treated as constant and buoyancy is neglected, the velocity field is independent of the temperature field, and the momentum equations may be solved first and the energy equation solved afterwards on the converged flow, a one-way coupling that economises greatly on computation. When the properties vary appreciably with temperature, as they do for many nanofluids whose viscosity in particular is strongly temperature-dependent, or when buoyancy forces arising from density differences drive or modify the flow, the coupling becomes two-way and the fields must be solved together in an iterative loop, at substantially greater cost and with greater risk of convergence difficulty [60]. The judgement of when the simpler one-way treatment is admissible and when the fuller two-way coupling is required is one of the modelling decisions that most affects both the cost and the fidelity of a heat-exchanger computation, and it should be made deliberately rather than by default.</w:t>
      </w:r>
    </w:p>
    <w:p>
      <w:pPr>
        <w:pStyle w:val="TableCaption"/>
      </w:pPr>
      <w:r>
        <w:rPr>
          <w:b/>
        </w:rPr>
        <w:t xml:space="preserve">Table 5.1</w:t>
      </w:r>
      <w:r>
        <w:t xml:space="preserve"> Governing conservation equations of computational fluid dynamics.</w:t>
      </w:r>
    </w:p>
    <w:tbl>
      <w:tblPr>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w="2340" w:type="dxa"/>
            <w:shd w:val="clear" w:color="auto" w:fill="D9E2F3"/>
          </w:tcPr>
          <w:p>
            <w:pPr>
              <w:jc w:val="center"/>
              <w:spacing w:after="20"/>
            </w:pPr>
            <w:r>
              <w:rPr>
                <w:b/>
              </w:rPr>
              <w:t xml:space="preserve">Equation</w:t>
            </w:r>
          </w:p>
        </w:tc>
        <w:tc>
          <w:tcPr>
            <w:tcW w:w="2340" w:type="dxa"/>
            <w:shd w:val="clear" w:color="auto" w:fill="D9E2F3"/>
          </w:tcPr>
          <w:p>
            <w:pPr>
              <w:jc w:val="center"/>
              <w:spacing w:after="20"/>
            </w:pPr>
            <w:r>
              <w:rPr>
                <w:b/>
              </w:rPr>
              <w:t xml:space="preserve">Physical principle</w:t>
            </w:r>
          </w:p>
        </w:tc>
        <w:tc>
          <w:tcPr>
            <w:tcW w:w="2340" w:type="dxa"/>
            <w:shd w:val="clear" w:color="auto" w:fill="D9E2F3"/>
          </w:tcPr>
          <w:p>
            <w:pPr>
              <w:jc w:val="center"/>
              <w:spacing w:after="20"/>
            </w:pPr>
            <w:r>
              <w:rPr>
                <w:b/>
              </w:rPr>
              <w:t xml:space="preserve">Balances</w:t>
            </w:r>
          </w:p>
        </w:tc>
        <w:tc>
          <w:tcPr>
            <w:tcW w:w="2340" w:type="dxa"/>
            <w:shd w:val="clear" w:color="auto" w:fill="D9E2F3"/>
          </w:tcPr>
          <w:p>
            <w:pPr>
              <w:jc w:val="center"/>
              <w:spacing w:after="20"/>
            </w:pPr>
            <w:r>
              <w:rPr>
                <w:b/>
              </w:rPr>
              <w:t xml:space="preserve">Key closure</w:t>
            </w:r>
          </w:p>
        </w:tc>
      </w:tr>
      <w:tr>
        <w:tc>
          <w:tcPr>
            <w:tcW w:w="2340" w:type="dxa"/>
          </w:tcPr>
          <w:p>
            <w:pPr>
              <w:spacing w:after="20"/>
              <w:jc w:val="left"/>
            </w:pPr>
            <w:r>
              <w:t xml:space="preserve">Continuity</w:t>
            </w:r>
          </w:p>
        </w:tc>
        <w:tc>
          <w:tcPr>
            <w:tcW w:w="2340" w:type="dxa"/>
          </w:tcPr>
          <w:p>
            <w:pPr>
              <w:spacing w:after="20"/>
              <w:jc w:val="left"/>
            </w:pPr>
            <w:r>
              <w:t xml:space="preserve">Conservation of mass</w:t>
            </w:r>
          </w:p>
        </w:tc>
        <w:tc>
          <w:tcPr>
            <w:tcW w:w="2340" w:type="dxa"/>
          </w:tcPr>
          <w:p>
            <w:pPr>
              <w:spacing w:after="20"/>
              <w:jc w:val="left"/>
            </w:pPr>
            <w:r>
              <w:t xml:space="preserve">Accumulation vs net flux</w:t>
            </w:r>
          </w:p>
        </w:tc>
        <w:tc>
          <w:tcPr>
            <w:tcW w:w="2340" w:type="dxa"/>
          </w:tcPr>
          <w:p>
            <w:pPr>
              <w:spacing w:after="20"/>
              <w:jc w:val="left"/>
            </w:pPr>
            <w:r>
              <w:t xml:space="preserve">Incompressibility</w:t>
            </w:r>
          </w:p>
        </w:tc>
      </w:tr>
      <w:tr>
        <w:tc>
          <w:tcPr>
            <w:tcW w:w="2340" w:type="dxa"/>
          </w:tcPr>
          <w:p>
            <w:pPr>
              <w:spacing w:after="20"/>
              <w:jc w:val="left"/>
            </w:pPr>
            <w:r>
              <w:t xml:space="preserve">Momentum (Navier–Stokes)</w:t>
            </w:r>
          </w:p>
        </w:tc>
        <w:tc>
          <w:tcPr>
            <w:tcW w:w="2340" w:type="dxa"/>
          </w:tcPr>
          <w:p>
            <w:pPr>
              <w:spacing w:after="20"/>
              <w:jc w:val="left"/>
            </w:pPr>
            <w:r>
              <w:t xml:space="preserve">Newton's second law</w:t>
            </w:r>
          </w:p>
        </w:tc>
        <w:tc>
          <w:tcPr>
            <w:tcW w:w="2340" w:type="dxa"/>
          </w:tcPr>
          <w:p>
            <w:pPr>
              <w:spacing w:after="20"/>
              <w:jc w:val="left"/>
            </w:pPr>
            <w:r>
              <w:t xml:space="preserve">Inertia vs pressure, viscous, body forces</w:t>
            </w:r>
          </w:p>
        </w:tc>
        <w:tc>
          <w:tcPr>
            <w:tcW w:w="2340" w:type="dxa"/>
          </w:tcPr>
          <w:p>
            <w:pPr>
              <w:spacing w:after="20"/>
              <w:jc w:val="left"/>
            </w:pPr>
            <w:r>
              <w:t xml:space="preserve">Viscous stress model</w:t>
            </w:r>
          </w:p>
        </w:tc>
      </w:tr>
      <w:tr>
        <w:tc>
          <w:tcPr>
            <w:tcW w:w="2340" w:type="dxa"/>
          </w:tcPr>
          <w:p>
            <w:pPr>
              <w:spacing w:after="20"/>
              <w:jc w:val="left"/>
            </w:pPr>
            <w:r>
              <w:t xml:space="preserve">Energy</w:t>
            </w:r>
          </w:p>
        </w:tc>
        <w:tc>
          <w:tcPr>
            <w:tcW w:w="2340" w:type="dxa"/>
          </w:tcPr>
          <w:p>
            <w:pPr>
              <w:spacing w:after="20"/>
              <w:jc w:val="left"/>
            </w:pPr>
            <w:r>
              <w:t xml:space="preserve">Conservation of energy</w:t>
            </w:r>
          </w:p>
        </w:tc>
        <w:tc>
          <w:tcPr>
            <w:tcW w:w="2340" w:type="dxa"/>
          </w:tcPr>
          <w:p>
            <w:pPr>
              <w:spacing w:after="20"/>
              <w:jc w:val="left"/>
            </w:pPr>
            <w:r>
              <w:t xml:space="preserve">Enthalpy transport vs conduction, sources</w:t>
            </w:r>
          </w:p>
        </w:tc>
        <w:tc>
          <w:tcPr>
            <w:tcW w:w="2340" w:type="dxa"/>
          </w:tcPr>
          <w:p>
            <w:pPr>
              <w:spacing w:after="20"/>
              <w:jc w:val="left"/>
            </w:pPr>
            <w:r>
              <w:t xml:space="preserve">Fourier conduction</w:t>
            </w:r>
          </w:p>
        </w:tc>
      </w:tr>
      <w:tr>
        <w:tc>
          <w:tcPr>
            <w:tcW w:w="2340" w:type="dxa"/>
          </w:tcPr>
          <w:p>
            <w:pPr>
              <w:spacing w:after="20"/>
              <w:jc w:val="left"/>
            </w:pPr>
            <w:r>
              <w:t xml:space="preserve">Turbulence closure</w:t>
            </w:r>
          </w:p>
        </w:tc>
        <w:tc>
          <w:tcPr>
            <w:tcW w:w="2340" w:type="dxa"/>
          </w:tcPr>
          <w:p>
            <w:pPr>
              <w:spacing w:after="20"/>
              <w:jc w:val="left"/>
            </w:pPr>
            <w:r>
              <w:t xml:space="preserve">Statistical modelling</w:t>
            </w:r>
          </w:p>
        </w:tc>
        <w:tc>
          <w:tcPr>
            <w:tcW w:w="2340" w:type="dxa"/>
          </w:tcPr>
          <w:p>
            <w:pPr>
              <w:spacing w:after="20"/>
              <w:jc w:val="left"/>
            </w:pPr>
            <w:r>
              <w:t xml:space="preserve">Reynolds stresses</w:t>
            </w:r>
          </w:p>
        </w:tc>
        <w:tc>
          <w:tcPr>
            <w:tcW w:w="2340" w:type="dxa"/>
          </w:tcPr>
          <w:p>
            <w:pPr>
              <w:spacing w:after="20"/>
              <w:jc w:val="left"/>
            </w:pPr>
            <w:r>
              <w:t xml:space="preserve">Eddy viscosity / RSM</w:t>
            </w:r>
          </w:p>
        </w:tc>
      </w:tr>
      <w:tr>
        <w:tc>
          <w:tcPr>
            <w:tcW w:w="2340" w:type="dxa"/>
          </w:tcPr>
          <w:p>
            <w:pPr>
              <w:spacing w:after="20"/>
              <w:jc w:val="left"/>
            </w:pPr>
            <w:r>
              <w:t xml:space="preserve">Species / phase</w:t>
            </w:r>
          </w:p>
        </w:tc>
        <w:tc>
          <w:tcPr>
            <w:tcW w:w="2340" w:type="dxa"/>
          </w:tcPr>
          <w:p>
            <w:pPr>
              <w:spacing w:after="20"/>
              <w:jc w:val="left"/>
            </w:pPr>
            <w:r>
              <w:t xml:space="preserve">Conservation of particle phase</w:t>
            </w:r>
          </w:p>
        </w:tc>
        <w:tc>
          <w:tcPr>
            <w:tcW w:w="2340" w:type="dxa"/>
          </w:tcPr>
          <w:p>
            <w:pPr>
              <w:spacing w:after="20"/>
              <w:jc w:val="left"/>
            </w:pPr>
            <w:r>
              <w:t xml:space="preserve">Particle transport</w:t>
            </w:r>
          </w:p>
        </w:tc>
        <w:tc>
          <w:tcPr>
            <w:tcW w:w="2340" w:type="dxa"/>
          </w:tcPr>
          <w:p>
            <w:pPr>
              <w:spacing w:after="20"/>
              <w:jc w:val="left"/>
            </w:pPr>
            <w:r>
              <w:t xml:space="preserve">Drift / interphase force</w:t>
            </w:r>
          </w:p>
        </w:tc>
      </w:tr>
    </w:tbl>
    <w:p>
      <w:pPr>
        <w:spacing w:after="120"/>
      </w:pPr>
    </w:p>
    <w:p>
      <w:pPr>
        <w:pStyle w:val="Normal"/>
      </w:pPr>
      <w:r>
        <w:t xml:space="preserve">The direct numerical solution of these equations for the turbulent flows typical of industrial heat exchangers is, for the foreseeable future, computationally infeasible, because turbulence spans a range of length and time scales so wide that resolving all of them would require prohibitively fine meshes and short time steps. Practical computation therefore relies on averaging or filtering the governing equations to remove the smallest scales and on introducing closure models to represent their effect on the resolved scales. The Reynolds-averaged approach, which is by far the most common in heat-exchanger analysis, decomposes each quantity into a mean and a fluctuating part, averages the equations, and thereby introduces the Reynolds stresses, additional unknown correlations of the velocity fluctuations that must be modelled to close the system [60]. The modelling of the Reynolds stresses is the central problem of turbulence closure, and the choice of closure model is one of the most consequential decisions in a computational study, because different models can yield materially different predictions of the heat transfer and pressure drop, particularly in the complex geometries and adverse pressure gradients that heat exchangers present.</w:t>
      </w:r>
    </w:p>
    <w:p>
      <w:pPr>
        <w:pStyle w:val="Normal"/>
      </w:pPr>
      <w:r>
        <w:t xml:space="preserve">The conceptual difficulty at the heart of turbulence closure merits a fuller verbal explanation, because it is often obscured by the machinery of the equations. When the instantaneous equations are averaged, the average of the product of two fluctuating velocities does not vanish even though the average of each fluctuation individually does, and these surviving averaged products, the Reynolds stresses, represent the transport of mean momentum by the turbulent fluctuations. They are genuinely new unknowns for which the averaging procedure supplies no additional equations, so that the averaged system has more unknowns than equations, a deficiency known as the closure problem. Every turbulence model is, at bottom, a proposal for how to express these unknown correlations in terms of quantities that the averaged equations already contain, and because no such proposal can be exact for all flows, every turbulence model embodies a compromise calibrated against a particular class of flows. This is why a model that performs admirably for an attached boundary layer may fail for a separated or swirling flow, and why the reported success of a model in one study offers no guarantee of its success in another whose flow physics differ [61]. The practitioner who understands closure in these terms is guarded against the common error of regarding any turbulence model as a universal truth rather than as a fit-for-purpose approximation.</w:t>
      </w:r>
    </w:p>
    <w:p>
      <w:pPr>
        <w:pStyle w:val="Normal"/>
      </w:pPr>
      <w:r>
        <w:t xml:space="preserve">The eddy-viscosity hypothesis that underlies the most widely used models rests on an analogy that, while powerful, has definite limits that the practitioner must appreciate. The hypothesis supposes that the turbulent transport of momentum can be represented, like the molecular transport, as proportional to the mean rate of strain, with the constant of proportionality being a turbulent viscosity that, unlike the molecular viscosity, is a property of the flow rather than of the fluid. This analogy is serviceable where the turbulence is close to a local equilibrium and its structure is not strongly anisotropic, which describes much of the flow in a plain tube or a simple duct, but it breaks down where the turbulence is far from equilibrium or strongly anisotropic, as near a sharp bend, in a strongly swirling flow, or in the wake behind a tube or baffle. In these regions the assumption that a single scalar viscosity can represent the directional character of the turbulent stresses is simply false, and predictions of local heat transfer there should be regarded with corresponding caution [60]. The turbulent Prandtl number, which relates the turbulent transport of heat to the turbulent transport of momentum and is commonly assigned a constant value close to unity, embodies a further analogy of the same kind, and its constancy is likewise an approximation that fails where the thermal and momentum fields are dissimilar, an important caveat for heat-transfer prediction specifically.</w:t>
      </w:r>
    </w:p>
    <w:p>
      <w:pPr>
        <w:pStyle w:val="Normal"/>
      </w:pPr>
      <w:r>
        <w:t xml:space="preserve">The eddy-viscosity family of turbulence models, which represents the Reynolds stresses through an analogy with the molecular viscous stresses using a turbulent or eddy viscosity, is the most widely used because of its robustness and modest computational cost. Within this family, the two-equation models, which solve transport equations for two turbulence quantities from which the eddy viscosity is constructed, are the workhorses of engineering computation. The model based on the turbulent kinetic energy and its dissipation rate is well suited to fully turbulent flows away from walls and is widely used for the bulk of a heat-exchanger flow, but it requires wall functions or damping to represent the near-wall region correctly. The model based on the turbulent kinetic energy and the specific dissipation rate performs better in the near-wall region and in flows with adverse pressure gradients and separation, and blended formulations combine the near-wall accuracy of the latter with the free-stream robustness of the former [61]. Table 5.2 compares the principal turbulence-closure approaches and identifies the situations for which each is appropriate.</w:t>
      </w:r>
    </w:p>
    <w:p>
      <w:pPr>
        <w:pStyle w:val="TableCaption"/>
      </w:pPr>
      <w:r>
        <w:rPr>
          <w:b/>
        </w:rPr>
        <w:t xml:space="preserve">Table 5.2</w:t>
      </w:r>
      <w:r>
        <w:t xml:space="preserve"> Turbulence-closure approaches used in heat-exchanger computation.</w:t>
      </w:r>
    </w:p>
    <w:tbl>
      <w:tblPr>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w="2340" w:type="dxa"/>
            <w:shd w:val="clear" w:color="auto" w:fill="D9E2F3"/>
          </w:tcPr>
          <w:p>
            <w:pPr>
              <w:jc w:val="center"/>
              <w:spacing w:after="20"/>
            </w:pPr>
            <w:r>
              <w:rPr>
                <w:b/>
              </w:rPr>
              <w:t xml:space="preserve">Approach</w:t>
            </w:r>
          </w:p>
        </w:tc>
        <w:tc>
          <w:tcPr>
            <w:tcW w:w="2340" w:type="dxa"/>
            <w:shd w:val="clear" w:color="auto" w:fill="D9E2F3"/>
          </w:tcPr>
          <w:p>
            <w:pPr>
              <w:jc w:val="center"/>
              <w:spacing w:after="20"/>
            </w:pPr>
            <w:r>
              <w:rPr>
                <w:b/>
              </w:rPr>
              <w:t xml:space="preserve">Representative model</w:t>
            </w:r>
          </w:p>
        </w:tc>
        <w:tc>
          <w:tcPr>
            <w:tcW w:w="2340" w:type="dxa"/>
            <w:shd w:val="clear" w:color="auto" w:fill="D9E2F3"/>
          </w:tcPr>
          <w:p>
            <w:pPr>
              <w:jc w:val="center"/>
              <w:spacing w:after="20"/>
            </w:pPr>
            <w:r>
              <w:rPr>
                <w:b/>
              </w:rPr>
              <w:t xml:space="preserve">Strength</w:t>
            </w:r>
          </w:p>
        </w:tc>
        <w:tc>
          <w:tcPr>
            <w:tcW w:w="2340" w:type="dxa"/>
            <w:shd w:val="clear" w:color="auto" w:fill="D9E2F3"/>
          </w:tcPr>
          <w:p>
            <w:pPr>
              <w:jc w:val="center"/>
              <w:spacing w:after="20"/>
            </w:pPr>
            <w:r>
              <w:rPr>
                <w:b/>
              </w:rPr>
              <w:t xml:space="preserve">Weakness</w:t>
            </w:r>
          </w:p>
        </w:tc>
      </w:tr>
      <w:tr>
        <w:tc>
          <w:tcPr>
            <w:tcW w:w="2340" w:type="dxa"/>
          </w:tcPr>
          <w:p>
            <w:pPr>
              <w:spacing w:after="20"/>
              <w:jc w:val="left"/>
            </w:pPr>
            <w:r>
              <w:t xml:space="preserve">Eddy viscosity, two-equation</w:t>
            </w:r>
          </w:p>
        </w:tc>
        <w:tc>
          <w:tcPr>
            <w:tcW w:w="2340" w:type="dxa"/>
          </w:tcPr>
          <w:p>
            <w:pPr>
              <w:spacing w:after="20"/>
              <w:jc w:val="left"/>
            </w:pPr>
            <w:r>
              <w:t xml:space="preserve">k–epsilon</w:t>
            </w:r>
          </w:p>
        </w:tc>
        <w:tc>
          <w:tcPr>
            <w:tcW w:w="2340" w:type="dxa"/>
          </w:tcPr>
          <w:p>
            <w:pPr>
              <w:spacing w:after="20"/>
              <w:jc w:val="left"/>
            </w:pPr>
            <w:r>
              <w:t xml:space="preserve">Robust, cheap, good free-stream</w:t>
            </w:r>
          </w:p>
        </w:tc>
        <w:tc>
          <w:tcPr>
            <w:tcW w:w="2340" w:type="dxa"/>
          </w:tcPr>
          <w:p>
            <w:pPr>
              <w:spacing w:after="20"/>
              <w:jc w:val="left"/>
            </w:pPr>
            <w:r>
              <w:t xml:space="preserve">Poor near wall without functions</w:t>
            </w:r>
          </w:p>
        </w:tc>
      </w:tr>
      <w:tr>
        <w:tc>
          <w:tcPr>
            <w:tcW w:w="2340" w:type="dxa"/>
          </w:tcPr>
          <w:p>
            <w:pPr>
              <w:spacing w:after="20"/>
              <w:jc w:val="left"/>
            </w:pPr>
            <w:r>
              <w:t xml:space="preserve">Eddy viscosity, two-equation</w:t>
            </w:r>
          </w:p>
        </w:tc>
        <w:tc>
          <w:tcPr>
            <w:tcW w:w="2340" w:type="dxa"/>
          </w:tcPr>
          <w:p>
            <w:pPr>
              <w:spacing w:after="20"/>
              <w:jc w:val="left"/>
            </w:pPr>
            <w:r>
              <w:t xml:space="preserve">k–omega / SST</w:t>
            </w:r>
          </w:p>
        </w:tc>
        <w:tc>
          <w:tcPr>
            <w:tcW w:w="2340" w:type="dxa"/>
          </w:tcPr>
          <w:p>
            <w:pPr>
              <w:spacing w:after="20"/>
              <w:jc w:val="left"/>
            </w:pPr>
            <w:r>
              <w:t xml:space="preserve">Good near wall, separation</w:t>
            </w:r>
          </w:p>
        </w:tc>
        <w:tc>
          <w:tcPr>
            <w:tcW w:w="2340" w:type="dxa"/>
          </w:tcPr>
          <w:p>
            <w:pPr>
              <w:spacing w:after="20"/>
              <w:jc w:val="left"/>
            </w:pPr>
            <w:r>
              <w:t xml:space="preserve">More sensitive to inlet values</w:t>
            </w:r>
          </w:p>
        </w:tc>
      </w:tr>
      <w:tr>
        <w:tc>
          <w:tcPr>
            <w:tcW w:w="2340" w:type="dxa"/>
          </w:tcPr>
          <w:p>
            <w:pPr>
              <w:spacing w:after="20"/>
              <w:jc w:val="left"/>
            </w:pPr>
            <w:r>
              <w:t xml:space="preserve">Reynolds-stress model</w:t>
            </w:r>
          </w:p>
        </w:tc>
        <w:tc>
          <w:tcPr>
            <w:tcW w:w="2340" w:type="dxa"/>
          </w:tcPr>
          <w:p>
            <w:pPr>
              <w:spacing w:after="20"/>
              <w:jc w:val="left"/>
            </w:pPr>
            <w:r>
              <w:t xml:space="preserve">RSM</w:t>
            </w:r>
          </w:p>
        </w:tc>
        <w:tc>
          <w:tcPr>
            <w:tcW w:w="2340" w:type="dxa"/>
          </w:tcPr>
          <w:p>
            <w:pPr>
              <w:spacing w:after="20"/>
              <w:jc w:val="left"/>
            </w:pPr>
            <w:r>
              <w:t xml:space="preserve">Anisotropy, swirl</w:t>
            </w:r>
          </w:p>
        </w:tc>
        <w:tc>
          <w:tcPr>
            <w:tcW w:w="2340" w:type="dxa"/>
          </w:tcPr>
          <w:p>
            <w:pPr>
              <w:spacing w:after="20"/>
              <w:jc w:val="left"/>
            </w:pPr>
            <w:r>
              <w:t xml:space="preserve">Costly, less robust</w:t>
            </w:r>
          </w:p>
        </w:tc>
      </w:tr>
      <w:tr>
        <w:tc>
          <w:tcPr>
            <w:tcW w:w="2340" w:type="dxa"/>
          </w:tcPr>
          <w:p>
            <w:pPr>
              <w:spacing w:after="20"/>
              <w:jc w:val="left"/>
            </w:pPr>
            <w:r>
              <w:t xml:space="preserve">Large-eddy simulation</w:t>
            </w:r>
          </w:p>
        </w:tc>
        <w:tc>
          <w:tcPr>
            <w:tcW w:w="2340" w:type="dxa"/>
          </w:tcPr>
          <w:p>
            <w:pPr>
              <w:spacing w:after="20"/>
              <w:jc w:val="left"/>
            </w:pPr>
            <w:r>
              <w:t xml:space="preserve">LES</w:t>
            </w:r>
          </w:p>
        </w:tc>
        <w:tc>
          <w:tcPr>
            <w:tcW w:w="2340" w:type="dxa"/>
          </w:tcPr>
          <w:p>
            <w:pPr>
              <w:spacing w:after="20"/>
              <w:jc w:val="left"/>
            </w:pPr>
            <w:r>
              <w:t xml:space="preserve">Resolves large eddies</w:t>
            </w:r>
          </w:p>
        </w:tc>
        <w:tc>
          <w:tcPr>
            <w:tcW w:w="2340" w:type="dxa"/>
          </w:tcPr>
          <w:p>
            <w:pPr>
              <w:spacing w:after="20"/>
              <w:jc w:val="left"/>
            </w:pPr>
            <w:r>
              <w:t xml:space="preserve">Very costly, fine mesh</w:t>
            </w:r>
          </w:p>
        </w:tc>
      </w:tr>
      <w:tr>
        <w:tc>
          <w:tcPr>
            <w:tcW w:w="2340" w:type="dxa"/>
          </w:tcPr>
          <w:p>
            <w:pPr>
              <w:spacing w:after="20"/>
              <w:jc w:val="left"/>
            </w:pPr>
            <w:r>
              <w:t xml:space="preserve">Hybrid</w:t>
            </w:r>
          </w:p>
        </w:tc>
        <w:tc>
          <w:tcPr>
            <w:tcW w:w="2340" w:type="dxa"/>
          </w:tcPr>
          <w:p>
            <w:pPr>
              <w:spacing w:after="20"/>
              <w:jc w:val="left"/>
            </w:pPr>
            <w:r>
              <w:t xml:space="preserve">DES / DDES</w:t>
            </w:r>
          </w:p>
        </w:tc>
        <w:tc>
          <w:tcPr>
            <w:tcW w:w="2340" w:type="dxa"/>
          </w:tcPr>
          <w:p>
            <w:pPr>
              <w:spacing w:after="20"/>
              <w:jc w:val="left"/>
            </w:pPr>
            <w:r>
              <w:t xml:space="preserve">LES away, RANS near wall</w:t>
            </w:r>
          </w:p>
        </w:tc>
        <w:tc>
          <w:tcPr>
            <w:tcW w:w="2340" w:type="dxa"/>
          </w:tcPr>
          <w:p>
            <w:pPr>
              <w:spacing w:after="20"/>
              <w:jc w:val="left"/>
            </w:pPr>
            <w:r>
              <w:t xml:space="preserve">Interface modelling issues</w:t>
            </w:r>
          </w:p>
        </w:tc>
      </w:tr>
    </w:tbl>
    <w:p>
      <w:pPr>
        <w:spacing w:after="120"/>
      </w:pPr>
    </w:p>
    <w:p>
      <w:pPr>
        <w:pStyle w:val="Normal"/>
      </w:pPr>
      <w:r>
        <w:t xml:space="preserve">The more elaborate Reynolds-stress models, which solve transport equations for the individual components of the Reynolds-stress tensor rather than assuming an isotropic eddy viscosity, capture the anisotropy of turbulence and the effects of streamline curvature and swirl that the eddy-viscosity models miss, at the cost of greater computational expense and reduced numerical robustness. Large-eddy simulation, which resolves the large energy-containing eddies directly and models only the smaller subgrid scales, offers still higher fidelity and is increasingly used for detailed studies of heat-exchanger components, but its computational cost remains too high for routine design [62].</w:t>
      </w:r>
    </w:p>
    <w:p>
      <w:pPr>
        <w:pStyle w:val="Normal"/>
      </w:pPr>
      <w:r>
        <w:t xml:space="preserve">The manner in which the continuous governing equations are converted into the algebraic system that a computer can solve is itself a source of both accuracy and error, and a verbal grasp of the principal discretisation schemes informs the interpretation of any computed result. The finite-volume method, which predominates in heat-exchanger computation, divides the domain into a mesh of contiguous control volumes and enforces the conservation of mass, momentum and energy over each one exactly, an approach whose intrinsic conservation is a decisive advantage where the accurate accounting of heat and mass fluxes is the very object of the study. The values of the transported quantities are stored at the centres of the control volumes, and their fluxes across the faces must be interpolated from these stored values by a numerical scheme whose choice trades accuracy against stability. A first-order upwind scheme, which takes the face value from the upstream cell, is robust and never produces unphysical oscillations but introduces a numerical diffusion that smears gradients and can seriously corrupt a heat-transfer prediction; a second-order scheme, which accounts for the variation of the quantity across the cell, greatly reduces this false diffusion at the cost of a susceptibility to oscillation that may require limiting [59]. The prevalence of first-order results in the older literature is one reason for caution in accepting reported enhancements uncritically, since numerical diffusion can masquerade as, or mask, a physical effect. The false diffusion is at its most insidious when the flow crosses the mesh lines obliquely, as it does in the swirling and recirculating passages of a real exchanger, for there the upwind scheme smears the transported temperature across streamlines and artificially flattens the very gradients that determine the heat transfer, so that a coarse first-order computation may report a plausible but spuriously uniform temperature field that owes more to the scheme than to the physics [59].</w:t>
      </w:r>
    </w:p>
    <w:p>
      <w:pPr>
        <w:pStyle w:val="Normal"/>
      </w:pPr>
      <w:r>
        <w:t xml:space="preserve">The choice between a Reynolds-stress model and large-eddy simulation, where fidelity beyond the reach of the two-equation models is required, turns on the nature of the information sought as much as on the available resources. The Reynolds-stress model, remaining within the averaged framework, delivers only the mean fields and the statistics of the turbulence, but it does so at a cost that, while several times that of a two-equation model, remains within reach of routine computation, and it repays that cost wherever the anisotropy of the turbulence or the effects of strong streamline curvature and swirl govern the heat transfer, as around tightly curved tubes and in cyclonic passages. Large-eddy simulation, by resolving the unsteady large-scale motions directly, yields not only accurate mean fields but the fluctuating detail from which unsteady loads, mixing and the spectral content of the flow can be assessed, information of genuine value for understanding flow-induced vibration or the intermittent thermal loading of a surface, but at a cost so much greater, and with a demand for temporal resolution and long averaging times so much more severe, that its use remains confined to research and to the detailed study of components rather than the design of complete exchangers [62]. The pragmatic middle path offered by hybrid formulations, which apply the averaged treatment in the near-wall region where resolving the small eddies would be ruinously expensive and switch to large-eddy resolution in the detached flow away from walls, is increasingly attractive for heat-exchanger components in which separated and recirculating regions dominate the thermal behaviour.</w:t>
      </w:r>
    </w:p>
    <w:p>
      <w:pPr>
        <w:pStyle w:val="Normal"/>
      </w:pPr>
      <w:r>
        <w:t xml:space="preserve">The iterative solution of the resulting algebraic system introduces a further category of numerical consideration, namely the convergence of the iteration and the criteria by which it is judged complete. Because the equations are coupled and nonlinear, they are solved not in one step but by repeated sweeps that progressively reduce the imbalance, or residual, in each equation, and the computation is deemed converged when these residuals fall below chosen thresholds. A common and serious error is to accept a solution whose residuals have merely stagnated at a high level, or to set the thresholds so loosely that the iteration halts before the solution has genuinely settled, with the consequence that the reported result reflects an unconverged intermediate state rather than the solution of the model [60]. The monitoring of an integrated quantity of physical interest, such as the outlet temperature or the total heat transfer, until it too has ceased to change provides a more meaningful convergence check than the residuals alone, and its use is a mark of careful practice. The selection among these approaches is a matter of balancing the required fidelity against the available computational resources, and it is informed by the nature of the flow: a simple developing pipe flow may be adequately captured by a two-equation model, whereas the swirling, separated flow around a baffle in a shell-and-tube exchanger may demand a Reynolds-stress model or large-eddy simulation for quantitative accuracy.</w:t>
      </w:r>
    </w:p>
    <w:p>
      <w:pPr>
        <w:pStyle w:val="Normal"/>
      </w:pPr>
      <w:r>
        <w:t xml:space="preserve">The two principal two-equation models deserve a more detailed comparison, because the choice between them is among the most frequent that the heat-exchanger analyst must make. The model built on the turbulent kinetic energy and its dissipation rate derives the length and velocity scales of the turbulence from those two transported quantities, and its dissipation equation is calibrated for high-Reynolds-number flow away from walls, where it behaves robustly and converges readily. Its weakness is that the dissipation-rate variable behaves badly as a wall is approached, requiring either the bridging of the near-wall region by empirical wall functions, which sacrifices local accuracy in exchange for economy, or the addition of damping functions that restore near-wall validity at the cost of numerical stiffness and a demand for very fine near-wall meshes. The model built on the specific dissipation rate, by contrast, is well behaved all the way to the wall and integrates naturally through the viscous sublayer, giving it a genuine advantage in the prediction of wall heat transfer and of the onset of separation under an adverse pressure gradient, but it is more sensitive to the value of the turbulence quantity specified at the inlet and in the free stream, where an ill-chosen value can contaminate the solution [61]. The blended formulation that has become the default choice for many heat-exchanger studies was devised precisely to secure the near-wall fidelity of the one model and the free-stream robustness of the other by switching smoothly between them according to the distance from the wall, and its popularity reflects a hard-won practical consensus rather than any theoretical superiority.</w:t>
      </w:r>
    </w:p>
    <w:p>
      <w:pPr>
        <w:pStyle w:val="Normal"/>
      </w:pPr>
      <w:r>
        <w:t xml:space="preserve">A further consideration that bears on the selection of a turbulence approach, and one often underappreciated, is the interaction between the turbulence model and the transitional character of many heat-exchanger flows. The Reynolds numbers encountered in compact and micro-scale exchangers frequently place the flow in the transitional regime between laminar and fully turbulent, where the standard turbulence models, calibrated for fully developed turbulence, systematically mispredict the heat transfer because they assume turbulence to be present and active throughout the domain. Transition-sensitive formulations, which augment the transport equations with additional quantities that track the intermittency of the turbulence and the onset of transition, have been developed to address this regime, and their use can markedly improve the prediction of heat transfer in exchangers operating near the transitional Reynolds numbers, though at the cost of additional equations and additional empirical calibration [62]. The nanofluid context sharpens this issue, because the altered viscosity of a suspension shifts the Reynolds number at which transition occurs, so that a computation which assumes the wrong flow regime may err substantially even before any nanofluid-specific modelling is considered. The lesson that pervades this section is that the selection of a computational model is not a matter of choosing the most elaborate option available but of matching the model to the physics of the particular flow, and that this matching requires the physical judgement that only an understanding of the underlying fluid mechanics can supply.</w:t>
      </w:r>
    </w:p>
    <w:p>
      <w:pPr>
        <w:pStyle w:val="Heading2"/>
      </w:pPr>
      <w:r>
        <w:t xml:space="preserve">5.2 CFD Modelling of Nanofluid Flow and Heat Transfer</w:t>
      </w:r>
    </w:p>
    <w:p>
      <w:pPr>
        <w:pStyle w:val="Normal"/>
      </w:pPr>
      <w:r>
        <w:t xml:space="preserve">The computational modelling of nanofluid flow requires a decision about how to represent the two-phase nature of the suspension, and this decision divides the field into two broad approaches whose relative merits have been debated extensively. The single-phase homogeneous approach treats the nanofluid as a single effective fluid whose density, viscosity, conductivity and specific heat are the effective properties of the suspension, evaluated from mixing rules or measurements as functions of concentration and temperature, and whose flow and heat transfer are then computed exactly as for any single-phase fluid. This approach is computationally economical, because it solves only one set of conservation equations, and it is straightforward to implement within any standard computational framework, requiring only that the effective properties be supplied [63]. Its accuracy depends entirely on the accuracy of the effective properties, and where those properties are known reliably, the single-phase approach frequently reproduces experimental heat-transfer data well, lending support to the view that much of the observed nanofluid behaviour can be explained by property changes alone.</w:t>
      </w:r>
    </w:p>
    <w:p>
      <w:pPr>
        <w:pStyle w:val="Normal"/>
      </w:pPr>
      <w:r>
        <w:t xml:space="preserve">The practical appeal of the single-phase approach extends beyond its economy to the transparency of its logic, for it isolates the question of nanofluid heat transfer into two separable parts, namely the determination of the effective properties and the computation of the flow of a fluid possessing those properties. This separation allows the considerable body of knowledge and validated numerical practice accumulated for single-phase heat transfer to be brought to bear directly, and it means that an error in the prediction can, in principle, be traced either to the property models or to the flow computation rather than being entangled in a single opaque calculation. The approach does, however, carry an implicit assumption whose importance is easily overlooked, namely that the particles are distributed uniformly and move with the fluid, so that there is no local variation of concentration and no relative motion to transport heat. Where this assumption holds, as it often does in well-dispersed turbulent flows in which the vigorous mixing keeps the particles uniformly suspended, the single-phase model is not merely a convenient approximation but a physically defensible one; where it fails, as in laminar flows in which particles may migrate across streamlines under the influence of shear and temperature gradients, the single-phase model omits genuine physics and its agreement with experiment, if any, is fortuitous [63]. The discerning analyst therefore treats the choice of the single-phase approach as a hypothesis about the flow physics to be justified rather than as a default to be adopted unreflectively.</w:t>
      </w:r>
    </w:p>
    <w:p>
      <w:pPr>
        <w:pStyle w:val="Normal"/>
      </w:pPr>
      <w:r>
        <w:t xml:space="preserve">A recurring subtlety in the single-phase treatment concerns the temperature dependence of the effective properties, which for nanofluids is frequently stronger than for the base fluid and which couples the property evaluation to the very temperature field the computation seeks to determine. When the properties are evaluated at a single representative temperature, the computation is simplified but the local variation of, in particular, the viscosity across the thermal boundary layer is neglected, and this neglect can distort the predicted velocity profile and hence the heat transfer, especially in the near-wall region where the temperature gradient is steepest. A more faithful treatment evaluates the properties locally as functions of the computed temperature, restoring the two-way coupling between the thermal and momentum fields discussed earlier, at the cost of the additional iteration that such coupling entails [64]. The choice between these treatments is another instance of the pervasive trade-off between fidelity and cost, and its resolution depends on the magnitude of the temperature variation within the domain and on the sensitivity of the quantity of interest to the property variation.</w:t>
      </w:r>
    </w:p>
    <w:p>
      <w:pPr>
        <w:pStyle w:val="Normal"/>
      </w:pPr>
      <w:r>
        <w:t xml:space="preserve">The two-phase approaches, by contrast, recognise that the particles and the liquid may move relative to one another and that this relative motion may contribute to the heat transfer through mechanisms absent from the homogeneous model. The mixture model, the least elaborate of the two-phase approaches, solves the conservation equations for the mixture but permits a relative, or slip, velocity between the phases, computed from an algebraic relation that balances the forces on the particles; it captures the first-order effects of relative motion at modest additional cost. The Eulerian two-fluid model solves separate conservation equations for the liquid and particle phases, coupled through interphase transfer terms, and thereby represents the relative motion more completely, at the cost of greater complexity and the need for models of the interphase forces. The Eulerian–Lagrangian approach tracks individual particles or parcels of particles through the computed liquid flow, resolving the particle motion in detail but at a computational cost that limits it to dilute suspensions and small domains [64]. The choice among these approaches balances fidelity against cost, and the literature reports that two-phase models sometimes, though not always, improve agreement with experiment relative to the single-phase model, particularly in laminar flows where particle migration is significant.</w:t>
      </w:r>
    </w:p>
    <w:p>
      <w:pPr>
        <w:pStyle w:val="Normal"/>
      </w:pPr>
      <w:r>
        <w:t xml:space="preserve">The persistence of the debate between single-phase and two-phase advocates is itself instructive, for it reveals that the question of which approach is superior admits no context-free answer. Studies that report a decisive advantage for the two-phase treatment are frequently those conducted in the laminar regime at low flow rates, where the weak mixing permits the particle distribution to become genuinely non-uniform and where the relative motion consequently carries physical significance that the homogeneous model cannot represent. Studies that find the single-phase treatment fully adequate, by contrast, are frequently those conducted in vigorously turbulent flow, where the intense mixing overwhelms any tendency toward segregation and renders the suspension effectively homogeneous, so that the additional machinery of a two-phase model captures nothing the simpler model omits. Read in this light, the apparently conflicting conclusions of the literature are not contradictory but complementary, each valid within the regime it examined, and the resolution of the debate lies not in declaring one approach universally correct but in recognising the regime dependence of the answer [64]. This recognition is precisely the kind of nuanced, condition-dependent knowledge that resists compression into a simple rule and that motivates the data-driven synthesis of heterogeneous results pursued in later chapters.</w:t>
      </w:r>
    </w:p>
    <w:p>
      <w:pPr>
        <w:pStyle w:val="Normal"/>
      </w:pPr>
      <w:r>
        <w:t xml:space="preserve">The mixture model occupies an intermediate position that makes it attractive for many practical studies, and its logic repays a closer verbal examination. Rather than solving a full set of equations for each phase, it solves the conservation equations for the mixture as a whole and then reconstructs the distribution of the particle phase from a transport equation for the particle volume fraction, within which the crucial ingredient is the slip velocity that describes how fast the particles move relative to the mixture. This slip velocity is not itself computed from a momentum balance for the particles but is supplied by an algebraic closure that assumes the particle motion to be governed by a local balance between the drag exerted by the liquid and the driving forces of gravity, pressure gradient and particle inertia. The assumption is that the particles respond so quickly to changes in the flow that their relative velocity is always at its local equilibrium value, an assumption well justified for the very small and nearly neutrally buoyant particles of a nanofluid, whose response time is exceedingly short. For this reason the mixture model, despite its economy, often captures the leading effects of particle migration and non-uniform concentration adequately, and it is frequently the most sensible choice when the fuller two-fluid or particle-tracking approaches would be prohibitively expensive [64].</w:t>
      </w:r>
    </w:p>
    <w:p>
      <w:pPr>
        <w:pStyle w:val="Normal"/>
      </w:pPr>
      <w:r>
        <w:t xml:space="preserve">The Eulerian two-fluid and Eulerian–Lagrangian approaches differ in a manner that is best understood through the contrast between describing the particle phase as a continuous field and describing it as a collection of discrete entities. The two-fluid model treats the particles as a second interpenetrating continuum, defined everywhere by its own volume fraction, velocity and temperature fields, and coupled to the liquid through terms that exchange momentum and energy between the phases; this description is natural where the particles are numerous and their collective behaviour is of interest, but it requires closure models for the interphase drag, lift and heat transfer whose forms are uncertain for nanoscale particles. The Lagrangian approach instead follows the trajectories of individual particles or representative parcels through the computed liquid field, computing the force and heat exchange on each, which yields a detailed and physically direct picture of the particle behaviour but becomes computationally intractable when the number of particles is large, as it always is in a nanofluid, forcing the use of representative parcels and statistical arguments whose validity must be examined [65]. For the extreme particle numbers and vanishingly small particle sizes characteristic of nanofluids, the continuum descriptions are generally more tractable than particle tracking, and the choice among the continuum approaches turns on whether the relative motion of the phases is significant enough to warrant the expense of resolving it fully.</w:t>
      </w:r>
    </w:p>
    <w:p>
      <w:pPr>
        <w:pStyle w:val="Normal"/>
      </w:pPr>
      <w:r>
        <w:t xml:space="preserve">The modelling of the additional transport mechanisms specific to nanofluids, principally the Brownian motion of the particles and the thermophoretic migration driven by temperature gradients, can be incorporated into either the single-phase or the two-phase framework through additional terms in the governing equations or through concentration-dependent property models. Brownian motion is represented either through a Brownian contribution to the effective conductivity in the single-phase model or through a Brownian diffusion term in the particle-phase equation in the two-phase model, and thermophoresis is represented through a corresponding migration flux. The inclusion of these mechanisms improves the physical completeness of the model but introduces additional empirical coefficients whose values are uncertain, so that the gain in fidelity is not always accompanied by a gain in accuracy [65]. This tension, between the physical completeness of a model and the reliability of the empirical inputs it requires, recurs throughout nanofluid computation and is one of the reasons that data-driven models, which sidestep the need to specify uncertain mechanistic coefficients, have attracted interest as complements to physics-based computation.</w:t>
      </w:r>
    </w:p>
    <w:p>
      <w:pPr>
        <w:pStyle w:val="Normal"/>
      </w:pPr>
      <w:r>
        <w:t xml:space="preserve">The mechanisms of Brownian motion and thermophoresis warrant a fuller conceptual account, because their relative importance is frequently misjudged. Brownian motion is the incessant random agitation of the suspended particles by the thermal motion of the surrounding liquid molecules, and it produces a diffusive flux of particles from regions of high concentration toward regions of low concentration, tending to homogenise the suspension. Its direct contribution to heat transport, through the micro-convection that the darting particles induce in their immediate neighbourhood, is a matter of continuing debate, with some analyses finding it appreciable at small particle sizes and elevated temperatures and others finding it negligible compared with the enhancement attributable to the raised effective conductivity alone [65]. Thermophoresis, by contrast, is the migration of particles down a temperature gradient, driven by the imbalance of molecular impacts on the hotter and cooler faces of a particle, and it drives particles away from heated walls toward the cooler core, establishing a concentration distribution that is non-uniform even when the flow is steady. Because these two mechanisms act in concert, the former tending to homogenise and the latter to segregate, the equilibrium concentration profile in a heated channel reflects their balance, and a computation that includes one without the other, or that assigns implausible values to their coefficients, may produce a concentration field that is qualitatively wrong.</w:t>
      </w:r>
    </w:p>
    <w:p>
      <w:pPr>
        <w:pStyle w:val="Normal"/>
      </w:pPr>
      <w:r>
        <w:t xml:space="preserve">The critical assessment that this section invites is that no single modelling approach is uniformly best, and that the apparent sophistication of a two-phase or mechanism-resolved computation is no guarantee of superior accuracy when the empirical coefficients it requires are poorly known. A single-phase computation with well-characterised effective properties may well outperform a two-phase computation burdened with uncertain interphase and migration closures, and the reverse may hold where relative motion genuinely dominates. This state of affairs, in which the choice of model is contingent on the flow regime, the particle characteristics and the reliability of the available property and closure data, is precisely the kind of high-dimensional, judgement-laden problem for which data-driven surrogates offer a pragmatic alternative, learning the input–output relationship from data without committing to any particular mechanistic hypothesis [66]. It is for this reason that the generation of validated computational data and the training of data-driven models upon it, treated next, is not a competitor to physics-based computation but its natural extension.</w:t>
      </w:r>
    </w:p>
    <w:p>
      <w:pPr>
        <w:pStyle w:val="Normal"/>
      </w:pPr>
      <w:r>
        <w:t xml:space="preserve">The generation of high-fidelity data is one of the most valuable contributions that computational fluid dynamics makes to the broader project of this book, because a validated computational model can produce, at reasonable cost, the large and systematically varied datasets that machine-learning models require for training and that would be prohibitively expensive to obtain by experiment. A computational study can vary the concentration, the flow rate, the geometry and the boundary conditions across a designed range, recording the resulting heat transfer and pressure drop at each combination, and thereby populate a training set that spans the design space more densely and more uniformly than the scattered experimental literature ever could [66]. The combination of computational data generation with machine-learning surrogate modelling, in which a computational model produces the data and a machine-learning model learns to reproduce its input–output relationship at negligible query cost, is an increasingly important paradigm that the later chapters develop, and it depends critically on the fidelity and validation of the computational model that generates the data.</w:t>
      </w:r>
    </w:p>
    <w:p>
      <w:pPr>
        <w:pStyle w:val="Normal"/>
      </w:pPr>
      <w:r>
        <w:t xml:space="preserve">The design of a computational campaign intended to generate training data differs in important respects from the design of a study intended to answer a single engineering question, and these differences deserve explicit statement. Where a single-purpose study seeks the most accurate possible answer at one operating point, a data-generation campaign seeks a set of answers that spans the design space as informatively as possible within a fixed computational budget, and this shifts the emphasis from local accuracy to the coverage and balance of the sampled points. The principles of statistical design of experiments, which prescribe how to place a limited number of sample points so as to extract the maximum information about the response over a multidimensional space, apply as much to computational sampling as to physical experimentation, and a campaign that varies its inputs on a space-filling design will yield a training set from which a surrogate learns far more reliably than one that varies inputs one at a time or clusters them near familiar operating points [66]. The economy of computation relative to experiment makes it feasible to populate such designs densely, but the economy is not unlimited, and the disciplined allocation of the available runs to the most informative points is what distinguishes a productive campaign from a wasteful one.</w:t>
      </w:r>
    </w:p>
    <w:p>
      <w:pPr>
        <w:pStyle w:val="Normal"/>
      </w:pPr>
      <w:r>
        <w:t xml:space="preserve">A caution must temper the enthusiasm for computational data generation, and it follows directly from the arguments of the preceding sections. A surrogate model learns the behaviour of the computational model that generated its training data, not the behaviour of the physical system, so that any systematic error in the computation, whether from an inappropriate turbulence closure, an uncertain nanofluid property model or an unresolved near-wall region, is faithfully learned by the surrogate and propagated into every prediction it makes. The surrogate cannot correct the errors of its teacher; it can only reproduce them cheaply. For this reason the value of a computationally generated dataset is bounded above by the fidelity of the computation that produced it, and the validation of that computation against physical benchmarks, the subject of the section that follows, is not an optional refinement but the precondition on which the entire data-driven enterprise built upon it depends [66]. The practitioner who generates training data by computation therefore inherits, undiminished, the full burden of verification and validation, and any claim made for a surrogate trained on such data must ultimately rest on the demonstrated credibility of the underlying computational model.</w:t>
      </w:r>
    </w:p>
    <w:p>
      <w:pPr>
        <w:pStyle w:val="Heading2"/>
      </w:pPr>
      <w:r>
        <w:t xml:space="preserve">5.3 Mesh Independence, Boundary Conditions, and Model Validation</w:t>
      </w:r>
    </w:p>
    <w:p>
      <w:pPr>
        <w:pStyle w:val="Normal"/>
      </w:pPr>
      <w:r>
        <w:t xml:space="preserve">The credibility of any computational result rests on three pillars of numerical practice, the demonstration that the result is independent of the computational mesh, the specification of physically appropriate boundary conditions, and the validation of the model against trusted benchmarks, and the neglect of any one of them can render an otherwise sophisticated computation worthless. Figure 5.1 sets out the workflow of a computational study, from the definition of the geometry and domain through mesh generation, the selection of governing equations and models, the specification of boundary conditions and the iterative solution, to the post-processing of the results, and it locates the verification and validation steps that must accompany the workflow if the results are to be trusted.</w:t>
      </w:r>
    </w:p>
    <w:p>
      <w:pPr>
        <w:pStyle w:val="FigureImage"/>
      </w:pPr>
      <w:r>
        <w:drawing>
          <wp:inline xmlns:wp="http://schemas.openxmlformats.org/drawingml/2006/wordprocessingDrawing" distT="0" distB="0" distL="0" distR="0">
            <wp:extent cx="5486400" cy="3753852"/>
            <wp:docPr id="1013" name="Picture1013"/>
            <a:graphic xmlns:a="http://schemas.openxmlformats.org/drawingml/2006/main">
              <a:graphicData uri="http://schemas.openxmlformats.org/drawingml/2006/picture">
                <pic:pic xmlns:pic="http://schemas.openxmlformats.org/drawingml/2006/picture">
                  <pic:nvPicPr>
                    <pic:cNvPr id="1013" name="Picture1013"/>
                    <pic:cNvPicPr/>
                  </pic:nvPicPr>
                  <pic:blipFill>
                    <a:blip xmlns:r="http://schemas.openxmlformats.org/officeDocument/2006/relationships" r:embed="rId1013"/>
                    <a:stretch>
                      <a:fillRect/>
                    </a:stretch>
                  </pic:blipFill>
                  <pic:spPr>
                    <a:xfrm>
                      <a:off x="0" y="0"/>
                      <a:ext cx="5486400" cy="3753852"/>
                    </a:xfrm>
                    <a:prstGeom prst="rect">
                      <a:avLst/>
                    </a:prstGeom>
                  </pic:spPr>
                </pic:pic>
              </a:graphicData>
            </a:graphic>
          </wp:inline>
        </w:drawing>
      </w:r>
    </w:p>
    <w:p>
      <w:pPr>
        <w:pStyle w:val="FigureCaption"/>
      </w:pPr>
      <w:r>
        <w:t xml:space="preserve">Figure 5.1 Workflow of a computational fluid dynamics study for heat-exchanger analysis.</w:t>
      </w:r>
    </w:p>
    <w:p>
      <w:pPr>
        <w:pStyle w:val="Normal"/>
      </w:pPr>
      <w:r>
        <w:t xml:space="preserve">The discretisation of the governing equations onto a finite mesh introduces a numerical error that diminishes as the mesh is refined, and the demonstration that a computed quantity of interest has ceased to change appreciably with further refinement, known as a mesh-independence or grid-independence study, is the minimum evidence required to establish that the result reflects the physics of the model rather than the artefacts of the discretisation. A mesh-independence study computes the quantity of interest, such as the Nusselt number or the pressure drop, on a sequence of progressively finer meshes and identifies the mesh beyond which further refinement produces a change smaller than a chosen tolerance, selecting that mesh as the basis for subsequent computation because it delivers mesh-independent results at the least cost [67].</w:t>
      </w:r>
    </w:p>
    <w:p>
      <w:pPr>
        <w:pStyle w:val="Normal"/>
      </w:pPr>
      <w:r>
        <w:t xml:space="preserve">The rigour of a mesh-independence study can be strengthened considerably beyond the mere observation that a quantity has ceased to change, and the more disciplined practice is worth describing because it distinguishes a defensible demonstration from a superficial one. When the meshes in the sequence are refined in a controlled ratio, the rate at which the computed quantity approaches its limiting value can be examined to confirm that the solution is converging at the order of accuracy that the numerical scheme is supposed to deliver, and a departure from the expected rate is a warning that something is amiss, whether an unresolved feature, an inconsistent boundary treatment or a scheme operating outside its asymptotic range. From such a controlled sequence one can also estimate, by extrapolation, the value that would be obtained on an infinitely fine mesh and hence the discretisation error remaining on the chosen mesh, converting the qualitative notion of mesh independence into a quantitative error bound [67]. This estimated discretisation uncertainty can then be reported alongside the result and, importantly, compared with the other uncertainties in the study, so that effort is not lavished on reducing a discretisation error that is already small compared with the uncertainty in the fluid properties or the experimental benchmark.</w:t>
      </w:r>
    </w:p>
    <w:p>
      <w:pPr>
        <w:pStyle w:val="Normal"/>
      </w:pPr>
      <w:r>
        <w:t xml:space="preserve">The quantity chosen to monitor in a mesh-independence study is itself a matter of judgement, because a mesh that is adequate for one quantity may be inadequate for another. An integral quantity such as the overall pressure drop or the mean Nusselt number converges more readily with mesh refinement than a local quantity such as the peak wall heat flux or the location of a separation point, because integration averages out local errors that a point value exposes. A study that demonstrates independence of an integral quantity while the local quantities of true interest remain mesh-dependent gives a false assurance, and the prudent practitioner therefore verifies independence of the specific quantities on which the engineering conclusions depend rather than of some convenient global measure alone [68]. In nanofluid heat-transfer computation, where the near-wall gradients are steep and the heat transfer is the quantity of central interest, this consideration argues for monitoring the wall heat flux or the local Nusselt number directly and for refining the mesh preferentially in the near-wall region where the gradients are concentrated. Figure 5.2 shows a typical grid-independence study in which the computed Nusselt number rises with mesh count and then plateaus, with the selected mesh chosen at the onset of the plateau where accuracy and economy are balanced.</w:t>
      </w:r>
    </w:p>
    <w:p>
      <w:pPr>
        <w:pStyle w:val="FigureImage"/>
      </w:pPr>
      <w:r>
        <w:drawing>
          <wp:inline xmlns:wp="http://schemas.openxmlformats.org/drawingml/2006/wordprocessingDrawing" distT="0" distB="0" distL="0" distR="0">
            <wp:extent cx="5486400" cy="3753852"/>
            <wp:docPr id="1014" name="Picture1014"/>
            <a:graphic xmlns:a="http://schemas.openxmlformats.org/drawingml/2006/main">
              <a:graphicData uri="http://schemas.openxmlformats.org/drawingml/2006/picture">
                <pic:pic xmlns:pic="http://schemas.openxmlformats.org/drawingml/2006/picture">
                  <pic:nvPicPr>
                    <pic:cNvPr id="1014" name="Picture1014"/>
                    <pic:cNvPicPr/>
                  </pic:nvPicPr>
                  <pic:blipFill>
                    <a:blip xmlns:r="http://schemas.openxmlformats.org/officeDocument/2006/relationships" r:embed="rId1014"/>
                    <a:stretch>
                      <a:fillRect/>
                    </a:stretch>
                  </pic:blipFill>
                  <pic:spPr>
                    <a:xfrm>
                      <a:off x="0" y="0"/>
                      <a:ext cx="5486400" cy="3753852"/>
                    </a:xfrm>
                    <a:prstGeom prst="rect">
                      <a:avLst/>
                    </a:prstGeom>
                  </pic:spPr>
                </pic:pic>
              </a:graphicData>
            </a:graphic>
          </wp:inline>
        </w:drawing>
      </w:r>
    </w:p>
    <w:p>
      <w:pPr>
        <w:pStyle w:val="FigureCaption"/>
      </w:pPr>
      <w:r>
        <w:t xml:space="preserve">Figure 5.2 Grid-independence study showing the computed Nusselt number as a function of mesh element count.</w:t>
      </w:r>
    </w:p>
    <w:p>
      <w:pPr>
        <w:pStyle w:val="Normal"/>
      </w:pPr>
      <w:r>
        <w:t xml:space="preserve">A subtlety that the plateau in such a study can conceal deserves mention, for the appearance of a plateau is a necessary but not a sufficient sign of true independence. A computed quantity may plateau over a range of intermediate meshes and then, on much finer meshes, resume changing as some feature previously unresolved by even the "converged" mesh finally becomes captured, a behaviour that a study terminating at the first apparent plateau would miss entirely. This pitfall is most dangerous in flows with subtle features, such as weak secondary flows or the incipient separation on a curved surface, whose influence on the monitored quantity is small until the mesh becomes fine enough to resolve them properly. The guard against it is to extend the refinement sequence well beyond the first sign of a plateau and to examine the flow field itself, not merely the integrated quantity, for features that remain mesh-dependent, so that independence is confirmed by the settling of the physics and not merely by the flattening of a single curve [67].</w:t>
      </w:r>
    </w:p>
    <w:p>
      <w:pPr>
        <w:pStyle w:val="Normal"/>
      </w:pPr>
      <w:r>
        <w:t xml:space="preserve">The near-wall region demands particular attention in the meshing of heat-transfer computations because the steep gradients of velocity and temperature there control both the wall shear stress and the heat flux, and because the treatment of this region interacts with the choice of turbulence model. Wall-function approaches, which bridge the near-wall region with algebraic profiles rather than resolving it, require that the first mesh point lie within a specified range of the dimensionless wall distance, whereas wall-resolving approaches require that the mesh be fine enough to place several points within the viscous sublayer, a far more stringent requirement that greatly increases the mesh count. The consistency between the near-wall meshing and the turbulence model is essential, because a mesh that is too coarse for a wall-resolving model or too fine for a wall-function model will yield erroneous heat-transfer predictions regardless of the quality of the rest of the computation [68]. This coupling of meshing and modelling is a frequent source of error in inexpert computation and underscores the need for the disciplined verification that a mesh-independence study provides.</w:t>
      </w:r>
    </w:p>
    <w:p>
      <w:pPr>
        <w:pStyle w:val="Normal"/>
      </w:pPr>
      <w:r>
        <w:t xml:space="preserve">The dimensionless wall distance that governs this coupling is a measure, evaluated at the first mesh point away from the wall, of how far that point lies into the structured layering of a turbulent boundary layer, expressed in the natural viscous units of the near-wall flow. A wall-function approach presumes that the first point lies in the logarithmic region where the mean velocity follows a known universal profile, and it uses that profile to supply the wall shear stress and heat flux without resolving the intervening viscous sublayer, which requires that the first point be neither so close to the wall that it falls below the logarithmic region nor so far that it lies beyond it. A wall-resolving approach, by contrast, requires the first point to lie deep within the viscous sublayer, with several further points distributed across the sublayer, so that the steep gradients there are captured directly [68]. The difficulty in practice is that the dimensionless wall distance depends on the very solution being computed, through the wall shear stress, so that the meshing cannot be verified until after a solution is obtained, and an initial mesh must be judged, computed and then refined or coarsened in light of the resulting wall distances, an iterative discipline that the inexperienced often omit to their cost.</w:t>
      </w:r>
    </w:p>
    <w:p>
      <w:pPr>
        <w:pStyle w:val="Normal"/>
      </w:pPr>
      <w:r>
        <w:t xml:space="preserve">A further meshing consideration specific to the complex geometries of real heat exchangers concerns the quality of the mesh cells themselves, as distinct from their number, because a mesh of poor quality can corrupt a solution regardless of how fine it is. Cells that are excessively skewed, stretched or twisted degrade the accuracy of the discretised gradients and can impair or prevent convergence, and the intricate passages, sharp corners and curved surfaces of finned, coiled and baffled exchangers make such cells difficult to avoid entirely. The choice between a structured mesh, whose orderly array of cells aligns with the flow and offers superior accuracy and economy where the geometry permits, and an unstructured mesh, whose flexibility accommodates complex shapes at some cost in cell quality and count, is itself a consequential decision, and hybrid strategies that use structured layers near the walls within an unstructured interior are common in heat-exchanger practice [69]. The verification of mesh quality, through the inspection of skewness and aspect-ratio measures, is a companion to the verification of mesh independence, and neglect of either undermines the credibility of the result.</w:t>
      </w:r>
    </w:p>
    <w:p>
      <w:pPr>
        <w:pStyle w:val="Normal"/>
      </w:pPr>
      <w:r>
        <w:t xml:space="preserve">The specification of boundary conditions translates the physical situation into mathematical constraints on the computed fields, and errors in this translation are among the most common and most damaging in computational practice. The inlet condition specifies the velocity, temperature and, for turbulent computations, the turbulence quantities of the entering flow, and an incorrect specification of the inlet turbulence can propagate through the domain and distort the heat-transfer prediction. The outlet condition typically specifies the pressure or imposes a fully developed condition, and its placement sufficiently far downstream of the region of interest is necessary to avoid contaminating that region. The wall condition specifies either the temperature, the heat flux or a convective coupling, and the choice must match the physical situation being modelled, because a constant-temperature and a constant-heat-flux wall yield different Nusselt numbers even for otherwise identical flows [69]. The care with which boundary conditions are specified is, like mesh independence, a determinant of the credibility of a computation that no amount of downstream sophistication can compensate.</w:t>
      </w:r>
    </w:p>
    <w:p>
      <w:pPr>
        <w:pStyle w:val="Normal"/>
      </w:pPr>
      <w:r>
        <w:t xml:space="preserve">The specification of inlet turbulence quantities deserves particular emphasis because it is at once influential and frequently guessed. A turbulent computation requires values for the turbulence quantities at the inlet, expressed most conveniently through a turbulence intensity and a length scale, and these values seed the turbulence that develops within the domain. Where the inlet flow is genuinely known, as when it issues from a long upstream duct, physically reasonable values can be assigned; but where it is uncertain, the assigned values become a source of error that, with the near-wall-integrating turbulence models especially, can propagate downstream and distort the heat-transfer prediction appreciably [69]. A prudent study examines the sensitivity of its results to the assumed inlet turbulence and, where the sensitivity is significant, either extends the domain upstream so that the flow forgets its imposed inlet condition before reaching the region of interest or obtains better inlet information from experiment or from a separate computation of the upstream passage.</w:t>
      </w:r>
    </w:p>
    <w:p>
      <w:pPr>
        <w:pStyle w:val="Normal"/>
      </w:pPr>
      <w:r>
        <w:t xml:space="preserve">The choice of thermal wall condition, between a prescribed temperature and a prescribed heat flux, is not a mere technicality but a decision about which physical situation is being represented, and it carries quantitative consequences that the analyst must anticipate. A wall held at constant temperature and a wall subjected to constant heat flux produce different temperature distributions in the fluid and hence different values of the Nusselt number even for otherwise identical flows, the difference being most pronounced in laminar and developing flows and diminishing but not vanishing in turbulent flows. When a computation is to be compared against a correlation or an experiment, the wall condition of the computation must match that of the benchmark, and a mismatch here is a common and avoidable cause of apparent disagreement [70]. In many real exchangers, moreover, the true thermal condition is neither constant temperature nor constant flux but a conjugate coupling in which the heat conducted through the solid wall and the heat convected by the fluid are solved together, and the neglect of this conjugate coupling, by imposing a simplified condition at the fluid–solid interface, is an approximation whose adequacy depends on the thermal conductivity and thickness of the wall relative to the convective resistance of the fluid.</w:t>
      </w:r>
    </w:p>
    <w:p>
      <w:pPr>
        <w:pStyle w:val="Normal"/>
      </w:pPr>
      <w:r>
        <w:t xml:space="preserve">Validation, the demonstration that the computational model reproduces trusted experimental or analytical results within an acceptable tolerance, is the final and most important pillar of computational credibility, because it tests the entire chain of modelling and numerical choices against reality. A validation study compares the computed quantities of interest with benchmark data, whether from a canonical analytical solution, a well-characterised experiment or a recognised correlation, across a range of conditions, and it establishes the range of conditions over which the model may be trusted and the magnitude of the error to be expected. A model validated for one fluid, geometry and regime cannot be assumed to hold for others, and the extrapolation of a computational model beyond its validated range is a frequent source of error [70].</w:t>
      </w:r>
    </w:p>
    <w:p>
      <w:pPr>
        <w:pStyle w:val="Normal"/>
      </w:pPr>
      <w:r>
        <w:t xml:space="preserve">It is useful to distinguish verification from validation with some care, because the two are often conflated and the conflation breeds confused claims of credibility. Verification asks whether the equations of the model are being solved correctly, and it is a matter of mathematics and numerics, addressed by mesh-independence studies, by the checking of the convergence of the iterative solver, by comparison against analytical solutions of simplified problems, and by confirming that the discretisation error has been driven acceptably small. Validation asks the different and deeper question of whether the correct equations are being solved, that is, whether the model with its chosen closures and properties represents the physical reality, and it can be addressed only by comparison against physical measurement. A computation may be impeccably verified yet invalid, because it solves the wrong model accurately, or it may fortuitously agree with an experiment while being poorly verified, so that its apparent validity rests on a cancellation of errors that will not persist under changed conditions [71]. The disciplined separation of these two questions guards against the pitfall of mistaking numerical convergence for physical correctness, a pitfall into which the visually persuasive output of modern computational tools makes it dangerously easy to fall.</w:t>
      </w:r>
    </w:p>
    <w:p>
      <w:pPr>
        <w:pStyle w:val="Normal"/>
      </w:pPr>
      <w:r>
        <w:t xml:space="preserve">The validation hierarchy provides a systematic framework for building confidence, and its logic is one of ascending complexity. Confidence is established first at the level of simple unit problems whose behaviour is known from analytical solution or from highly controlled experiment, then at the level of benchmark cases that isolate a single feature of the intended application, such as flow in a heated straight tube, and only then at the level of the full application in its geometric and physical complexity. Confidence earned at the lower levels does not transfer automatically to the higher ones, but a failure at a lower level indicates a deficiency that will certainly corrupt the higher, so that the hierarchy functions both to build confidence upward and to localise faults downward [71]. For nanofluid heat-exchanger computation this hierarchy is especially valuable, because it allows the separate validation of the property models, the single-phase or two-phase flow treatment and the heat-transfer prediction, so that when the full computation disagrees with an experiment the discrepancy can be attributed, at least in part, to the component responsible rather than being left as an unresolved global failure. For nanofluid computation, validation is complicated by the scatter in the experimental database and by the uncertainty in the effective properties, so that a computation may disagree with an experiment either because the model is deficient or because the properties or the measurements are inaccurate, an ambiguity that makes rigorous validation both more difficult and more essential [71]. The disciplined practice of verification and validation, embodied in mesh-independence studies, careful boundary-condition specification and benchmark comparison, is what distinguishes a computational result that can inform design from one that merely produces plausible-looking contours, and it is the foundation on which the use of computational data to train machine-learning models, developed in the chapters that follow, ultimately rests [72].</w:t>
      </w:r>
    </w:p>
    <w:p>
      <w:pPr>
        <w:pStyle w:val="Normal"/>
      </w:pPr>
      <w:r>
        <w:t xml:space="preserve">The peculiar difficulty of validating nanofluid computation against a scattered experimental database deserves a closing reflection, because it recasts the very meaning of validation in this field. When the benchmark measurements themselves disagree among laboratories by margins that rival or exceed the effects being modelled, a computation cannot be validated against a single authoritative value but must instead be judged against a band of plausible values, and agreement within that band is the most that can honestly be claimed. This state of affairs demands a shift from the deterministic notion of validation, in which a computation either matches the truth or does not, to a probabilistic one, in which the computation and the experiment are each attended by their own uncertainties and validation asks whether the two are consistent within those uncertainties [71]. The estimation of the computational uncertainty, aggregating the discretisation error established by the mesh study, the uncertainty in the input properties and the sensitivity to modelling choices, and its comparison against the scatter of the experimental benchmark, is the mature form of validation toward which the field is moving, and it aligns naturally with the uncertainty-aware data-driven methods introduced in later chapters [72].</w:t>
      </w:r>
    </w:p>
    <w:p>
      <w:pPr>
        <w:pStyle w:val="Normal"/>
      </w:pPr>
      <w:r>
        <w:t xml:space="preserve">Taken together, the three pillars examined in this section, mesh independence, boundary-condition fidelity and benchmark validation, constitute a discipline whose observance is what elevates a computation from an exercise in software operation to a source of engineering knowledge. Each pillar addresses a distinct way in which a computation can mislead, the mesh study guarding against numerical artefact, the boundary conditions against physical misrepresentation of the situation, and the validation against the deeper failure of the model to represent reality, and the neglect of any one leaves a gap through which error enters undetected. The chapters that follow build directly upon this foundation, for the machine-learning models they develop are only as trustworthy as the data on which they are trained, and where those data originate in computation, their trustworthiness is precisely the trustworthiness that the disciplined practice described here confers [72]. The transition from physics-based computation to data-driven modelling is thus not an abandonment of the rigour cultivated in this chapter but its extension into a new domain, carrying forward the same insistence that a result be earned through verification and validation rather than merely produced.</w:t>
      </w:r>
    </w:p>
    <w:p>
      <w:r>
        <w:br w:type="page"/>
      </w:r>
    </w:p>
    <w:p>
      <w:pPr>
        <w:pStyle w:val="Title"/>
      </w:pPr>
      <w:r>
        <w:t xml:space="preserve">Chapter 6. Artificial Intelligence for Thermal Engineering</w:t>
      </w:r>
    </w:p>
    <w:p>
      <w:pPr>
        <w:pStyle w:val="Heading1"/>
      </w:pPr>
      <w:r>
        <w:t xml:space="preserve">Abstract</w:t>
      </w:r>
    </w:p>
    <w:p>
      <w:pPr>
        <w:pStyle w:val="Normal"/>
      </w:pPr>
      <w:r>
        <w:t xml:space="preserve">Artificial intelligence has moved, over the course of little more than a decade, from the periphery of thermal engineering to a position of central importance, and the analysis and design of nanofluid heat exchangers has been among the fields most transformed by its adoption. The reasons are rooted in the difficulties documented in the preceding chapters, namely the resistance of nanofluid properties and convective behaviour to first-principles prediction, the high dimensionality of the design space, the expense of both experiment and high-fidelity computation, and the scatter of the experimental database, all of which are conditions under which data-driven methods that learn relationships directly from data offer advantages that mechanistic modelling struggles to match. This chapter introduces artificial intelligence as a discipline and as a toolset for thermal engineering, at a level of generality that prepares the reader for the more detailed treatment of machine-learning fundamentals and applications in the chapters that follow. It begins with the fundamentals and the historical evolution of artificial intelligence, clarifying the nested relationship among artificial intelligence, machine learning and deep learning and the vocabulary that the field employs. It then surveys the artificial-intelligence techniques that have been applied to heat-transfer and fluid-flow problems, from artificial neural networks and support-vector methods to tree-based ensembles and evolutionary optimisation, and it characterises the kinds of problem each is suited to solve. Finally, it examines the advantages, limitations and opportunities of artificial-intelligence-based thermal modelling with a candour that is essential if the methods are to be applied soundly rather than fashionably, and it situates the data-driven paradigm within the broader practice of thermal engineering as a complement to, rather than a replacement for, physical understanding and mechanistic modelling.</w:t>
      </w:r>
    </w:p>
    <w:p>
      <w:pPr>
        <w:pStyle w:val="Heading2"/>
      </w:pPr>
      <w:r>
        <w:t xml:space="preserve">6.1 Fundamentals and Evolution of Artificial Intelligence</w:t>
      </w:r>
    </w:p>
    <w:p>
      <w:pPr>
        <w:pStyle w:val="Normal"/>
      </w:pPr>
      <w:r>
        <w:t xml:space="preserve">Artificial intelligence, in the broadest sense, denotes the endeavour to construct systems that perform tasks which, if performed by a human, would be said to require intelligence, and the field has passed through several distinct phases since its formal inception in the mid-twentieth century. The earliest phase was dominated by symbolic approaches, in which intelligence was to be achieved by encoding human knowledge as explicit rules and manipulating symbols according to those rules, an approach that produced the expert systems of the nineteen-seventies and nineteen-eighties and that achieved notable successes in narrow, well-structured domains but that foundered on the difficulty of encoding the vast and often tacit knowledge required for less structured tasks [73]. The limitations of the symbolic approach, together with the growing availability of data and computational power, drove a shift toward the statistical and data-driven approaches that dominate the field today, in which the system learns the relationships it needs from examples rather than being programmed with them explicitly, a paradigm known as machine learning.</w:t>
      </w:r>
    </w:p>
    <w:p>
      <w:pPr>
        <w:pStyle w:val="Normal"/>
      </w:pPr>
      <w:r>
        <w:t xml:space="preserve">The contrast between the two paradigms is worth drawing sharply, because it illuminates why the data-driven approach is so well matched to the difficulties of nanofluid thermal engineering. The symbolic, knowledge-based approach demands that the relationships governing a problem be articulated in advance, as rules or equations that a human expert supplies, and it is powerful precisely where such articulation is possible, as in the well-understood thermodynamic and geometric relationships that underlie the conventional design methods of the earlier chapters. Its fatal weakness in the nanofluid context is that the relationships between the many variables governing conductivity, viscosity and convective enhancement are not known well enough to be articulated as rules, so that the knowledge required to program a symbolic system simply does not exist in usable form. The data-driven approach inverts the logic entirely, requiring not that the relationships be known in advance but only that examples of the input and output be available, from which the system infers the relationship itself; where the physics is obscure but the data are plentiful, this inversion turns an intractable knowledge-elicitation problem into a tractable learning problem [73]. The migration of thermal engineering toward data-driven methods is thus not a fashion but a rational response to a domain in which the knowledge needed for the older paradigm is unavailable while the data needed for the newer one are increasingly abundant.</w:t>
      </w:r>
    </w:p>
    <w:p>
      <w:pPr>
        <w:pStyle w:val="Normal"/>
      </w:pPr>
      <w:r>
        <w:t xml:space="preserve">The mid-twentieth-century origins of the field also bequeathed a recurring pattern of expectation and disappointment whose lessons remain pertinent. Periods of intense optimism, in which the imminent achievement of general machine intelligence was confidently predicted, gave way to periods of retrenchment when the predictions went unfulfilled and funding withdrew, episodes remembered as the winters of the field, and the alternation was driven in each case by a mismatch between ambition and the capabilities that the available data, computation and algorithms could actually support [73]. The contemporary resurgence rests on a firmer footing than earlier enthusiasms, because it is grounded in demonstrable performance on well-defined tasks rather than in speculation about general intelligence, but the historical pattern counsels a measured assessment of any new claim, and it is directly relevant to thermal engineering, where the sober evaluation of what data-driven methods can and cannot deliver, pursued in the final section of this chapter, is a safeguard against a local recurrence of the same cycle of overpromise and disillusionment.</w:t>
      </w:r>
    </w:p>
    <w:p>
      <w:pPr>
        <w:pStyle w:val="Normal"/>
      </w:pPr>
      <w:r>
        <w:t xml:space="preserve">The relationship among the terms artificial intelligence, machine learning and deep learning, which are frequently used loosely and interchangeably, is best understood as a nested hierarchy, and clarity about this hierarchy is a prerequisite for the sound use of the methods. Artificial intelligence is the broadest term, encompassing any technique by which a machine performs a task requiring intelligence, whether by explicit programming or by learning. Machine learning is the subset of artificial intelligence in which the system learns from data rather than being explicitly programmed, and it encompasses the regression, classification and clustering methods that constitute the bulk of thermal-engineering applications. Deep learning is a further subset of machine learning in which the learning is performed by artificial neural networks with many layers, capable of learning hierarchical representations from raw data and responsible for many of the most striking recent advances, in which each successive layer transforms the representation produced by the layer before it, building from simple to increasingly abstract features in a manner loosely analogous to the layered processing of the biological visual system [74]. Figure 6.1 depicts this nested relationship together with representative algorithms at each level, providing a map of the terminology used throughout the remainder of the book.</w:t>
      </w:r>
    </w:p>
    <w:p>
      <w:pPr>
        <w:pStyle w:val="Normal"/>
      </w:pPr>
      <w:r>
        <w:t xml:space="preserve">The distinction between machine learning in general and deep learning in particular carries practical consequences that the thermal engineer must weigh, for it is not merely a matter of taxonomy. Deep learning, with its many-layered networks capable of discovering their own features from raw data, achieves its most spectacular results in domains characterised by vast datasets and by inputs, such as images, speech and text, whose relevant features are numerous, hierarchical and difficult for a human to specify. The tabular datasets of nanofluid thermal engineering, by contrast, are typically modest in size, numbering hundreds or a few thousands of examples rather than the millions on which deep networks thrive, and their inputs are a handful of physically meaningful variables whose relevance is already understood, so that the feature-discovery capability that is deep learning's great strength has little to work upon [74]. In consequence the shallower methods of classical machine learning, which learn efficiently from limited data and which do not require the analyst to abdicate control over the features, frequently outperform deep networks on thermal-engineering problems, and the reflexive equation of machine learning with deep learning, common in the popular understanding, is a misconception that can lead the practitioner to reach for an unnecessarily data-hungry tool.</w:t>
      </w:r>
    </w:p>
    <w:p>
      <w:pPr>
        <w:pStyle w:val="Normal"/>
      </w:pPr>
      <w:r>
        <w:t xml:space="preserve">Beyond this three-level hierarchy, the field is often described in terms of a further distinction between narrow and general intelligence that clarifies the realistic scope of thermal-engineering applications. Every method discussed in this book, and every application to nanofluids and heat exchangers, belongs to narrow artificial intelligence, in which a system is trained to perform a single, circumscribed task, such as predicting a thermal conductivity or optimising a geometry, and possesses no capability or understanding beyond that task. The general intelligence of popular imagination, a system with the broad, transferable competence of a human, remains a research aspiration with no bearing on the engineering practice developed here [74]. Keeping this distinction in view guards against both the inflated expectation that a data-driven model somehow understands the physics it predicts and the corresponding disappointment when it fails outside the narrow task for which it was trained, and it reinforces the theme, developed throughout the chapter, that these methods are powerful instruments for specific purposes rather than substitutes for engineering understanding.</w:t>
      </w:r>
    </w:p>
    <w:p>
      <w:pPr>
        <w:pStyle w:val="FigureImage"/>
      </w:pPr>
      <w:r>
        <w:drawing>
          <wp:inline xmlns:wp="http://schemas.openxmlformats.org/drawingml/2006/wordprocessingDrawing" distT="0" distB="0" distL="0" distR="0">
            <wp:extent cx="5486400" cy="3753852"/>
            <wp:docPr id="1015" name="Picture1015"/>
            <a:graphic xmlns:a="http://schemas.openxmlformats.org/drawingml/2006/main">
              <a:graphicData uri="http://schemas.openxmlformats.org/drawingml/2006/picture">
                <pic:pic xmlns:pic="http://schemas.openxmlformats.org/drawingml/2006/picture">
                  <pic:nvPicPr>
                    <pic:cNvPr id="1015" name="Picture1015"/>
                    <pic:cNvPicPr/>
                  </pic:nvPicPr>
                  <pic:blipFill>
                    <a:blip xmlns:r="http://schemas.openxmlformats.org/officeDocument/2006/relationships" r:embed="rId1015"/>
                    <a:stretch>
                      <a:fillRect/>
                    </a:stretch>
                  </pic:blipFill>
                  <pic:spPr>
                    <a:xfrm>
                      <a:off x="0" y="0"/>
                      <a:ext cx="5486400" cy="3753852"/>
                    </a:xfrm>
                    <a:prstGeom prst="rect">
                      <a:avLst/>
                    </a:prstGeom>
                  </pic:spPr>
                </pic:pic>
              </a:graphicData>
            </a:graphic>
          </wp:inline>
        </w:drawing>
      </w:r>
    </w:p>
    <w:p>
      <w:pPr>
        <w:pStyle w:val="FigureCaption"/>
      </w:pPr>
      <w:r>
        <w:t xml:space="preserve">Figure 6.1 Nested relationship among artificial intelligence, machine learning and deep learning, with representative algorithms.</w:t>
      </w:r>
    </w:p>
    <w:p>
      <w:pPr>
        <w:pStyle w:val="Normal"/>
      </w:pPr>
      <w:r>
        <w:t xml:space="preserve">The evolution from symbolic to statistical artificial intelligence was driven by a confluence of factors whose relevance to thermal engineering is direct. The accumulation of large datasets, from experimental campaigns, from computational studies and from the digitisation of the historical literature, provided the raw material from which data-driven methods learn. The growth of computational power, and in particular the advent of specialised hardware for the parallel arithmetic that neural-network training demands, made the training of large models feasible. The development of new algorithms and architectures, and their dissemination through open-source software libraries, lowered the barrier to entry so that thermal engineers without a background in computer science could apply sophisticated methods to their problems [75]. These same factors, operating within thermal engineering, explain the rapid growth of data-driven nanofluid and heat-exchanger modelling over the past decade, and they suggest that the trend will continue as datasets grow, computation cheapens and methods mature.</w:t>
      </w:r>
    </w:p>
    <w:p>
      <w:pPr>
        <w:pStyle w:val="Normal"/>
      </w:pPr>
      <w:r>
        <w:t xml:space="preserve">The role of open-source software in this democratisation deserves particular acknowledgement, because it has altered the practical accessibility of the methods as profoundly as any algorithmic advance. Where the application of a sophisticated learning method once demanded that the practitioner implement it from a mathematical description, a task requiring specialised expertise and considerable time, the mature libraries now freely available supply tested, efficient and well-documented implementations that a thermal engineer can apply with a few lines of instruction, so that the intellectual effort shifts from implementation to the more appropriate concerns of problem formulation, data preparation and the critical assessment of results [75]. This accessibility is a double-edged asset, for the same ease that empowers the careful analyst also permits the careless one to apply powerful methods without understanding them, producing results that are superficially impressive and fundamentally unsound; the ready availability of the tools thus raises, rather than lowers, the premium on the conceptual understanding that this book seeks to impart, for the tools will execute a flawed analysis as obligingly as a sound one and offer no warning of the difference.</w:t>
      </w:r>
    </w:p>
    <w:p>
      <w:pPr>
        <w:pStyle w:val="Normal"/>
      </w:pPr>
      <w:r>
        <w:t xml:space="preserve">A historical observation of direct relevance to thermal engineering is that the adoption of data-driven methods within the discipline has lagged their development in computer science by a decade or more, and that this lag, while diminishing, has shaped the character of the field's literature. Many early applications transplanted methods from other domains without adapting them to the peculiarities of thermal data, applying data-hungry techniques to small datasets or neglecting the physical constraints that thermal problems afford, and the resulting literature is uneven in quality, containing both exemplary studies and cautionary ones [73]. The maturing of the field entails not merely the adoption of ever more sophisticated methods but the development of a discipline-specific practice that respects the modest size, the physical structure and the experimental uncertainty of thermal data, and it is toward such a considered practice, rather than toward the uncritical importation of whatever is fashionable in the wider machine-learning world, that the guidance of this and the following chapter is directed.</w:t>
      </w:r>
    </w:p>
    <w:p>
      <w:pPr>
        <w:pStyle w:val="Normal"/>
      </w:pPr>
      <w:r>
        <w:t xml:space="preserve">The vocabulary of machine learning, which the thermal engineer must master to read and contribute to the literature, rests on a small number of central concepts. A feature is an input variable, such as the nanoparticle concentration or the Reynolds number, from which the model makes its prediction, and the collection of features constitutes the input space, whose dimensionality, being the number of features, exerts a decisive influence on how much data a model requires, since the volume of the input space grows so rapidly with dimension that the data needed to populate it adequately grows correspondingly, a difficulty known as the curse of dimensionality that makes the parsimonious choice of features, developed in the next chapter, a matter of real consequence rather than mere tidiness. A target, or label, is the output quantity the model predicts, such as the thermal conductivity or the Nusselt number, and the availability of correct targets for the training examples is what distinguishes the supervised learning that dominates thermal applications from the unsupervised learning that proceeds without them, a distinction whose full development the following chapter undertakes. A model is a parameterised function that maps features to targets, and training is the process of adjusting the model's parameters so that its predictions match the targets in a training dataset, a process that is guided by an explicit objective, the minimisation of a measure of prediction error, and that is carried out automatically by a numerical procedure rather than by hand. Generalisation is the ability of a trained model to make accurate predictions on data it has not seen, and it is the true measure of a model's worth, because a model that merely memorises its training data is of no predictive value, since the whole purpose of building a predictive model is to make predictions for conditions not already measured, and a model that performs well only on the conditions it has already seen serves no purpose that a lookup table would not serve as well [76]. These concepts, elaborated in Chapter 7, structure every application of machine learning to thermal engineering, and their careful definition here forestalls the confusion that a loose use of terminology invites.</w:t>
      </w:r>
    </w:p>
    <w:p>
      <w:pPr>
        <w:pStyle w:val="Normal"/>
      </w:pPr>
      <w:r>
        <w:t xml:space="preserve">The central tension embodied in the concept of generalisation, between fitting the training data and predicting the unseen, deserves emphasis at this early stage because it governs every subsequent judgement about a model's worth. A model with sufficient flexibility can be made to pass through every point of its training data exactly, achieving an apparently perfect fit, and yet such a model may predict disastrously on new inputs because it has memorised the idiosyncrasies and noise of the particular training set rather than learning the underlying relationship. The art of machine learning consists very largely in navigating this tension, in endowing a model with enough flexibility to capture the genuine structure of the data but not so much that it captures the noise, and the whole apparatus of validation, regularisation and complexity control that the following chapter develops exists to manage precisely this balance [76]. For the thermal engineer accustomed to correlations whose few coefficients are fitted once and reported, the shift to models with many adjustable parameters and a corresponding capacity for self-deception is a conceptual adjustment of the first importance, and the recognition that a good fit is not the same as a good model is among the most valuable lessons the discipline imparts.</w:t>
      </w:r>
    </w:p>
    <w:p>
      <w:pPr>
        <w:pStyle w:val="Normal"/>
      </w:pPr>
      <w:r>
        <w:t xml:space="preserve">A further concept that the vocabulary must accommodate is the distinction between the parameters that a model learns from the data during training and the hyperparameters that the analyst sets before training and that govern the learning process itself. The weights of a neural network, adjusted automatically to fit the data, are parameters; the number of layers, the width of each and the strength of the regularisation are hyperparameters, chosen by the analyst and not adjusted by the training. This distinction, elaborated in the next chapter, matters here because the performance of a data-driven model depends as much on the judicious setting of its hyperparameters as on the training data themselves, so that the construction of a good model is an iterative human activity of configuration and assessment rather than a single automatic procedure [76]. The appreciation that meaningful human judgement is exercised throughout the modelling process, in the choice of method, the engineering of features and the setting of hyperparameters, dispels the misconception that data-driven modelling is a mechanical substitute for expertise, and it foreshadows the integrated practice, developed in the chapter's conclusion, in which physical understanding guides every such judgement.</w:t>
      </w:r>
    </w:p>
    <w:p>
      <w:pPr>
        <w:pStyle w:val="Heading2"/>
      </w:pPr>
      <w:r>
        <w:t xml:space="preserve">6.2 AI Techniques for Heat Transfer and Fluid Flow Problems</w:t>
      </w:r>
    </w:p>
    <w:p>
      <w:pPr>
        <w:pStyle w:val="Normal"/>
      </w:pPr>
      <w:r>
        <w:t xml:space="preserve">The artificial-intelligence techniques applied to heat-transfer and fluid-flow problems form a diverse toolkit, and the sound practitioner selects among them according to the nature of the problem, the quantity and quality of the available data, and the requirements of the application for accuracy, interpretability and computational cost. It bears emphasising at the outset that there exists no single technique that is best for all problems, a principle sometimes expressed as the observation that superior performance on one class of problems is necessarily paid for by inferior performance on another, so that the search for a universally optimal method is misguided and the effort is better spent in matching the method to the problem at hand. In practice the prudent analyst does not commit to a single method in advance but trials several representative techniques on the problem, compares their performance by the disciplined evaluation procedures of the following chapter, and selects on the evidence, a comparative approach that guards against both the misplaced loyalty to a favourite method and the uncritical adoption of whatever is currently fashionable, and that is entirely feasible given the ready availability of tested implementations of all the principal methods. The artificial neural network, the most widely used technique in nanofluid and heat-exchanger modelling, is a flexible function approximator composed of layers of interconnected processing units, each of which computes a weighted sum of its inputs and passes the result through a nonlinear activation function. By adjusting the weights during training, a neural network with even a single hidden layer of sufficient width can approximate any continuous function to arbitrary accuracy, a property that makes it well suited to learning the complex, nonlinear relationships between the many variables that govern nanofluid behaviour and the properties or performance measures of interest [77].</w:t>
      </w:r>
    </w:p>
    <w:p>
      <w:pPr>
        <w:pStyle w:val="Normal"/>
      </w:pPr>
      <w:r>
        <w:t xml:space="preserve">This universal-approximation property, frequently invoked to justify the use of neural networks, is often misunderstood in a way that warrants correction. The property guarantees only that a network of sufficient size exists which can approximate a given function; it says nothing about how large that network must be, whether the finite and noisy data available suffice to determine its weights, or whether the training procedure will succeed in finding them. A capability that exists in principle may be unattainable in practice when the data are too few to pin down the many weights that a capable network contains, and the naive appeal to universal approximation, as though it assured success, overlooks precisely the difficulties of data scarcity and generalisation that dominate real applications [77]. The property is therefore best regarded as a licence to attempt the fitting of complex relationships rather than a promise that the attempt will succeed, and the success depends, as always, on the sufficiency and quality of the data far more than on the theoretical expressiveness of the architecture. The neural network's flexibility is both its strength and its weakness, for the same capacity that allows it to fit complex relationships also allows it to overfit limited or noisy data, so that its successful application depends on careful regularisation and validation.</w:t>
      </w:r>
    </w:p>
    <w:p>
      <w:pPr>
        <w:pStyle w:val="Normal"/>
      </w:pPr>
      <w:r>
        <w:t xml:space="preserve">The manner in which a neural network learns repays a verbal description, because an intuitive grasp of the training process illuminates both its power and its failure modes. Training presents the network with examples whose correct outputs are known, compares the network's predictions against those known outputs through a loss function that measures the discrepancy, and adjusts the weights so as to reduce that discrepancy, repeating the cycle many times over the dataset. The adjustment is guided by the gradient of the loss with respect to each weight, computed efficiently by propagating the error backward through the layers, and each weight is nudged in the direction that most reduces the loss, by an amount governed by a learning rate whose setting is itself a delicate matter, for too large a rate causes the adjustment to overshoot and diverge while too small a rate causes learning to crawl [77]. This gradient-guided descent through a landscape of enormous dimensionality is remarkably effective in practice, but it offers no guarantee of finding the best possible set of weights, only a good one, and the dependence of the outcome on the starting point, the learning rate and the order in which examples are presented means that two ostensibly identical training runs may yield perceptibly different models, a variability that the practitioner must anticipate and manage.</w:t>
      </w:r>
    </w:p>
    <w:p>
      <w:pPr>
        <w:pStyle w:val="Normal"/>
      </w:pPr>
      <w:r>
        <w:t xml:space="preserve">The architecture of a network, meaning the number of layers and the number of units in each, determines its capacity to represent complex relationships, and its selection is among the consequential judgements in applying the method. A network with too few units lacks the capacity to capture the relationship and underfits, predicting poorly even on its training data; a network with too many units has capacity to spare and, on the limited datasets of nanofluid research, tends to expend that surplus capacity in fitting noise, overfitting and generalising badly. The guidance that emerges from experience is to prefer the smallest network that captures the relationship adequately, to be especially conservative with depth and width when data are scarce, and to lean on regularisation techniques, which penalise complexity or randomly disable units during training, to restrain a network's tendency to overfit [77]. The activation function, the nonlinearity through which each unit passes its weighted input, is a further architectural choice whose modern default admits efficient training of deep networks, but the deeper architectures that such functions enable are, as noted earlier, rarely warranted for the modest tabular datasets of thermal engineering, where a single hidden layer of modest width frequently suffices.</w:t>
      </w:r>
    </w:p>
    <w:p>
      <w:pPr>
        <w:pStyle w:val="Normal"/>
      </w:pPr>
      <w:r>
        <w:t xml:space="preserve">Support-vector methods constitute a second important family, founded on the principle of finding the decision boundary or regression function that maximises a margin of separation or that fits the data within a specified tolerance while penalising complexity. Support-vector regression, the variant used for the continuous prediction problems typical of thermal engineering, is valued for its solid theoretical foundation, its resistance to overfitting when properly configured, and its effective performance on the modestly sized datasets that characterise much of the nanofluid literature, where the number of experimental points is often too small for the reliable training of large neural networks [78]. The performance of support-vector methods depends on the choice of a kernel function, which implicitly maps the data into a higher-dimensional space in which a linear relationship is sought, and on the tuning of regularisation parameters, and this dependence on configuration, shared with the neural network, is a recurring theme in the application of machine learning.</w:t>
      </w:r>
    </w:p>
    <w:p>
      <w:pPr>
        <w:pStyle w:val="Normal"/>
      </w:pPr>
      <w:r>
        <w:t xml:space="preserve">The kernel device that lends support-vector methods their power deserves a fuller intuitive account, because it is at first encounter mysterious. A relationship that is hopelessly nonlinear in the original variables may become simple, even linear, when the data are viewed in a space of higher dimension constructed from nonlinear combinations of the original features, and the kernel function is a mathematical shortcut that computes the effect of working in that higher-dimensional space without ever constructing it explicitly, evaluating instead a measure of similarity between pairs of data points. By selecting a kernel, the analyst in effect selects the family of nonlinear relationships the method can represent, a smooth and gently curving family for one common kernel and a more locally flexible family for another, and the match between the chosen kernel and the true character of the relationship largely determines the method's success [78]. This displacement of the modelling choice from the form of the function to the form of the kernel is elegant, but it does not eliminate the need for judgement; it relocates it, and the tuning of the kernel and its associated parameters by disciplined validation remains essential.</w:t>
      </w:r>
    </w:p>
    <w:p>
      <w:pPr>
        <w:pStyle w:val="Normal"/>
      </w:pPr>
      <w:r>
        <w:t xml:space="preserve">The special suitability of support-vector regression to small datasets, which recommends it strongly for much nanofluid work, arises from its founding principle of controlling complexity explicitly. Rather than seeking merely to fit the training points, the method seeks the flattest, simplest function that fits them within a tolerance, trading a small amount of training accuracy for a large gain in robustness, and this deliberate preference for simplicity is exactly the discipline that guards against overfitting when data are too few to reveal complex structure reliably [78]. A neural network confronted with a few hundred scattered measurements is prone to contrive an elaborate relationship that the data cannot justify, whereas support-vector regression, constrained by its complexity penalty, resists such contrivance, and this difference in temperament, as much as any difference in raw capability, explains why the two methods suit different data regimes and why the choice between them should follow from the size and quality of the dataset rather than from the reputation of the method.</w:t>
      </w:r>
    </w:p>
    <w:p>
      <w:pPr>
        <w:pStyle w:val="Normal"/>
      </w:pPr>
      <w:r>
        <w:t xml:space="preserve">Tree-based methods, and in particular the ensemble methods that combine many trees, form a third family that has grown rapidly in popularity for thermal-engineering applications. A decision tree partitions the input space into regions by a sequence of binary splits and predicts a constant within each region, a simple and interpretable structure that, taken alone, tends to overfit. The manner in which a tree chooses its splits is itself illuminating, for at each step it examines the available features and the possible thresholds and selects the split that most reduces the impurity or the prediction error of the resulting regions, a greedy procedure that builds the tree from the top down without reconsidering earlier choices. This greediness makes the tree fast to construct and easy to follow, since the path from root to leaf reads as a sequence of intelligible conditions on the features, but it also renders the single tree brittle, because an early split chosen on the basis of a slightly unrepresentative sample can commit the whole tree to a suboptimal structure, and it is this brittleness that the ensembles are designed to overcome [79].</w:t>
      </w:r>
    </w:p>
    <w:p>
      <w:pPr>
        <w:pStyle w:val="Normal"/>
      </w:pPr>
      <w:r>
        <w:t xml:space="preserve">A particular virtue of tree-based methods in the thermal-engineering context, beyond their accuracy, is their indifference to the scaling and distribution of the features, which spares the analyst the normalisation and transformation that other methods demand and which makes them robust to the mixed and irregularly distributed variables that thermal datasets contain. A tree splits on the rank order of a feature rather than its magnitude, so that a feature measured in inconvenient units, or one whose values span several orders of magnitude, is handled as gracefully as a well-behaved one, and features on wildly different scales, such as a particle diameter in nanometres and a temperature in kelvin, coexist without the rescaling that a neural network or a support-vector machine would require [79]. This robustness, combined with the tolerance of tree ensembles for the occasional missing or anomalous value, contributes materially to their reputation as the dependable first choice for tabular thermal data, the method that most often yields a solid result with the least fuss. The ensemble methods overcome this tendency by combining many trees: the random forest averages the predictions of many trees grown on random subsets of the data and features, reducing variance, while the gradient-boosting methods build trees sequentially, each correcting the errors of its predecessors, achieving high accuracy that has made them dominant in many predictive-modelling competitions and increasingly prevalent in nanofluid property prediction [79]. The ensemble methods offer a favourable combination of accuracy, robustness to the scaling and distribution of the features, and a measure of interpretability through the feature-importance scores they produce, and they are frequently the strongest performers on tabular data of the kind that thermal engineering generates.</w:t>
      </w:r>
    </w:p>
    <w:p>
      <w:pPr>
        <w:pStyle w:val="Normal"/>
      </w:pPr>
      <w:r>
        <w:t xml:space="preserve">The distinction between the two principal ensemble strategies, the parallel averaging of the random forest and the sequential correction of gradient boosting, illuminates a general principle about how ensembles improve upon their constituent trees. The random forest attacks the instability of a single tree, its tendency to change markedly with small changes in the data, by growing many trees on randomly perturbed versions of the data and averaging their predictions, so that the idiosyncratic errors of the individual trees, being uncorrelated, largely cancel while their shared signal reinforces; the result is a prediction far more stable than any single tree could provide, achieved by the reduction of variance [79]. Gradient boosting attacks a different deficiency, the limited accuracy of a shallow tree, by building trees in sequence, each one trained to predict the errors that its predecessors left behind, so that the ensemble progressively refines its prediction and reduces bias. This sequential refinement can achieve remarkable accuracy, but it carries a corresponding risk, for a boosting ensemble trained too long will eventually begin to fit the noise in the training data, and its complexity must therefore be restrained by limiting the number and depth of the trees and by moderating the rate at which successive trees are allowed to contribute [79].</w:t>
      </w:r>
    </w:p>
    <w:p>
      <w:pPr>
        <w:pStyle w:val="Normal"/>
      </w:pPr>
      <w:r>
        <w:t xml:space="preserve">The feature-importance scores that tree ensembles produce are a distinctive asset in the thermal-engineering context, where the interpretability of a model is prized both for the trust it engenders and for the physical insight it may yield. By recording how much each feature contributes to the reduction of prediction error across the many splits of the ensemble, these methods produce a ranking of the variables by their predictive influence, and when that ranking accords with physical expectation, assigning high importance to variables known to govern the phenomenon, it lends confidence that the model has learned genuine relationships rather than spurious correlations; when it conflicts with expectation, it prompts a valuable scrutiny that may reveal either a flaw in the data or an unanticipated physical effect [79]. This capacity to interrogate what a model has learned, limited though it is, sets the tree ensembles apart from the opaque neural network and contributes materially to their popularity in a field where the reconciliation of data-driven predictions with physical understanding is a constant preoccupation. Table 6.1 summarises the principal artificial-intelligence techniques and characterises their suitability.</w:t>
      </w:r>
    </w:p>
    <w:p>
      <w:pPr>
        <w:pStyle w:val="TableCaption"/>
      </w:pPr>
      <w:r>
        <w:rPr>
          <w:b/>
        </w:rPr>
        <w:t xml:space="preserve">Table 6.1</w:t>
      </w:r>
      <w:r>
        <w:t xml:space="preserve"> Artificial-intelligence techniques applied to thermal and fluid-flow problems.</w:t>
      </w:r>
    </w:p>
    <w:tbl>
      <w:tblPr>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w="1872" w:type="dxa"/>
            <w:shd w:val="clear" w:color="auto" w:fill="D9E2F3"/>
          </w:tcPr>
          <w:p>
            <w:pPr>
              <w:jc w:val="center"/>
              <w:spacing w:after="20"/>
            </w:pPr>
            <w:r>
              <w:rPr>
                <w:b/>
              </w:rPr>
              <w:t xml:space="preserve">Technique</w:t>
            </w:r>
          </w:p>
        </w:tc>
        <w:tc>
          <w:tcPr>
            <w:tcW w:w="1872" w:type="dxa"/>
            <w:shd w:val="clear" w:color="auto" w:fill="D9E2F3"/>
          </w:tcPr>
          <w:p>
            <w:pPr>
              <w:jc w:val="center"/>
              <w:spacing w:after="20"/>
            </w:pPr>
            <w:r>
              <w:rPr>
                <w:b/>
              </w:rPr>
              <w:t xml:space="preserve">Problem type</w:t>
            </w:r>
          </w:p>
        </w:tc>
        <w:tc>
          <w:tcPr>
            <w:tcW w:w="1872" w:type="dxa"/>
            <w:shd w:val="clear" w:color="auto" w:fill="D9E2F3"/>
          </w:tcPr>
          <w:p>
            <w:pPr>
              <w:jc w:val="center"/>
              <w:spacing w:after="20"/>
            </w:pPr>
            <w:r>
              <w:rPr>
                <w:b/>
              </w:rPr>
              <w:t xml:space="preserve">Data appetite</w:t>
            </w:r>
          </w:p>
        </w:tc>
        <w:tc>
          <w:tcPr>
            <w:tcW w:w="1872" w:type="dxa"/>
            <w:shd w:val="clear" w:color="auto" w:fill="D9E2F3"/>
          </w:tcPr>
          <w:p>
            <w:pPr>
              <w:jc w:val="center"/>
              <w:spacing w:after="20"/>
            </w:pPr>
            <w:r>
              <w:rPr>
                <w:b/>
              </w:rPr>
              <w:t xml:space="preserve">Interpretability</w:t>
            </w:r>
          </w:p>
        </w:tc>
        <w:tc>
          <w:tcPr>
            <w:tcW w:w="1872" w:type="dxa"/>
            <w:shd w:val="clear" w:color="auto" w:fill="D9E2F3"/>
          </w:tcPr>
          <w:p>
            <w:pPr>
              <w:jc w:val="center"/>
              <w:spacing w:after="20"/>
            </w:pPr>
            <w:r>
              <w:rPr>
                <w:b/>
              </w:rPr>
              <w:t xml:space="preserve">Typical thermal use</w:t>
            </w:r>
          </w:p>
        </w:tc>
      </w:tr>
      <w:tr>
        <w:tc>
          <w:tcPr>
            <w:tcW w:w="1872" w:type="dxa"/>
          </w:tcPr>
          <w:p>
            <w:pPr>
              <w:spacing w:after="20"/>
              <w:jc w:val="left"/>
            </w:pPr>
            <w:r>
              <w:t xml:space="preserve">Artificial neural network</w:t>
            </w:r>
          </w:p>
        </w:tc>
        <w:tc>
          <w:tcPr>
            <w:tcW w:w="1872" w:type="dxa"/>
          </w:tcPr>
          <w:p>
            <w:pPr>
              <w:spacing w:after="20"/>
              <w:jc w:val="left"/>
            </w:pPr>
            <w:r>
              <w:t xml:space="preserve">Regression, classification</w:t>
            </w:r>
          </w:p>
        </w:tc>
        <w:tc>
          <w:tcPr>
            <w:tcW w:w="1872" w:type="dxa"/>
          </w:tcPr>
          <w:p>
            <w:pPr>
              <w:spacing w:after="20"/>
              <w:jc w:val="left"/>
            </w:pPr>
            <w:r>
              <w:t xml:space="preserve">Moderate to large</w:t>
            </w:r>
          </w:p>
        </w:tc>
        <w:tc>
          <w:tcPr>
            <w:tcW w:w="1872" w:type="dxa"/>
          </w:tcPr>
          <w:p>
            <w:pPr>
              <w:spacing w:after="20"/>
              <w:jc w:val="left"/>
            </w:pPr>
            <w:r>
              <w:t xml:space="preserve">Low</w:t>
            </w:r>
          </w:p>
        </w:tc>
        <w:tc>
          <w:tcPr>
            <w:tcW w:w="1872" w:type="dxa"/>
          </w:tcPr>
          <w:p>
            <w:pPr>
              <w:spacing w:after="20"/>
              <w:jc w:val="left"/>
            </w:pPr>
            <w:r>
              <w:t xml:space="preserve">Property and performance prediction</w:t>
            </w:r>
          </w:p>
        </w:tc>
      </w:tr>
      <w:tr>
        <w:tc>
          <w:tcPr>
            <w:tcW w:w="1872" w:type="dxa"/>
          </w:tcPr>
          <w:p>
            <w:pPr>
              <w:spacing w:after="20"/>
              <w:jc w:val="left"/>
            </w:pPr>
            <w:r>
              <w:t xml:space="preserve">Support-vector regression</w:t>
            </w:r>
          </w:p>
        </w:tc>
        <w:tc>
          <w:tcPr>
            <w:tcW w:w="1872" w:type="dxa"/>
          </w:tcPr>
          <w:p>
            <w:pPr>
              <w:spacing w:after="20"/>
              <w:jc w:val="left"/>
            </w:pPr>
            <w:r>
              <w:t xml:space="preserve">Regression</w:t>
            </w:r>
          </w:p>
        </w:tc>
        <w:tc>
          <w:tcPr>
            <w:tcW w:w="1872" w:type="dxa"/>
          </w:tcPr>
          <w:p>
            <w:pPr>
              <w:spacing w:after="20"/>
              <w:jc w:val="left"/>
            </w:pPr>
            <w:r>
              <w:t xml:space="preserve">Small to moderate</w:t>
            </w:r>
          </w:p>
        </w:tc>
        <w:tc>
          <w:tcPr>
            <w:tcW w:w="1872" w:type="dxa"/>
          </w:tcPr>
          <w:p>
            <w:pPr>
              <w:spacing w:after="20"/>
              <w:jc w:val="left"/>
            </w:pPr>
            <w:r>
              <w:t xml:space="preserve">Low</w:t>
            </w:r>
          </w:p>
        </w:tc>
        <w:tc>
          <w:tcPr>
            <w:tcW w:w="1872" w:type="dxa"/>
          </w:tcPr>
          <w:p>
            <w:pPr>
              <w:spacing w:after="20"/>
              <w:jc w:val="left"/>
            </w:pPr>
            <w:r>
              <w:t xml:space="preserve">Property prediction, small datasets</w:t>
            </w:r>
          </w:p>
        </w:tc>
      </w:tr>
      <w:tr>
        <w:tc>
          <w:tcPr>
            <w:tcW w:w="1872" w:type="dxa"/>
          </w:tcPr>
          <w:p>
            <w:pPr>
              <w:spacing w:after="20"/>
              <w:jc w:val="left"/>
            </w:pPr>
            <w:r>
              <w:t xml:space="preserve">Random forest</w:t>
            </w:r>
          </w:p>
        </w:tc>
        <w:tc>
          <w:tcPr>
            <w:tcW w:w="1872" w:type="dxa"/>
          </w:tcPr>
          <w:p>
            <w:pPr>
              <w:spacing w:after="20"/>
              <w:jc w:val="left"/>
            </w:pPr>
            <w:r>
              <w:t xml:space="preserve">Regression, classification</w:t>
            </w:r>
          </w:p>
        </w:tc>
        <w:tc>
          <w:tcPr>
            <w:tcW w:w="1872" w:type="dxa"/>
          </w:tcPr>
          <w:p>
            <w:pPr>
              <w:spacing w:after="20"/>
              <w:jc w:val="left"/>
            </w:pPr>
            <w:r>
              <w:t xml:space="preserve">Moderate</w:t>
            </w:r>
          </w:p>
        </w:tc>
        <w:tc>
          <w:tcPr>
            <w:tcW w:w="1872" w:type="dxa"/>
          </w:tcPr>
          <w:p>
            <w:pPr>
              <w:spacing w:after="20"/>
              <w:jc w:val="left"/>
            </w:pPr>
            <w:r>
              <w:t xml:space="preserve">Moderate</w:t>
            </w:r>
          </w:p>
        </w:tc>
        <w:tc>
          <w:tcPr>
            <w:tcW w:w="1872" w:type="dxa"/>
          </w:tcPr>
          <w:p>
            <w:pPr>
              <w:spacing w:after="20"/>
              <w:jc w:val="left"/>
            </w:pPr>
            <w:r>
              <w:t xml:space="preserve">Robust tabular prediction</w:t>
            </w:r>
          </w:p>
        </w:tc>
      </w:tr>
      <w:tr>
        <w:tc>
          <w:tcPr>
            <w:tcW w:w="1872" w:type="dxa"/>
          </w:tcPr>
          <w:p>
            <w:pPr>
              <w:spacing w:after="20"/>
              <w:jc w:val="left"/>
            </w:pPr>
            <w:r>
              <w:t xml:space="preserve">Gradient boosting (XGBoost)</w:t>
            </w:r>
          </w:p>
        </w:tc>
        <w:tc>
          <w:tcPr>
            <w:tcW w:w="1872" w:type="dxa"/>
          </w:tcPr>
          <w:p>
            <w:pPr>
              <w:spacing w:after="20"/>
              <w:jc w:val="left"/>
            </w:pPr>
            <w:r>
              <w:t xml:space="preserve">Regression, classification</w:t>
            </w:r>
          </w:p>
        </w:tc>
        <w:tc>
          <w:tcPr>
            <w:tcW w:w="1872" w:type="dxa"/>
          </w:tcPr>
          <w:p>
            <w:pPr>
              <w:spacing w:after="20"/>
              <w:jc w:val="left"/>
            </w:pPr>
            <w:r>
              <w:t xml:space="preserve">Moderate</w:t>
            </w:r>
          </w:p>
        </w:tc>
        <w:tc>
          <w:tcPr>
            <w:tcW w:w="1872" w:type="dxa"/>
          </w:tcPr>
          <w:p>
            <w:pPr>
              <w:spacing w:after="20"/>
              <w:jc w:val="left"/>
            </w:pPr>
            <w:r>
              <w:t xml:space="preserve">Moderate</w:t>
            </w:r>
          </w:p>
        </w:tc>
        <w:tc>
          <w:tcPr>
            <w:tcW w:w="1872" w:type="dxa"/>
          </w:tcPr>
          <w:p>
            <w:pPr>
              <w:spacing w:after="20"/>
              <w:jc w:val="left"/>
            </w:pPr>
            <w:r>
              <w:t xml:space="preserve">High-accuracy prediction</w:t>
            </w:r>
          </w:p>
        </w:tc>
      </w:tr>
      <w:tr>
        <w:tc>
          <w:tcPr>
            <w:tcW w:w="1872" w:type="dxa"/>
          </w:tcPr>
          <w:p>
            <w:pPr>
              <w:spacing w:after="20"/>
              <w:jc w:val="left"/>
            </w:pPr>
            <w:r>
              <w:t xml:space="preserve">Gaussian process</w:t>
            </w:r>
          </w:p>
        </w:tc>
        <w:tc>
          <w:tcPr>
            <w:tcW w:w="1872" w:type="dxa"/>
          </w:tcPr>
          <w:p>
            <w:pPr>
              <w:spacing w:after="20"/>
              <w:jc w:val="left"/>
            </w:pPr>
            <w:r>
              <w:t xml:space="preserve">Regression with uncertainty</w:t>
            </w:r>
          </w:p>
        </w:tc>
        <w:tc>
          <w:tcPr>
            <w:tcW w:w="1872" w:type="dxa"/>
          </w:tcPr>
          <w:p>
            <w:pPr>
              <w:spacing w:after="20"/>
              <w:jc w:val="left"/>
            </w:pPr>
            <w:r>
              <w:t xml:space="preserve">Small</w:t>
            </w:r>
          </w:p>
        </w:tc>
        <w:tc>
          <w:tcPr>
            <w:tcW w:w="1872" w:type="dxa"/>
          </w:tcPr>
          <w:p>
            <w:pPr>
              <w:spacing w:after="20"/>
              <w:jc w:val="left"/>
            </w:pPr>
            <w:r>
              <w:t xml:space="preserve">Moderate</w:t>
            </w:r>
          </w:p>
        </w:tc>
        <w:tc>
          <w:tcPr>
            <w:tcW w:w="1872" w:type="dxa"/>
          </w:tcPr>
          <w:p>
            <w:pPr>
              <w:spacing w:after="20"/>
              <w:jc w:val="left"/>
            </w:pPr>
            <w:r>
              <w:t xml:space="preserve">Surrogate modelling, optimisation</w:t>
            </w:r>
          </w:p>
        </w:tc>
      </w:tr>
      <w:tr>
        <w:tc>
          <w:tcPr>
            <w:tcW w:w="1872" w:type="dxa"/>
          </w:tcPr>
          <w:p>
            <w:pPr>
              <w:spacing w:after="20"/>
              <w:jc w:val="left"/>
            </w:pPr>
            <w:r>
              <w:t xml:space="preserve">Genetic algorithm</w:t>
            </w:r>
          </w:p>
        </w:tc>
        <w:tc>
          <w:tcPr>
            <w:tcW w:w="1872" w:type="dxa"/>
          </w:tcPr>
          <w:p>
            <w:pPr>
              <w:spacing w:after="20"/>
              <w:jc w:val="left"/>
            </w:pPr>
            <w:r>
              <w:t xml:space="preserve">Optimisation</w:t>
            </w:r>
          </w:p>
        </w:tc>
        <w:tc>
          <w:tcPr>
            <w:tcW w:w="1872" w:type="dxa"/>
          </w:tcPr>
          <w:p>
            <w:pPr>
              <w:spacing w:after="20"/>
              <w:jc w:val="left"/>
            </w:pPr>
            <w:r>
              <w:t xml:space="preserve">N/A</w:t>
            </w:r>
          </w:p>
        </w:tc>
        <w:tc>
          <w:tcPr>
            <w:tcW w:w="1872" w:type="dxa"/>
          </w:tcPr>
          <w:p>
            <w:pPr>
              <w:spacing w:after="20"/>
              <w:jc w:val="left"/>
            </w:pPr>
            <w:r>
              <w:t xml:space="preserve">Low</w:t>
            </w:r>
          </w:p>
        </w:tc>
        <w:tc>
          <w:tcPr>
            <w:tcW w:w="1872" w:type="dxa"/>
          </w:tcPr>
          <w:p>
            <w:pPr>
              <w:spacing w:after="20"/>
              <w:jc w:val="left"/>
            </w:pPr>
            <w:r>
              <w:t xml:space="preserve">Design optimisation</w:t>
            </w:r>
          </w:p>
        </w:tc>
      </w:tr>
    </w:tbl>
    <w:p>
      <w:pPr>
        <w:spacing w:after="120"/>
      </w:pPr>
    </w:p>
    <w:p>
      <w:pPr>
        <w:pStyle w:val="Normal"/>
      </w:pPr>
      <w:r>
        <w:t xml:space="preserve">Beyond these predictive techniques, the toolkit includes methods for optimisation and for the discovery of structure. Evolutionary and swarm-based optimisation algorithms, including genetic algorithms and particle-swarm optimisation, search a design space by maintaining and iteratively improving a population of candidate solutions according to rules inspired by biological evolution or collective behaviour, and they are well suited to the multi-objective, constraint-bounded optimisation of heat-exchanger designs, particularly when combined with a machine-learning surrogate that supplies the cheap evaluations the search requires [80]. Gaussian-process regression, which predicts not only a value but a calibrated uncertainty, is valued both as a surrogate model and as the engine of Bayesian optimisation, in which the uncertainty guides the search toward the most informative next evaluation. Unsupervised methods, including clustering and dimensionality reduction, discover structure in unlabelled data and are used to explore and organise datasets, to identify regimes and to reduce the dimensionality of the input space before predictive modelling [81]. The breadth of this toolkit, and the specialisation of its members to different tasks, means that the selection of technique is itself a skill, and the following chapters develop the criteria by which the selection is made.</w:t>
      </w:r>
    </w:p>
    <w:p>
      <w:pPr>
        <w:pStyle w:val="Normal"/>
      </w:pPr>
      <w:r>
        <w:t xml:space="preserve">The evolutionary and swarm-based optimisers merit a closer conceptual description, because their coupling with predictive surrogates is a recurring motif of data-driven design. A genetic algorithm maintains a population of candidate designs, each encoded as a set of decision variables, and improves the population across successive generations by imitating the mechanisms of natural selection: the better-performing candidates are preferentially selected to contribute to the next generation, their variables are recombined to produce offspring that blend the characteristics of their parents, and occasional random mutations introduce novelty that prevents the search from stagnating. Particle-swarm optimisation, drawing instead on the metaphor of a flock, moves each candidate through the design space under the combined influence of its own best-found position and the best found by the swarm as a whole, so that the population converges collectively toward promising regions [80]. Both methods share the virtues of requiring no gradient information, of tolerating the discontinuous and multi-modal objective landscapes that heat-exchanger design presents, and of naturally handling multiple competing objectives, and both share the vice of requiring very many evaluations of the objective, a vice that is fatal when each evaluation is an expensive computation but harmless when each is a query to a cheap machine-learning surrogate, which is precisely why the pairing of the two is so productive.</w:t>
      </w:r>
    </w:p>
    <w:p>
      <w:pPr>
        <w:pStyle w:val="Normal"/>
      </w:pPr>
      <w:r>
        <w:t xml:space="preserve">Gaussian-process regression warrants particular notice for a capability that few other methods possess, namely the provision of a calibrated estimate of its own uncertainty alongside each prediction. Rather than committing to a single function, the method maintains a distribution over the functions consistent with the data, so that where the data are dense its predictions are confident and where they are sparse its predictions are attended by a frankly reported wide uncertainty, a behaviour that mirrors the honest epistemic state of a model asked to extrapolate [81]. This self-knowledge is what makes the method the natural engine of Bayesian optimisation, in which the search for an optimum is guided not merely toward regions predicted to perform well but toward regions where the prediction is most uncertain and hence most informative, balancing the exploitation of known-good designs against the exploration of the unknown. The unsupervised methods of clustering and dimensionality reduction, finally, though they make no predictions, earn their place in the toolkit by preparing and illuminating the data, revealing the grouping of measurements by regime or by source and compressing correlated features into a smaller set, services whose value in organising the heterogeneous nanofluid database the following chapter develops in detail [81].</w:t>
      </w:r>
    </w:p>
    <w:p>
      <w:pPr>
        <w:pStyle w:val="Heading2"/>
      </w:pPr>
      <w:r>
        <w:t xml:space="preserve">6.3 Advantages, Limitations, and Opportunities of AI-Based Thermal Modelling</w:t>
      </w:r>
    </w:p>
    <w:p>
      <w:pPr>
        <w:pStyle w:val="Normal"/>
      </w:pPr>
      <w:r>
        <w:t xml:space="preserve">The advantages of artificial-intelligence-based thermal modelling follow directly from the difficulties that motivate its adoption, and they are substantial. The foremost advantage is the ability to learn complex, high-dimensional and nonlinear relationships directly from data without requiring a closed-form mechanistic theory, which is precisely the capability that the intractable physics of nanofluid conductivity, viscosity and convective enhancement demands. A well-trained data-driven model can predict a property or a performance measure across the joint variation of many input variables with an accuracy that empirical correlations, limited to a few fitted constants and a fixed functional form, cannot match, and it can do so at negligible computational cost once trained, enabling the many-query optimisation that design demands [82]. The contrast with the conventional correlation is instructive: a correlation imposes a functional form chosen in advance, often a power-law product of dimensionless groups, and can represent only the relationships that form admits, so that a genuine dependence departing from the assumed shape is simply invisible to it, whereas a flexible data-driven model imposes no such prior form and adapts its shape to whatever the data reveal, capturing curvature, saturation and interaction that the rigid correlation cannot. This freedom from an imposed functional form is the deep source of the accuracy advantage, and it is most valuable precisely in the nanofluid domain, where the true relationships are complex, poorly understood and unlikely to conform to any simple analytical shape [82]. A second advantage is the capacity to integrate heterogeneous data from experiment, computation and the literature into a single model, extracting more value from the scattered database than any single source could provide, and it is worth noting that this capacity operates across the joint variation of variables in a way that the human mind, adept at reasoning about one or two variables at a time, cannot readily match; a data-driven model considers all the features simultaneously and captures the interactions among them, the ways in which the effect of one variable depends on the values of others, which are exactly the relationships that defeat the intuition and that the fixed functional forms of conventional correlations struggle to represent. A third is the ability to serve as a fast surrogate for expensive computation, reproducing the input–output behaviour of a validated computational model at a tiny fraction of its cost and thereby making feasible the exploration and optimisation that direct computation would render prohibitive.</w:t>
      </w:r>
    </w:p>
    <w:p>
      <w:pPr>
        <w:pStyle w:val="Normal"/>
      </w:pPr>
      <w:r>
        <w:t xml:space="preserve">The surrogate advantage deserves elaboration, because it reframes the relationship between computation and design in a way that is transformative in practice. A high-fidelity computation of a single heat-exchanger configuration may consume hours or days of processor time, a cost that permits the evaluation of a handful of candidate designs but forecloses the systematic search over hundreds or thousands of configurations that genuine optimisation requires. A surrogate trained on a designed set of such computations reproduces their input–output relationship in milliseconds, so that once the expense of generating the training data has been borne, the design space can be explored with a freedom that direct computation could never afford, and the optimisation methods described earlier can be unleashed upon a cheap surrogate objective rather than a ruinously expensive one [82]. The economic logic is that of a fixed investment in data generation followed by an essentially free stream of subsequent evaluations, and it is this logic, rather than any claim that the surrogate is more accurate than the computation it imitates, that justifies the surrogate paradigm and explains its growing prevalence in heat-exchanger design.</w:t>
      </w:r>
    </w:p>
    <w:p>
      <w:pPr>
        <w:pStyle w:val="Normal"/>
      </w:pPr>
      <w:r>
        <w:t xml:space="preserve">A further advantage, less often remarked but of considerable practical value, is the capacity of data-driven models to reconcile and synthesise the discordant results of a fragmented literature. The experimental record of nanofluid behaviour is scattered across many studies that differ in their materials, methods and conditions and that frequently disagree, and no single correlation can accommodate this diversity gracefully. A data-driven model trained on the pooled record can, if the sources of variation are represented among its features, learn to account for the differences between studies rather than being confounded by them, extracting from the collective database a coherent predictive relationship that no individual study could supply [82]. This synthesising capacity turns the very heterogeneity that frustrates conventional correlation into a resource, provided that the metadata describing how each measurement was obtained are preserved and supplied to the model, a proviso whose importance the following chapter's treatment of data preparation makes plain.</w:t>
      </w:r>
    </w:p>
    <w:p>
      <w:pPr>
        <w:pStyle w:val="Normal"/>
      </w:pPr>
      <w:r>
        <w:t xml:space="preserve">The limitations of the data-driven approach are equally real and must be understood if the methods are to be applied soundly rather than credulously. The foremost limitation is the dependence of a model's accuracy on the quantity and quality of its training data, encapsulated in the maxim that a model can be no better than the data from which it learns; a model trained on a scattered, biased or limited dataset will inherit those deficiencies, and no algorithmic sophistication can compensate for inadequate data [83]. A second limitation is the poor extrapolation of most data-driven models beyond the range of their training data, a consequence of their fitting the data rather than embodying the physics, which means that a model trained on one range of concentrations, temperatures or geometries cannot be trusted outside that range, a restriction of particular importance in a field where the design space is large and the data sparse. A third limitation is the opacity of many high-performing models, especially neural networks, whose learned relationships are difficult to interpret and to reconcile with physical understanding, raising concerns about trust and about the detection of physically absurd predictions.</w:t>
      </w:r>
    </w:p>
    <w:p>
      <w:pPr>
        <w:pStyle w:val="Normal"/>
      </w:pPr>
      <w:r>
        <w:t xml:space="preserve">The extrapolation limitation is so consequential for thermal-engineering practice that it warrants a fuller and more cautionary treatment. A data-driven model, having learned its relationship by fitting the training data, has no knowledge of the physics beyond what those data implicitly encode, and when it is queried outside the region the data cover it does not so much predict as guess, extending its fitted function into territory where nothing constrains it to remain physically sensible. The danger is aggravated by the fact that the model issues its extrapolated guess with the same outward confidence as its well-founded interpolations, offering no intrinsic warning that it has left the region of validity, so that an unwary user may accept a grossly wrong prediction as authoritative [83]. In a field where the design space is vast and the data sparse, the boundary of the training region is easily and unknowingly crossed, and the discipline of recording that boundary explicitly, of checking each query against it, and of preferring methods such as Gaussian processes that signal their own uncertainty is not a refinement but a necessity for responsible practice. The physical understanding cultivated in the earlier chapters provides the indispensable external check, allowing the engineer to recognise an extrapolated prediction that violates a known limit or trend even when the model itself gives no sign of distress.</w:t>
      </w:r>
    </w:p>
    <w:p>
      <w:pPr>
        <w:pStyle w:val="Normal"/>
      </w:pPr>
      <w:r>
        <w:t xml:space="preserve">The opacity of the more powerful models raises concerns that extend beyond mere inconvenience to the heart of engineering responsibility, for a design decision that cannot be explained is difficult to defend, to audit or to trust in a safety-relevant context. The field of interpretable and explainable machine learning has developed a range of techniques to peer into otherwise opaque models, from the feature-importance measures native to tree ensembles to post-hoc methods that probe how a trained model responds to systematic variation of its inputs, and these techniques can recover a partial account of what a model has learned and whether that account accords with physical expectation [83]. Yet such explanations are approximate and can themselves mislead, and the more fundamental safeguard is to prefer, wherever the loss of accuracy is tolerable, models whose structure is inherently interpretable, accepting a modest sacrifice of predictive performance in exchange for the transparency that engineering accountability demands. The choice between an opaque model of slightly higher accuracy and a transparent one of slightly lower accuracy is a genuine engineering trade-off, to be resolved by the requirements of the application rather than by an uncritical preference for the highest headline accuracy.</w:t>
      </w:r>
    </w:p>
    <w:p>
      <w:pPr>
        <w:pStyle w:val="Normal"/>
      </w:pPr>
      <w:r>
        <w:t xml:space="preserve">A fourth limitation, subtler than the others but no less real, concerns the treatment of uncertainty and the seductive precision of a point prediction. A model that returns a single number for a thermal conductivity or a Nusselt number conveys an impression of exactitude that the underlying data, scattered and uncertain as they are, cannot support, and a design founded on such point predictions inherits an unacknowledged risk. The remedy lies in methods that quantify and propagate uncertainty, reporting a range within which the true value is likely to lie rather than a single deceptive figure, so that the design process can account explicitly for what is not known [83]. The neglect of predictive uncertainty is among the more common shortcomings of the applied literature, and its correction, through the uncertainty-aware methods that the opportunities discussed next emphasise, is a mark of maturing practice. Table 6.2 contrasts the data-driven and conventional modelling paradigms across the attributes that matter for thermal engineering.</w:t>
      </w:r>
    </w:p>
    <w:p>
      <w:pPr>
        <w:pStyle w:val="TableCaption"/>
      </w:pPr>
      <w:r>
        <w:rPr>
          <w:b/>
        </w:rPr>
        <w:t xml:space="preserve">Table 6.2</w:t>
      </w:r>
      <w:r>
        <w:t xml:space="preserve"> Comparison of data-driven and conventional (correlation / physics-based) modelling.</w:t>
      </w:r>
    </w:p>
    <w:tbl>
      <w:tblPr>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w="3120" w:type="dxa"/>
            <w:shd w:val="clear" w:color="auto" w:fill="D9E2F3"/>
          </w:tcPr>
          <w:p>
            <w:pPr>
              <w:jc w:val="center"/>
              <w:spacing w:after="20"/>
            </w:pPr>
            <w:r>
              <w:rPr>
                <w:b/>
              </w:rPr>
              <w:t xml:space="preserve">Attribute</w:t>
            </w:r>
          </w:p>
        </w:tc>
        <w:tc>
          <w:tcPr>
            <w:tcW w:w="3120" w:type="dxa"/>
            <w:shd w:val="clear" w:color="auto" w:fill="D9E2F3"/>
          </w:tcPr>
          <w:p>
            <w:pPr>
              <w:jc w:val="center"/>
              <w:spacing w:after="20"/>
            </w:pPr>
            <w:r>
              <w:rPr>
                <w:b/>
              </w:rPr>
              <w:t xml:space="preserve">Data-driven (AI/ML)</w:t>
            </w:r>
          </w:p>
        </w:tc>
        <w:tc>
          <w:tcPr>
            <w:tcW w:w="3120" w:type="dxa"/>
            <w:shd w:val="clear" w:color="auto" w:fill="D9E2F3"/>
          </w:tcPr>
          <w:p>
            <w:pPr>
              <w:jc w:val="center"/>
              <w:spacing w:after="20"/>
            </w:pPr>
            <w:r>
              <w:rPr>
                <w:b/>
              </w:rPr>
              <w:t xml:space="preserve">Conventional (correlation / CFD)</w:t>
            </w:r>
          </w:p>
        </w:tc>
      </w:tr>
      <w:tr>
        <w:tc>
          <w:tcPr>
            <w:tcW w:w="3120" w:type="dxa"/>
          </w:tcPr>
          <w:p>
            <w:pPr>
              <w:spacing w:after="20"/>
              <w:jc w:val="left"/>
            </w:pPr>
            <w:r>
              <w:t xml:space="preserve">Basis</w:t>
            </w:r>
          </w:p>
        </w:tc>
        <w:tc>
          <w:tcPr>
            <w:tcW w:w="3120" w:type="dxa"/>
          </w:tcPr>
          <w:p>
            <w:pPr>
              <w:spacing w:after="20"/>
              <w:jc w:val="left"/>
            </w:pPr>
            <w:r>
              <w:t xml:space="preserve">Learned from data</w:t>
            </w:r>
          </w:p>
        </w:tc>
        <w:tc>
          <w:tcPr>
            <w:tcW w:w="3120" w:type="dxa"/>
          </w:tcPr>
          <w:p>
            <w:pPr>
              <w:spacing w:after="20"/>
              <w:jc w:val="left"/>
            </w:pPr>
            <w:r>
              <w:t xml:space="preserve">Empirical fit / first principles</w:t>
            </w:r>
          </w:p>
        </w:tc>
      </w:tr>
      <w:tr>
        <w:tc>
          <w:tcPr>
            <w:tcW w:w="3120" w:type="dxa"/>
          </w:tcPr>
          <w:p>
            <w:pPr>
              <w:spacing w:after="20"/>
              <w:jc w:val="left"/>
            </w:pPr>
            <w:r>
              <w:t xml:space="preserve">Accuracy within range</w:t>
            </w:r>
          </w:p>
        </w:tc>
        <w:tc>
          <w:tcPr>
            <w:tcW w:w="3120" w:type="dxa"/>
          </w:tcPr>
          <w:p>
            <w:pPr>
              <w:spacing w:after="20"/>
              <w:jc w:val="left"/>
            </w:pPr>
            <w:r>
              <w:t xml:space="preserve">High</w:t>
            </w:r>
          </w:p>
        </w:tc>
        <w:tc>
          <w:tcPr>
            <w:tcW w:w="3120" w:type="dxa"/>
          </w:tcPr>
          <w:p>
            <w:pPr>
              <w:spacing w:after="20"/>
              <w:jc w:val="left"/>
            </w:pPr>
            <w:r>
              <w:t xml:space="preserve">Moderate to high</w:t>
            </w:r>
          </w:p>
        </w:tc>
      </w:tr>
      <w:tr>
        <w:tc>
          <w:tcPr>
            <w:tcW w:w="3120" w:type="dxa"/>
          </w:tcPr>
          <w:p>
            <w:pPr>
              <w:spacing w:after="20"/>
              <w:jc w:val="left"/>
            </w:pPr>
            <w:r>
              <w:t xml:space="preserve">Extrapolation</w:t>
            </w:r>
          </w:p>
        </w:tc>
        <w:tc>
          <w:tcPr>
            <w:tcW w:w="3120" w:type="dxa"/>
          </w:tcPr>
          <w:p>
            <w:pPr>
              <w:spacing w:after="20"/>
              <w:jc w:val="left"/>
            </w:pPr>
            <w:r>
              <w:t xml:space="preserve">Poor</w:t>
            </w:r>
          </w:p>
        </w:tc>
        <w:tc>
          <w:tcPr>
            <w:tcW w:w="3120" w:type="dxa"/>
          </w:tcPr>
          <w:p>
            <w:pPr>
              <w:spacing w:after="20"/>
              <w:jc w:val="left"/>
            </w:pPr>
            <w:r>
              <w:t xml:space="preserve">Physics-based better</w:t>
            </w:r>
          </w:p>
        </w:tc>
      </w:tr>
      <w:tr>
        <w:tc>
          <w:tcPr>
            <w:tcW w:w="3120" w:type="dxa"/>
          </w:tcPr>
          <w:p>
            <w:pPr>
              <w:spacing w:after="20"/>
              <w:jc w:val="left"/>
            </w:pPr>
            <w:r>
              <w:t xml:space="preserve">Query cost after setup</w:t>
            </w:r>
          </w:p>
        </w:tc>
        <w:tc>
          <w:tcPr>
            <w:tcW w:w="3120" w:type="dxa"/>
          </w:tcPr>
          <w:p>
            <w:pPr>
              <w:spacing w:after="20"/>
              <w:jc w:val="left"/>
            </w:pPr>
            <w:r>
              <w:t xml:space="preserve">Very low</w:t>
            </w:r>
          </w:p>
        </w:tc>
        <w:tc>
          <w:tcPr>
            <w:tcW w:w="3120" w:type="dxa"/>
          </w:tcPr>
          <w:p>
            <w:pPr>
              <w:spacing w:after="20"/>
              <w:jc w:val="left"/>
            </w:pPr>
            <w:r>
              <w:t xml:space="preserve">Low (correlation) / high (CFD)</w:t>
            </w:r>
          </w:p>
        </w:tc>
      </w:tr>
      <w:tr>
        <w:tc>
          <w:tcPr>
            <w:tcW w:w="3120" w:type="dxa"/>
          </w:tcPr>
          <w:p>
            <w:pPr>
              <w:spacing w:after="20"/>
              <w:jc w:val="left"/>
            </w:pPr>
            <w:r>
              <w:t xml:space="preserve">Interpretability</w:t>
            </w:r>
          </w:p>
        </w:tc>
        <w:tc>
          <w:tcPr>
            <w:tcW w:w="3120" w:type="dxa"/>
          </w:tcPr>
          <w:p>
            <w:pPr>
              <w:spacing w:after="20"/>
              <w:jc w:val="left"/>
            </w:pPr>
            <w:r>
              <w:t xml:space="preserve">Low (ANN) to moderate</w:t>
            </w:r>
          </w:p>
        </w:tc>
        <w:tc>
          <w:tcPr>
            <w:tcW w:w="3120" w:type="dxa"/>
          </w:tcPr>
          <w:p>
            <w:pPr>
              <w:spacing w:after="20"/>
              <w:jc w:val="left"/>
            </w:pPr>
            <w:r>
              <w:t xml:space="preserve">High</w:t>
            </w:r>
          </w:p>
        </w:tc>
      </w:tr>
      <w:tr>
        <w:tc>
          <w:tcPr>
            <w:tcW w:w="3120" w:type="dxa"/>
          </w:tcPr>
          <w:p>
            <w:pPr>
              <w:spacing w:after="20"/>
              <w:jc w:val="left"/>
            </w:pPr>
            <w:r>
              <w:t xml:space="preserve">Data requirement</w:t>
            </w:r>
          </w:p>
        </w:tc>
        <w:tc>
          <w:tcPr>
            <w:tcW w:w="3120" w:type="dxa"/>
          </w:tcPr>
          <w:p>
            <w:pPr>
              <w:spacing w:after="20"/>
              <w:jc w:val="left"/>
            </w:pPr>
            <w:r>
              <w:t xml:space="preserve">High</w:t>
            </w:r>
          </w:p>
        </w:tc>
        <w:tc>
          <w:tcPr>
            <w:tcW w:w="3120" w:type="dxa"/>
          </w:tcPr>
          <w:p>
            <w:pPr>
              <w:spacing w:after="20"/>
              <w:jc w:val="left"/>
            </w:pPr>
            <w:r>
              <w:t xml:space="preserve">Low (correlation)</w:t>
            </w:r>
          </w:p>
        </w:tc>
      </w:tr>
      <w:tr>
        <w:tc>
          <w:tcPr>
            <w:tcW w:w="3120" w:type="dxa"/>
          </w:tcPr>
          <w:p>
            <w:pPr>
              <w:spacing w:after="20"/>
              <w:jc w:val="left"/>
            </w:pPr>
            <w:r>
              <w:t xml:space="preserve">Handles high dimensionality</w:t>
            </w:r>
          </w:p>
        </w:tc>
        <w:tc>
          <w:tcPr>
            <w:tcW w:w="3120" w:type="dxa"/>
          </w:tcPr>
          <w:p>
            <w:pPr>
              <w:spacing w:after="20"/>
              <w:jc w:val="left"/>
            </w:pPr>
            <w:r>
              <w:t xml:space="preserve">Well</w:t>
            </w:r>
          </w:p>
        </w:tc>
        <w:tc>
          <w:tcPr>
            <w:tcW w:w="3120" w:type="dxa"/>
          </w:tcPr>
          <w:p>
            <w:pPr>
              <w:spacing w:after="20"/>
              <w:jc w:val="left"/>
            </w:pPr>
            <w:r>
              <w:t xml:space="preserve">Poorly (correlation)</w:t>
            </w:r>
          </w:p>
        </w:tc>
      </w:tr>
    </w:tbl>
    <w:p>
      <w:pPr>
        <w:spacing w:after="120"/>
      </w:pPr>
    </w:p>
    <w:p>
      <w:pPr>
        <w:pStyle w:val="Normal"/>
      </w:pPr>
      <w:r>
        <w:t xml:space="preserve">The opportunities that lie at the intersection of the advantages and limitations define the most promising directions for the field, and several deserve emphasis because they recur in the applications of the following chapters. The integration of physical knowledge into data-driven models, through physics-informed architectures that embed conservation laws or known limiting behaviours, through the use of dimensionless features that encode physical similarity, or through constraints that enforce physical plausibility, offers a route to models that combine the flexibility of data-driven learning with the reliability and extrapolation of physics, mitigating the principal limitations of the pure data-driven approach [84]. The quantification of predictive uncertainty, through Gaussian processes, ensembles or Bayesian neural networks, offers a route to models that report not only a prediction but a confidence, enabling the sound use of predictions in design and guiding the acquisition of new data toward the regions where the model is least certain. The coupling of surrogate models with optimisation, already noted, offers a route to the efficient multi-objective design that the conventional framework of Chapter 4 defines but cannot cheaply execute [85].</w:t>
      </w:r>
    </w:p>
    <w:p>
      <w:pPr>
        <w:pStyle w:val="Normal"/>
      </w:pPr>
      <w:r>
        <w:t xml:space="preserve">The integration of physical knowledge into data-driven models, which is perhaps the most fertile of these opportunities, can be pursued at several levels of intimacy, and it is worth distinguishing them because they demand differing degrees of effort and confer differing benefits. At the least invasive level, physical knowledge enters through the features, when the raw variables are combined into the dimensionless groups that thermal similarity prescribes, so that the model learns in terms of quantities that already embody the physics and that generalise across scales and fluids in the way the physics guarantees. At a deeper level, physical knowledge enters through constraints imposed upon the model, requiring its predictions to respect known bounds, monotonic trends or limiting behaviours, so that a prediction which would violate a physical law is forbidden by construction. At the deepest level, the governing equations themselves are woven into the training, the model being penalised not only for departing from the data but for violating the differential equations that the physics imposes, so that the learned function is simultaneously a fit to the data and an approximate solution of the physics [84]. Each level trades increased implementation effort for increased physical fidelity and improved extrapolation, and the selection among them is itself an engineering judgement, but the common principle, that the reliability of a data-driven model can be enhanced by informing it with what is already known, is one of the most important correctives to the limitations catalogued above.</w:t>
      </w:r>
    </w:p>
    <w:p>
      <w:pPr>
        <w:pStyle w:val="Normal"/>
      </w:pPr>
      <w:r>
        <w:t xml:space="preserve">The quantification of predictive uncertainty, the second major opportunity, transforms a model from an oracle issuing unqualified pronouncements into an advisor that reports both its estimate and its confidence, and this transformation has consequences that ramify through the whole design process. A prediction accompanied by a calibrated uncertainty can be used soundly in a design that must respect safety margins, for the margin can be set in relation to the reported uncertainty rather than guessed; it can guide the acquisition of new data toward the regions where the model is least certain, so that a limited budget for experiment or computation is spent where it most improves the model, a strategy known as active learning; and it can inform a robust optimisation that seeks designs which perform well not merely at the predicted operating point but across the range of uncertainty, hedging against the model's own fallibility [85]. The methods that furnish such uncertainty, whether the Gaussian processes noted earlier, the ensembles whose spread of predictions estimates their uncertainty, or the Bayesian treatments of neural networks, thus open design strategies that a bare point prediction forecloses, and their adoption is among the surest signs that a data-driven practice has matured beyond the pursuit of headline accuracy toward the responsible support of engineering decisions.</w:t>
      </w:r>
    </w:p>
    <w:p>
      <w:pPr>
        <w:pStyle w:val="Normal"/>
      </w:pPr>
      <w:r>
        <w:t xml:space="preserve">A third opportunity, distinct from these but increasingly prominent, lies in the transfer of knowledge between related problems, which addresses directly the chronic scarcity of data in any single nanofluid application. A model trained on the abundant data of one well-studied system can serve as a starting point that is then refined with the sparse data of a related but less-studied system, transferring the general relationships learned from the first to accelerate and stabilise the learning of the second, a strategy that can extract useful predictions from datasets far too small to support training from scratch [85]. The applicability of such transfer rests on a genuine physical kinship between the source and target problems, and its misuse where no such kinship exists can transfer misleading relationships as readily as helpful ones, so that here again physical judgement governs the sound exercise of a powerful technique. Taken together, the integration of physics, the quantification of uncertainty and the transfer of knowledge constitute a research frontier at which the limitations of the pure data-driven approach are progressively overcome by reuniting it with the physical understanding it initially set aside.</w:t>
      </w:r>
    </w:p>
    <w:p>
      <w:pPr>
        <w:pStyle w:val="Normal"/>
      </w:pPr>
      <w:r>
        <w:t xml:space="preserve">The proper place of artificial intelligence within thermal engineering is, finally, as a complement to physical understanding and mechanistic modelling rather than a replacement for them, and the recognition of this complementarity is the mark of sound practice. The physical understanding developed in the earlier chapters guides the formulation of the data-driven problem, informing the selection of features, the choice of dimensionless groups, the assessment of whether a prediction is physically reasonable, and the interpretation of what a model has learned. The mechanistic models of correlation and computation provide the training data, define the benchmarks against which data-driven models are judged, and cover the regimes in which data are absent and extrapolation is required. This division of labour is not a temporary expedient to be abandoned as data-driven methods mature but a durable feature of sound practice, for the physical laws that the mechanistic models encode will always extrapolate more reliably than any relationship inferred from finite data, and the data-driven models will always capture complexities that resist closed-form expression; neither can wholly supplant the other, and the recognition of their permanent complementarity is the conceptual foundation on which the integrated workflows of the following chapters are built [86]. The data-driven models, in turn, extend the reach of the mechanistic ones, learning relationships too complex for closed-form expression and providing the fast evaluations that optimisation demands [86]. It is this integrated practice, in which physical, computational and data-driven methods reinforce one another, that the remaining chapters develop and exemplify, first by establishing the fundamentals of machine learning in Chapter 7 and then by applying them to the prediction of nanofluid properties and heat-exchanger performance in Chapters 8 and 9, always with the understanding, established here, that the power of the data-driven approach is real but conditional, and that its sound exploitation requires the physical judgement that only a grounding in the fundamentals of heat transfer and nanofluids can supply.</w:t>
      </w:r>
    </w:p>
    <w:p>
      <w:pPr>
        <w:pStyle w:val="Normal"/>
      </w:pPr>
      <w:r>
        <w:t xml:space="preserve">The complementarity between data-driven and mechanistic approaches can be stated more concretely by considering how each compensates for the weaknesses of the other. The mechanistic models excel where the physics is understood and fail where it is obscure; the data-driven models excel where data are plentiful and fail where they are absent; and the two failure modes are, fortunately, largely disjoint, so that a mechanistic model can supply the physical structure and the extrapolative reach that a data-driven model lacks, while a data-driven model can supply the flexibility to capture relationships that no mechanistic model can express in closed form [86]. A workflow that exploits this complementarity might use a validated computation to generate training data across a designed range, a data-driven surrogate to learn the computation's behaviour cheaply, physical constraints to keep the surrogate honest where data are thin, and an uncertainty estimate to flag the queries that stray beyond the trustworthy region, each element covering a gap that the others would otherwise leave open. The construction of such integrated workflows, rather than the isolated application of any single method, is the practice toward which the field is converging and which the applications of the following chapters illustrate.</w:t>
      </w:r>
    </w:p>
    <w:p>
      <w:pPr>
        <w:pStyle w:val="Normal"/>
      </w:pPr>
      <w:r>
        <w:t xml:space="preserve">It is fitting to close this chapter with a caution against two opposite errors that beset the adoption of artificial intelligence in thermal engineering, for the avoidance of both is the essence of sound practice. The first error is an uncritical enthusiasm that treats data-driven methods as a panacea, applying them indiscriminately, accepting their predictions without scrutiny, and neglecting the physical understanding and experimental discipline on which their reliability ultimately depends; this error produces the plausible-looking but unsound results that discredit the methods and squander their promise. The second and opposite error is a reflexive scepticism that dismisses data-driven methods as mere curve-fitting devoid of physical content, and that thereby forgoes the genuine advantages they offer in precisely the high-dimensional, physically obscure problems where mechanistic modelling falters [86]. The mature position, which this book advocates throughout, steers between these errors by regarding artificial intelligence as a powerful but conditional instrument, whose power is realised only when it is wielded with an understanding of both its capabilities and its limits and in concert with the physical and computational methods that the earlier chapters established. It is with this balanced understanding in place that the reader is now equipped to study, in the following chapter, the fundamentals of machine learning in the detail that their sound application to heat-exchanger design requires.</w:t>
      </w:r>
    </w:p>
    <w:p>
      <w:r>
        <w:br w:type="page"/>
      </w:r>
    </w:p>
    <w:p>
      <w:pPr>
        <w:pStyle w:val="Title"/>
      </w:pPr>
      <w:r>
        <w:t xml:space="preserve">Chapter 7. Machine Learning Fundamentals for Heat Exchanger Design</w:t>
      </w:r>
    </w:p>
    <w:p>
      <w:pPr>
        <w:pStyle w:val="Heading1"/>
      </w:pPr>
      <w:r>
        <w:t xml:space="preserve">Abstract</w:t>
      </w:r>
    </w:p>
    <w:p>
      <w:pPr>
        <w:pStyle w:val="Normal"/>
      </w:pPr>
      <w:r>
        <w:t xml:space="preserve">The sound application of machine learning to heat-exchanger design requires more than familiarity with a software library; it requires an understanding of the principles that govern how models learn from data, how their performance is measured, and how the many decisions taken in the course of building a model affect the reliability of its predictions. This chapter develops those fundamentals at the level of detail a thermal engineer needs to build, evaluate and critically assess data-driven models of nanofluid properties and heat-exchanger performance. It begins with the three principal paradigms of machine learning, supervised, unsupervised and reinforcement learning, characterising the kind of problem each addresses and the role each plays in thermal-engineering applications. It then treats the practical craft of building a model, encompassing the preparation and cleaning of data, the engineering and selection of features, the splitting of data for training and testing, and the training and tuning of the model itself, emphasising the decisions that most strongly influence the outcome. Finally, it addresses the evaluation of models, the cross-validation procedures that guard against over-optimistic assessment, the performance metrics that quantify predictive accuracy for the regression problems typical of thermal engineering, and the diagnosis of the underfitting and overfitting that lie at the heart of the modelling craft. Throughout, the treatment is oriented toward the particular circumstances of nanofluid and heat-exchanger data, which are typically tabular, modest in quantity, and subject to the scatter and measurement uncertainty documented in the earlier chapters, and it prepares the reader for the specific applications developed in Chapters 8 and 9.</w:t>
      </w:r>
    </w:p>
    <w:p>
      <w:pPr>
        <w:pStyle w:val="Heading2"/>
      </w:pPr>
      <w:r>
        <w:t xml:space="preserve">7.1 Supervised, Unsupervised, and Reinforcement Learning</w:t>
      </w:r>
    </w:p>
    <w:p>
      <w:pPr>
        <w:pStyle w:val="Normal"/>
      </w:pPr>
      <w:r>
        <w:t xml:space="preserve">Machine learning is conventionally divided into three paradigms according to the nature of the data available and the kind of feedback the learning process receives, and the great majority of thermal-engineering applications fall within the first of them, supervised learning. In supervised learning the training data consist of examples in which both the input features and the correct output target are known, and the object is to learn a mapping from features to targets that generalises to new, unseen inputs. When the target is a continuous quantity, such as a thermal conductivity, a Nusselt number or a pressure drop, the problem is one of regression, and regression is the dominant task in nanofluid and heat-exchanger modelling because the quantities of engineering interest are almost all continuous. When the target is a discrete category, such as a flow regime or a stability class, the problem is one of classification [87].</w:t>
      </w:r>
    </w:p>
    <w:p>
      <w:pPr>
        <w:pStyle w:val="Normal"/>
      </w:pPr>
      <w:r>
        <w:t xml:space="preserve">The predominance of regression over classification in thermal-engineering applications is a consequence of the nature of the questions the engineer asks, which are overwhelmingly quantitative, and it shapes the whole apparatus of methods and metrics that this chapter develops. The engineer wishes to know not merely whether a nanofluid will conduct heat well but how well, expressed as a numerical conductivity; not merely whether a heat exchanger will perform adequately but what its effectiveness and pressure drop will be, expressed as numbers that feed directly into design calculations. Classification does arise, as when a suspension must be judged stable or unstable, or a flow laminar, transitional or turbulent, but these categorical questions are the exception, and even they are frequently better addressed by predicting an underlying continuous quantity and comparing it against a threshold than by training a classifier directly [87]. The reader should therefore understand the emphasis on regression throughout this chapter not as an arbitrary choice but as a faithful reflection of the quantitative character of thermal-engineering practice, in which the objects of prediction are almost always numbers rather than labels.</w:t>
      </w:r>
    </w:p>
    <w:p>
      <w:pPr>
        <w:pStyle w:val="Normal"/>
      </w:pPr>
      <w:r>
        <w:t xml:space="preserve">A conceptual point that underlies the whole of supervised learning, and that the thermal engineer accustomed to deterministic physical laws must assimilate, is that the relationship the model learns is statistical rather than exact. The measured targets in a training set are corrupted by experimental error and by the influence of variables not among the features, so that even the true underlying relationship would not pass exactly through the measured points, and a model that tried to do so would be fitting the noise. Supervised learning therefore aims not to reproduce the training targets exactly but to recover the systematic relationship that underlies them, treating the scatter about that relationship as noise to be averaged out rather than signal to be captured [88]. This statistical conception of the learning task, in which the goal is the expected value of the target given the features rather than any individual measured value, is the conceptual root of the distinction between fitting and generalising that governs the entire discipline, and its acceptance marks the transition from a deterministic to a statistical habit of mind that the sound practice of machine learning requires. Figure 7.1 depicts the three learning paradigms together with the representative tasks that each addresses in thermal modelling, providing a map of the field that the remainder of the chapter elaborates.</w:t>
      </w:r>
    </w:p>
    <w:p>
      <w:pPr>
        <w:pStyle w:val="FigureImage"/>
      </w:pPr>
      <w:r>
        <w:drawing>
          <wp:inline xmlns:wp="http://schemas.openxmlformats.org/drawingml/2006/wordprocessingDrawing" distT="0" distB="0" distL="0" distR="0">
            <wp:extent cx="5486400" cy="3753852"/>
            <wp:docPr id="1016" name="Picture1016"/>
            <a:graphic xmlns:a="http://schemas.openxmlformats.org/drawingml/2006/main">
              <a:graphicData uri="http://schemas.openxmlformats.org/drawingml/2006/picture">
                <pic:pic xmlns:pic="http://schemas.openxmlformats.org/drawingml/2006/picture">
                  <pic:nvPicPr>
                    <pic:cNvPr id="1016" name="Picture1016"/>
                    <pic:cNvPicPr/>
                  </pic:nvPicPr>
                  <pic:blipFill>
                    <a:blip xmlns:r="http://schemas.openxmlformats.org/officeDocument/2006/relationships" r:embed="rId1016"/>
                    <a:stretch>
                      <a:fillRect/>
                    </a:stretch>
                  </pic:blipFill>
                  <pic:spPr>
                    <a:xfrm>
                      <a:off x="0" y="0"/>
                      <a:ext cx="5486400" cy="3753852"/>
                    </a:xfrm>
                    <a:prstGeom prst="rect">
                      <a:avLst/>
                    </a:prstGeom>
                  </pic:spPr>
                </pic:pic>
              </a:graphicData>
            </a:graphic>
          </wp:inline>
        </w:drawing>
      </w:r>
    </w:p>
    <w:p>
      <w:pPr>
        <w:pStyle w:val="FigureCaption"/>
      </w:pPr>
      <w:r>
        <w:t xml:space="preserve">Figure 7.1 The three machine-learning paradigms and their representative tasks in thermal modelling.</w:t>
      </w:r>
    </w:p>
    <w:p>
      <w:pPr>
        <w:pStyle w:val="Normal"/>
      </w:pPr>
      <w:r>
        <w:t xml:space="preserve">The supervised-learning workflow, which structures nearly every predictive application in this book, proceeds from a dataset of labelled examples through the training of a model to the prediction of targets for new inputs. The model is a parameterised function, and training adjusts its parameters to minimise a loss function that measures the discrepancy between the model's predictions and the known targets on the training data. The choice of model determines the form of the function and hence the kinds of relationship it can represent, while the choice of loss function determines what constitutes a good fit, and both choices influence the outcome. The essential challenge of supervised learning, to which much of the chapter is devoted, is that minimising the loss on the training data is not the true objective; the true objective is to minimise the loss on unseen data, and a model that fits the training data too closely may generalise poorly, a failure mode that the evaluation procedures of Section 7.3 are designed to detect and prevent [88].</w:t>
      </w:r>
    </w:p>
    <w:p>
      <w:pPr>
        <w:pStyle w:val="Normal"/>
      </w:pPr>
      <w:r>
        <w:t xml:space="preserve">The choice of loss function, which specifies precisely what the training seeks to minimise, is a modelling decision of some consequence that is easily overlooked because a default is so often accepted without reflection. The most common loss for regression penalises the square of the prediction error, which has the convenient mathematical property of a smooth gradient and the statistical interpretation of seeking the mean of the target, but which weights large errors very heavily and is therefore sensitive to the outliers that a scattered experimental dataset contains, so that a few erroneous measurements can distort the fitted model appreciably. An alternative loss that penalises the absolute error weights all errors in proportion to their magnitude and is correspondingly more robust to outliers, seeking the median rather than the mean of the target, and a compromise loss that behaves quadratically for small errors and linearly for large ones combines robustness with a smooth gradient [88]. The alignment of the loss function with the character of the data and the priorities of the application, rather than the unreflective acceptance of the squared-error default, is a mark of considered practice, and it is especially pertinent in the nanofluid context where outlying measurements are common and their undue influence is a genuine hazard.</w:t>
      </w:r>
    </w:p>
    <w:p>
      <w:pPr>
        <w:pStyle w:val="Normal"/>
      </w:pPr>
      <w:r>
        <w:t xml:space="preserve">The relationship between model capacity and the twin risks of underfitting and overfitting, which Section 7.3 treats in detail, can usefully be previewed here in its conceptual essence, because it motivates much of what follows. Every model possesses a capacity, a richness of the relationships it can represent, and the total error of its predictions on unseen data can be understood as arising from two opposing sources: a bias that reflects the model's inability to represent the true relationship when its capacity is too low, and a variance that reflects the model's sensitivity to the particular training sample when its capacity is too high. Increasing capacity reduces bias but increases variance, and the art of modelling lies in finding the capacity that minimises their sum, a balance that depends on the amount of data available, for more data permit higher capacity to be exploited without incurring excessive variance [88]. This decomposition of error into bias and variance is among the most illuminating ideas in the discipline, and it explains why the modest datasets of nanofluid research favour models of restrained capacity and why the acquisition of more data, when feasible, is so often the most effective route to improved prediction.</w:t>
      </w:r>
    </w:p>
    <w:p>
      <w:pPr>
        <w:pStyle w:val="Normal"/>
      </w:pPr>
      <w:r>
        <w:t xml:space="preserve">Unsupervised learning addresses data in which no target is provided, and its object is to discover structure within the input data themselves rather than to predict a known output. Clustering, the most common unsupervised task, partitions the data into groups of similar examples, and in thermal engineering it is used to identify regimes, to organise heterogeneous datasets and to detect outliers that may indicate erroneous measurements. Dimensionality reduction, a second unsupervised task, seeks a lower-dimensional representation of the data that preserves its essential structure, and it is used to visualise high-dimensional datasets, to remove redundancy among correlated features and to compress the input before predictive modelling; the detection of anomalies, a third unsupervised task closely allied to clustering, identifies the examples that conform poorly to the structure the bulk of the data exhibit, and in the preparation of a nanofluid dataset it provides an objective complement to the physically informed judgement by which suspect measurements are flagged for scrutiny [89]. Although unsupervised methods are less prominent than supervised ones in the nanofluid literature, they play a valuable supporting role in the exploration and preparation of data, and they can reveal structure, such as the clustering of measurements by preparation method or by laboratory, that alerts the analyst to biases in the dataset that would otherwise distort a supervised model.</w:t>
      </w:r>
    </w:p>
    <w:p>
      <w:pPr>
        <w:pStyle w:val="Normal"/>
      </w:pPr>
      <w:r>
        <w:t xml:space="preserve">The mechanics of clustering warrant a brief verbal account, because the intuition it provides carries over to the diagnostic use that thermal engineers make of it. A clustering algorithm groups examples by their similarity, gathering into a common cluster those examples that lie close together in the feature space and separating those that lie far apart, and the most familiar such algorithm proceeds by positing a number of cluster centres, assigning each example to its nearest centre, relocating each centre to the mean of the examples assigned to it, and repeating until the assignment stabilises. The result is a partition of the data into groups whose members resemble one another, and in the exploratory analysis of a nanofluid dataset such a partition may correspond to physically or procedurally meaningful categories, grouping together, for instance, the measurements made on a particular class of particle or by a particular experimental technique [89]. The value of this to the supervised modeller is diagnostic: if the clusters align with the source of the data rather than with its physics, the alignment betrays a systematic difference between sources that, unless accounted for, will confound a supervised model, and the clustering thus surfaces a hidden structure that the raw inspection of the data would not reveal.</w:t>
      </w:r>
    </w:p>
    <w:p>
      <w:pPr>
        <w:pStyle w:val="Normal"/>
      </w:pPr>
      <w:r>
        <w:t xml:space="preserve">Dimensionality reduction serves a complementary exploratory purpose, and its logic is that of finding a compact representation that preserves the essential variation in the data while discarding redundancy. The most established such method identifies the directions in the feature space along which the data vary most, and re-expresses each example in terms of its coordinates along a few of these directions, so that a dataset described originally by many correlated features may be summarised with little loss by a handful of derived quantities [89]. For the thermal engineer this offers both a means of visualising a high-dimensional dataset by projecting it onto two or three derived dimensions that can be plotted, revealing groupings and outliers that no single pairwise plot would show, and a means of reducing the dimensionality of the input before supervised modelling, mitigating the curse of dimensionality that afflicts learning from limited data. The interpretation of the derived dimensions in physical terms is not always straightforward, but where the original features are physically meaningful the directions of greatest variation often admit a physical reading that itself yields insight into which combinations of variables carry the information in the dataset.</w:t>
      </w:r>
    </w:p>
    <w:p>
      <w:pPr>
        <w:pStyle w:val="Normal"/>
      </w:pPr>
      <w:r>
        <w:t xml:space="preserve">Reinforcement learning, the third paradigm, addresses problems in which an agent learns to take actions in an environment so as to maximise a cumulative reward, learning from the consequences of its actions rather than from labelled examples. It differs fundamentally from the other two paradigms in that the data are generated by the agent's own actions and the feedback is a scalar reward rather than a correct answer, and it is suited to sequential decision and control problems. In thermal engineering its applications are at present less mature than those of supervised learning, but they include the real-time control of thermal systems, the adaptive operation of heat exchangers under varying conditions, and the sequential design of experiments or simulations to acquire the most informative data, and interest in these applications is growing as the methods mature [90]. The distinctive learning mechanism of reinforcement learning repays a fuller description, because it differs so markedly from the other paradigms that its applicability is easily misjudged. The reinforcement-learning agent is not shown correct answers but is instead placed in an environment in which it takes actions, observes the resulting change of state, and receives a reward that signals the desirability of the outcome, and over many such interactions it learns a policy, a mapping from states to actions, that maximises the cumulative reward it can expect to accumulate over time. The central difficulty, which distinguishes the paradigm from mere trial and error, is that the reward may be delayed, so that an action beneficial in the long run may appear costly in the short run, and the agent must learn to credit early actions for their eventual consequences, balancing the exploitation of actions known to yield reward against the exploration of untried actions that might yield more [90]. This framework is powerful for genuine sequential-control problems, but its data requirements and its need for a safe environment in which to experiment, whether real or simulated, are demanding, and the thermal engineer should recognise that many problems superficially resembling control, in which a single decision is made from fixed inputs, are in truth supervised-learning problems better addressed by the simpler paradigm.</w:t>
      </w:r>
    </w:p>
    <w:p>
      <w:pPr>
        <w:pStyle w:val="Normal"/>
      </w:pPr>
      <w:r>
        <w:t xml:space="preserve">The three paradigms are complementary rather than competing, and a sophisticated application may employ all three: unsupervised methods to explore and prepare the data, supervised methods to build predictive surrogates, and reinforcement learning to control or to optimise, and the thermal engineer benefits from a working familiarity with all of them even though supervised regression will dominate the applications of the following chapters. The judgement of which paradigm a given problem calls for is itself a foundational skill, and it turns on two questions that the analyst should pose at the outset: whether correct outputs are available for the training examples, which distinguishes supervised from unsupervised learning, and whether the problem involves a sequence of decisions with delayed consequences, which distinguishes reinforcement learning from both. A clear answer to these questions at the outset averts the not uncommon error of forcing a problem into an ill-suited paradigm, such as treating a straightforward prediction as a control problem or attempting to cluster data whose natural task is prediction, and it directs the subsequent effort of data preparation and model development along productive lines [90].</w:t>
      </w:r>
    </w:p>
    <w:p>
      <w:pPr>
        <w:pStyle w:val="Heading2"/>
      </w:pPr>
      <w:r>
        <w:t xml:space="preserve">7.2 Data Preparation, Feature Engineering, and Model Development</w:t>
      </w:r>
    </w:p>
    <w:p>
      <w:pPr>
        <w:pStyle w:val="Normal"/>
      </w:pPr>
      <w:r>
        <w:t xml:space="preserve">The adage that a machine-learning model is only as good as the data from which it learns is nowhere more pertinent than in nanofluid and heat-exchanger modelling, where the data are drawn from a scattered and heterogeneous literature, and the preparation of the data is consequently the phase of model development that most repays careful attention while being the phase most often neglected. Data preparation begins with the assembly of a dataset from its sources, whether experimental measurements, computational results or values extracted from published tables and figures, and with the reconciliation of the units, conventions and definitions used by different sources, a step that is laborious but essential because inconsistencies in, for example, the definition of concentration or the reference temperature for a property can introduce systematic errors that no subsequent modelling can remove [91].</w:t>
      </w:r>
    </w:p>
    <w:p>
      <w:pPr>
        <w:pStyle w:val="Normal"/>
      </w:pPr>
      <w:r>
        <w:t xml:space="preserve">The reconciliation of conventions is more treacherous than it may first appear, because the discrepancies are often silent, buried in definitions that each source regards as too obvious to state. The concentration of a suspension may be reported as a volume fraction or a mass fraction, quantities that differ substantially for the dense particles typical of nanofluids, and a dataset that pools the two without conversion introduces a systematic distortion that no amount of subsequent modelling can detect or repair, since the corrupted feature carries no mark of its corruption. Temperatures may be referenced differently, properties may be measured by methods that yield subtly different values, and geometric quantities may be defined with respect to different characteristic dimensions, each a potential source of silent inconsistency [91]. The defence against these hazards is a meticulous and physically informed audit of every source, tracing each reported quantity back to its definition and converting all to a common convention before any modelling begins, a discipline that is tedious and unglamorous but that determines the integrity of everything built upon the data, and that the physically knowledgeable analyst is uniquely equipped to perform.</w:t>
      </w:r>
    </w:p>
    <w:p>
      <w:pPr>
        <w:pStyle w:val="Normal"/>
      </w:pPr>
      <w:r>
        <w:t xml:space="preserve">The extraction of data from published figures, a necessity when tabulated values are unavailable, introduces its own category of error that the analyst must weigh. Values read from a plotted curve or scatter of points, whether by hand or by digitisation software, carry a reading uncertainty that adds to the original measurement uncertainty, and this compounded uncertainty must be borne in mind when such extracted data are pooled with directly tabulated values of higher precision [91]. Where the provenance and reliability of the sources differ markedly, the analyst may reasonably weight them differently or record their provenance as metadata that a model can use to account for the varying quality, and in extreme cases may exclude sources whose reliability cannot be established, accepting a smaller but cleaner dataset in preference to a larger but corrupted one. These judgements about the admission and weighting of sources are among the most consequential in the whole modelling enterprise, and they rest on the physical and experimental understanding that the earlier chapters cultivate rather than on any purely statistical criterion. Figure 7.2 sets out the data-driven modelling pipeline, from data collection through cleaning, feature engineering and the train–test split to model training, validation and deployment, with the feedback loop through which validation results inform the retuning of the model.</w:t>
      </w:r>
    </w:p>
    <w:p>
      <w:pPr>
        <w:pStyle w:val="FigureImage"/>
      </w:pPr>
      <w:r>
        <w:drawing>
          <wp:inline xmlns:wp="http://schemas.openxmlformats.org/drawingml/2006/wordprocessingDrawing" distT="0" distB="0" distL="0" distR="0">
            <wp:extent cx="5486400" cy="3753852"/>
            <wp:docPr id="1017" name="Picture1017"/>
            <a:graphic xmlns:a="http://schemas.openxmlformats.org/drawingml/2006/main">
              <a:graphicData uri="http://schemas.openxmlformats.org/drawingml/2006/picture">
                <pic:pic xmlns:pic="http://schemas.openxmlformats.org/drawingml/2006/picture">
                  <pic:nvPicPr>
                    <pic:cNvPr id="1017" name="Picture1017"/>
                    <pic:cNvPicPr/>
                  </pic:nvPicPr>
                  <pic:blipFill>
                    <a:blip xmlns:r="http://schemas.openxmlformats.org/officeDocument/2006/relationships" r:embed="rId1017"/>
                    <a:stretch>
                      <a:fillRect/>
                    </a:stretch>
                  </pic:blipFill>
                  <pic:spPr>
                    <a:xfrm>
                      <a:off x="0" y="0"/>
                      <a:ext cx="5486400" cy="3753852"/>
                    </a:xfrm>
                    <a:prstGeom prst="rect">
                      <a:avLst/>
                    </a:prstGeom>
                  </pic:spPr>
                </pic:pic>
              </a:graphicData>
            </a:graphic>
          </wp:inline>
        </w:drawing>
      </w:r>
    </w:p>
    <w:p>
      <w:pPr>
        <w:pStyle w:val="FigureCaption"/>
      </w:pPr>
      <w:r>
        <w:t xml:space="preserve">Figure 7.2 The data-driven modelling pipeline for heat-exchanger and nanofluid applications.</w:t>
      </w:r>
    </w:p>
    <w:p>
      <w:pPr>
        <w:pStyle w:val="Normal"/>
      </w:pPr>
      <w:r>
        <w:t xml:space="preserve">The cleaning of the assembled data addresses the errors, omissions and anomalies that any real dataset contains. Missing values, which arise when a source fails to report a variable that the model requires, must be handled either by discarding the incomplete examples, which wastes data, or by imputing the missing values from the others, which introduces assumptions that must be examined. Outliers, examples whose values depart markedly from the rest, may represent genuine but rare behaviour, in which case they carry valuable information, or erroneous measurements, in which case they distort the model, and distinguishing between the two requires physical judgement of the kind that the earlier chapters cultivate. Duplicate and near-duplicate examples, which arise when the same measurement is reported by multiple sources, must be identified and consolidated to prevent them from biasing the model toward the over-represented conditions, a hazard that is acute in a field whose most-studied nanofluids appear repeatedly across the literature while less fashionable systems are represented by a handful of points, so that an uncorrected dataset teaches the model far more about the popular systems than about the rest and generalises accordingly unevenly [92]. The cleaning phase is where physical understanding and data-analytic technique meet most directly, and the analyst who understands the physics of the measurements is far better placed to clean the data soundly than one who treats them as abstract numbers.</w:t>
      </w:r>
    </w:p>
    <w:p>
      <w:pPr>
        <w:pStyle w:val="Normal"/>
      </w:pPr>
      <w:r>
        <w:t xml:space="preserve">The handling of missing values illustrates this meeting of physics and technique with particular clarity, for the choice among the available strategies should be governed by why the values are missing, a question that only physical and procedural knowledge can answer. If a value is missing for reasons unrelated to its magnitude, as when a study simply did not report a variable, the incomplete examples may be discarded or the missing values imputed with relatively little risk of bias; but if a value is missing for reasons related to its magnitude, as when a measurement failed precisely because the quantity lay outside an instrument's range, then both discarding and naive imputation introduce a bias, systematically removing or misrepresenting the extreme cases [92]. The simplest imputation, replacing a missing value with the mean of the observed values, is convenient but distorts the distribution and weakens genuine relationships, whereas more sophisticated imputation that predicts the missing value from the other features preserves more of the structure at the cost of additional assumptions; the choice among them, and indeed the decision whether to impute at all, is a matter of judgement that the physics of the missingness should inform.</w:t>
      </w:r>
    </w:p>
    <w:p>
      <w:pPr>
        <w:pStyle w:val="Normal"/>
      </w:pPr>
      <w:r>
        <w:t xml:space="preserve">The identification of outliers is the aspect of cleaning in which physical judgement is most indispensable and most irreplaceable by mechanical rule. A purely statistical criterion, flagging as an outlier any value that departs from the others by more than some multiple of the scatter, cannot by itself distinguish a genuine but rare physical behaviour from an erroneous measurement, and its blind application will discard valuable information as readily as it removes error. The physically knowledgeable analyst brings to bear an understanding of what values are physically possible, what trends are expected, and what measurement failures are plausible, and with this understanding can adjudicate each flagged value on its merits, retaining the rare but real and removing the impossible or the manifestly mistaken [92]. This adjudication cannot be fully automated, and the attempt to automate it by statistical rule alone is among the more common causes of subtly corrupted datasets, in which either genuine physics has been discarded as noise or errors have been retained as signal, with corresponding damage to the model trained upon the result.</w:t>
      </w:r>
    </w:p>
    <w:p>
      <w:pPr>
        <w:pStyle w:val="Normal"/>
      </w:pPr>
      <w:r>
        <w:t xml:space="preserve">Feature engineering, the construction of the input variables from which the model predicts, is among the most consequential and most creative phases of model development, and in thermal engineering it offers a distinctive opportunity to inject physical knowledge into an otherwise data-driven process. The raw variables of a dataset, such as the particle diameter, the temperature and the flow velocity, can be combined into dimensionless groups, such as the Reynolds, Prandtl and Nusselt numbers, that encode the physical similarity relationships developed in the earlier chapters, and a model trained on such dimensionless features frequently generalises better than one trained on the raw variables, because the dimensionless features capture the underlying physics more directly and reduce the effective dimensionality of the problem [93]. The construction of dimensionless features is worth dwelling upon, because it is the point at which the accumulated physical understanding of the earlier chapters most directly enhances the data-driven enterprise, and its benefits are several and substantial. A model trained on dimensionless groups learns a relationship that is, by construction, independent of the system of units and valid across changes of scale, so that a relationship learned at one size may apply at another in the way that physical similarity guarantees, a transferability that raw dimensional features cannot provide. The grouping of several raw variables into a single dimensionless quantity also reduces the number of features the model must contend with, easing the curse of dimensionality and allowing the limited data to determine a simpler relationship more reliably. And because the dimensionless groups embody the physically meaningful combinations of variables, a model expressed in their terms is more interpretable and its learned relationships more readily checked against physical expectation [93]. The engineering of dimensionless features is thus not a mere convenience but a principled injection of physics into the model, and it exemplifies the integration of physical knowledge with data-driven learning that the previous chapter identified as the field's most fertile opportunity.</w:t>
      </w:r>
    </w:p>
    <w:p>
      <w:pPr>
        <w:pStyle w:val="Normal"/>
      </w:pPr>
      <w:r>
        <w:t xml:space="preserve">The scaling of features to comparable ranges, through normalisation or standardisation, is necessary for many algorithms whose behaviour depends on the relative magnitudes of the features, and the encoding of categorical variables, such as the particle material or the base fluid, into numerical form is required before they can be used. The necessity of scaling arises because several important methods measure distances or form weighted sums in the feature space, and a feature of large numerical magnitude will dominate such computations merely by virtue of its scale, regardless of its true predictive importance, unless the features are first brought to comparable ranges; the tree-based methods discussed earlier are a notable exception, being indifferent to scale, but the neural networks and support-vector methods are not, and for them the neglect of scaling is a common cause of poor performance [93]. The encoding of categorical variables demands its own care, for a naive assignment of consecutive integers to unordered categories imposes a spurious order and spurious distances upon them, implying for instance that one particle material lies numerically between two others, and the preferred encoding that represents each category by a separate indicator avoids this artefact at the cost of increasing the dimensionality, a trade-off that the number of categories governs. Table 7.1 characterises the three learning paradigms and the data and feedback each requires, consolidating the foundations laid in the preceding section.</w:t>
      </w:r>
    </w:p>
    <w:p>
      <w:pPr>
        <w:pStyle w:val="TableCaption"/>
      </w:pPr>
      <w:r>
        <w:rPr>
          <w:b/>
        </w:rPr>
        <w:t xml:space="preserve">Table 7.1</w:t>
      </w:r>
      <w:r>
        <w:t xml:space="preserve"> Characteristics of the three machine-learning paradigms.</w:t>
      </w:r>
    </w:p>
    <w:tbl>
      <w:tblPr>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w="1872" w:type="dxa"/>
            <w:shd w:val="clear" w:color="auto" w:fill="D9E2F3"/>
          </w:tcPr>
          <w:p>
            <w:pPr>
              <w:jc w:val="center"/>
              <w:spacing w:after="20"/>
            </w:pPr>
            <w:r>
              <w:rPr>
                <w:b/>
              </w:rPr>
              <w:t xml:space="preserve">Paradigm</w:t>
            </w:r>
          </w:p>
        </w:tc>
        <w:tc>
          <w:tcPr>
            <w:tcW w:w="1872" w:type="dxa"/>
            <w:shd w:val="clear" w:color="auto" w:fill="D9E2F3"/>
          </w:tcPr>
          <w:p>
            <w:pPr>
              <w:jc w:val="center"/>
              <w:spacing w:after="20"/>
            </w:pPr>
            <w:r>
              <w:rPr>
                <w:b/>
              </w:rPr>
              <w:t xml:space="preserve">Data required</w:t>
            </w:r>
          </w:p>
        </w:tc>
        <w:tc>
          <w:tcPr>
            <w:tcW w:w="1872" w:type="dxa"/>
            <w:shd w:val="clear" w:color="auto" w:fill="D9E2F3"/>
          </w:tcPr>
          <w:p>
            <w:pPr>
              <w:jc w:val="center"/>
              <w:spacing w:after="20"/>
            </w:pPr>
            <w:r>
              <w:rPr>
                <w:b/>
              </w:rPr>
              <w:t xml:space="preserve">Feedback</w:t>
            </w:r>
          </w:p>
        </w:tc>
        <w:tc>
          <w:tcPr>
            <w:tcW w:w="1872" w:type="dxa"/>
            <w:shd w:val="clear" w:color="auto" w:fill="D9E2F3"/>
          </w:tcPr>
          <w:p>
            <w:pPr>
              <w:jc w:val="center"/>
              <w:spacing w:after="20"/>
            </w:pPr>
            <w:r>
              <w:rPr>
                <w:b/>
              </w:rPr>
              <w:t xml:space="preserve">Representative task</w:t>
            </w:r>
          </w:p>
        </w:tc>
        <w:tc>
          <w:tcPr>
            <w:tcW w:w="1872" w:type="dxa"/>
            <w:shd w:val="clear" w:color="auto" w:fill="D9E2F3"/>
          </w:tcPr>
          <w:p>
            <w:pPr>
              <w:jc w:val="center"/>
              <w:spacing w:after="20"/>
            </w:pPr>
            <w:r>
              <w:rPr>
                <w:b/>
              </w:rPr>
              <w:t xml:space="preserve">Thermal application</w:t>
            </w:r>
          </w:p>
        </w:tc>
      </w:tr>
      <w:tr>
        <w:tc>
          <w:tcPr>
            <w:tcW w:w="1872" w:type="dxa"/>
          </w:tcPr>
          <w:p>
            <w:pPr>
              <w:spacing w:after="20"/>
              <w:jc w:val="left"/>
            </w:pPr>
            <w:r>
              <w:t xml:space="preserve">Supervised</w:t>
            </w:r>
          </w:p>
        </w:tc>
        <w:tc>
          <w:tcPr>
            <w:tcW w:w="1872" w:type="dxa"/>
          </w:tcPr>
          <w:p>
            <w:pPr>
              <w:spacing w:after="20"/>
              <w:jc w:val="left"/>
            </w:pPr>
            <w:r>
              <w:t xml:space="preserve">Labelled (features + target)</w:t>
            </w:r>
          </w:p>
        </w:tc>
        <w:tc>
          <w:tcPr>
            <w:tcW w:w="1872" w:type="dxa"/>
          </w:tcPr>
          <w:p>
            <w:pPr>
              <w:spacing w:after="20"/>
              <w:jc w:val="left"/>
            </w:pPr>
            <w:r>
              <w:t xml:space="preserve">Correct target</w:t>
            </w:r>
          </w:p>
        </w:tc>
        <w:tc>
          <w:tcPr>
            <w:tcW w:w="1872" w:type="dxa"/>
          </w:tcPr>
          <w:p>
            <w:pPr>
              <w:spacing w:after="20"/>
              <w:jc w:val="left"/>
            </w:pPr>
            <w:r>
              <w:t xml:space="preserve">Regression, classification</w:t>
            </w:r>
          </w:p>
        </w:tc>
        <w:tc>
          <w:tcPr>
            <w:tcW w:w="1872" w:type="dxa"/>
          </w:tcPr>
          <w:p>
            <w:pPr>
              <w:spacing w:after="20"/>
              <w:jc w:val="left"/>
            </w:pPr>
            <w:r>
              <w:t xml:space="preserve">Property / performance prediction</w:t>
            </w:r>
          </w:p>
        </w:tc>
      </w:tr>
      <w:tr>
        <w:tc>
          <w:tcPr>
            <w:tcW w:w="1872" w:type="dxa"/>
          </w:tcPr>
          <w:p>
            <w:pPr>
              <w:spacing w:after="20"/>
              <w:jc w:val="left"/>
            </w:pPr>
            <w:r>
              <w:t xml:space="preserve">Unsupervised</w:t>
            </w:r>
          </w:p>
        </w:tc>
        <w:tc>
          <w:tcPr>
            <w:tcW w:w="1872" w:type="dxa"/>
          </w:tcPr>
          <w:p>
            <w:pPr>
              <w:spacing w:after="20"/>
              <w:jc w:val="left"/>
            </w:pPr>
            <w:r>
              <w:t xml:space="preserve">Unlabelled (features only)</w:t>
            </w:r>
          </w:p>
        </w:tc>
        <w:tc>
          <w:tcPr>
            <w:tcW w:w="1872" w:type="dxa"/>
          </w:tcPr>
          <w:p>
            <w:pPr>
              <w:spacing w:after="20"/>
              <w:jc w:val="left"/>
            </w:pPr>
            <w:r>
              <w:t xml:space="preserve">None</w:t>
            </w:r>
          </w:p>
        </w:tc>
        <w:tc>
          <w:tcPr>
            <w:tcW w:w="1872" w:type="dxa"/>
          </w:tcPr>
          <w:p>
            <w:pPr>
              <w:spacing w:after="20"/>
              <w:jc w:val="left"/>
            </w:pPr>
            <w:r>
              <w:t xml:space="preserve">Clustering, reduction</w:t>
            </w:r>
          </w:p>
        </w:tc>
        <w:tc>
          <w:tcPr>
            <w:tcW w:w="1872" w:type="dxa"/>
          </w:tcPr>
          <w:p>
            <w:pPr>
              <w:spacing w:after="20"/>
              <w:jc w:val="left"/>
            </w:pPr>
            <w:r>
              <w:t xml:space="preserve">Data exploration, regime finding</w:t>
            </w:r>
          </w:p>
        </w:tc>
      </w:tr>
      <w:tr>
        <w:tc>
          <w:tcPr>
            <w:tcW w:w="1872" w:type="dxa"/>
          </w:tcPr>
          <w:p>
            <w:pPr>
              <w:spacing w:after="20"/>
              <w:jc w:val="left"/>
            </w:pPr>
            <w:r>
              <w:t xml:space="preserve">Reinforcement</w:t>
            </w:r>
          </w:p>
        </w:tc>
        <w:tc>
          <w:tcPr>
            <w:tcW w:w="1872" w:type="dxa"/>
          </w:tcPr>
          <w:p>
            <w:pPr>
              <w:spacing w:after="20"/>
              <w:jc w:val="left"/>
            </w:pPr>
            <w:r>
              <w:t xml:space="preserve">Interaction with environment</w:t>
            </w:r>
          </w:p>
        </w:tc>
        <w:tc>
          <w:tcPr>
            <w:tcW w:w="1872" w:type="dxa"/>
          </w:tcPr>
          <w:p>
            <w:pPr>
              <w:spacing w:after="20"/>
              <w:jc w:val="left"/>
            </w:pPr>
            <w:r>
              <w:t xml:space="preserve">Scalar reward</w:t>
            </w:r>
          </w:p>
        </w:tc>
        <w:tc>
          <w:tcPr>
            <w:tcW w:w="1872" w:type="dxa"/>
          </w:tcPr>
          <w:p>
            <w:pPr>
              <w:spacing w:after="20"/>
              <w:jc w:val="left"/>
            </w:pPr>
            <w:r>
              <w:t xml:space="preserve">Sequential decision</w:t>
            </w:r>
          </w:p>
        </w:tc>
        <w:tc>
          <w:tcPr>
            <w:tcW w:w="1872" w:type="dxa"/>
          </w:tcPr>
          <w:p>
            <w:pPr>
              <w:spacing w:after="20"/>
              <w:jc w:val="left"/>
            </w:pPr>
            <w:r>
              <w:t xml:space="preserve">Control, adaptive operation</w:t>
            </w:r>
          </w:p>
        </w:tc>
      </w:tr>
    </w:tbl>
    <w:p>
      <w:pPr>
        <w:spacing w:after="120"/>
      </w:pPr>
    </w:p>
    <w:p>
      <w:pPr>
        <w:pStyle w:val="Normal"/>
      </w:pPr>
      <w:r>
        <w:t xml:space="preserve">Feature selection, the complementary process of choosing which features to retain, guards against the inclusion of irrelevant or redundant variables that add noise and dimensionality without adding predictive value. A dataset may contain features that are physically irrelevant to the target, features that duplicate the information carried by others, and features whose apparent relevance is an artefact of the particular dataset, and the retention of such features degrades generalisation and obscures interpretation. Feature-selection methods range from simple filters that rank features by their statistical association with the target, through wrapper methods that evaluate subsets of features by the performance of the model they produce, to embedded methods that perform selection as part of model training, and the feature-importance scores produced by tree-based models provide a convenient and physically interpretable guide [94]. The discipline of selecting a parsimonious set of physically meaningful features, rather than indiscriminately including every available variable, produces models that generalise better, that are easier to interpret and that are less prone to the spurious correlations that plague high-dimensional modelling of limited data.</w:t>
      </w:r>
    </w:p>
    <w:p>
      <w:pPr>
        <w:pStyle w:val="Normal"/>
      </w:pPr>
      <w:r>
        <w:t xml:space="preserve">The three families of feature-selection method warrant a closer comparison, since each embodies a different balance of thoroughness against cost. The filter methods, which rank features by a statistical measure of their association with the target computed once and independently of any model, are fast and simple but blind to the interactions among features, so that they may discard a feature that is uninformative alone yet valuable in combination with another, or retain redundant features that are individually informative but jointly duplicative. The wrapper methods, which evaluate candidate subsets of features by actually training a model on each and comparing their performance, account for interactions and redundancy directly and so select more effectively, but at a computational cost that grows rapidly with the number of features and that risks overfitting the selection to the particular data. The embedded methods occupy a middle ground, performing selection as an intrinsic part of training, as when a penalty on model complexity drives the coefficients of unhelpful features toward zero, combining much of the effectiveness of the wrapper approach with a cost closer to that of training a single model [94]. The choice among these families depends on the number of features and the computational budget, and in the modest-dimensional problems typical of thermal engineering the more thorough wrapper and embedded methods are usually affordable and preferable.</w:t>
      </w:r>
    </w:p>
    <w:p>
      <w:pPr>
        <w:pStyle w:val="Normal"/>
      </w:pPr>
      <w:r>
        <w:t xml:space="preserve">A caution that pervades feature selection concerns the danger of selecting features using the whole dataset before setting aside the data on which the model will ultimately be evaluated, for such a procedure allows information from the evaluation data to influence the selection and thereby inflates the apparent performance, a subtle instance of the data leakage that Section 7.3 treats more fully. The correct practice performs the feature selection using only the training data, treating the choice of features as itself a part of the model-building process to be validated on genuinely held-out data, so that the reported performance reflects the whole procedure of selection and training as it would apply to new data [94]. This discipline is easily neglected, because the selection of features feels like a preliminary exploration rather than a part of the model, but its neglect is among the more insidious sources of over-optimistic assessment, and its observance is a mark of the rigour that trustworthy modelling demands.</w:t>
      </w:r>
    </w:p>
    <w:p>
      <w:pPr>
        <w:pStyle w:val="Normal"/>
      </w:pPr>
      <w:r>
        <w:t xml:space="preserve">Model development, the training and configuration of the model itself, proceeds once the data are prepared and the features are engineered and selected. The choice of model class, from among the neural networks, support-vector methods and tree-based ensembles surveyed in Chapter 6, is guided by the size and nature of the dataset, the required accuracy and interpretability, and the computational budget, with small tabular datasets often favouring support-vector methods or tree ensembles and larger datasets permitting neural networks. A prudent development strategy begins with a simple and robust model, such as a regularised linear fit or a modest tree ensemble, to establish a baseline against which the value of any greater complexity can be measured, for a sophisticated model that fails to improve upon a simple baseline is not worth its added complexity and opacity, and the establishment of such a baseline guards against the reflexive reach for the most elaborate method available. Only when the simpler model has been shown to leave predictive value unrealised is the progression to a more flexible model warranted, and each step of that progression should be justified by a demonstrated improvement on genuinely held-out data rather than by the mere availability of a more powerful technique [95]. Each model class exposes hyperparameters, configuration choices such as the number and width of a neural network's layers, the kernel and regularisation of a support-vector machine, or the number and depth of the trees in an ensemble, that are not learned from the data during training but must be set beforehand, and whose values strongly influence performance. The systematic tuning of these hyperparameters, through grid search, random search or more sophisticated Bayesian optimisation, guided by the cross-validation procedures of the next section, is an essential and often time-consuming part of model development, and the failure to tune hyperparameters, or the tuning of them against the test data, is a common source of disappointing or misleadingly optimistic results [95].</w:t>
      </w:r>
    </w:p>
    <w:p>
      <w:pPr>
        <w:pStyle w:val="Normal"/>
      </w:pPr>
      <w:r>
        <w:t xml:space="preserve">The three principal strategies for searching the space of hyperparameters differ in their efficiency in a manner worth understanding, since the tuning effort can consume the bulk of a modelling project. Grid search evaluates every combination of a set of candidate values specified for each hyperparameter, an approach that is exhaustive and simple but whose cost multiplies with each additional hyperparameter, so that the tuning of several hyperparameters together quickly becomes prohibitive, and whose fixed grid may miss good values that fall between the specified candidates. Random search, which samples combinations at random from specified ranges, is often more efficient for the same budget, because it explores a greater diversity of values for each individual hyperparameter and is not confined to a rigid lattice, and it is especially advantageous when only a few of the hyperparameters strongly affect performance, as is commonly the case [95]. Bayesian optimisation, the most sophisticated strategy, builds a probabilistic model of how performance depends on the hyperparameters and uses it to choose each successive combination to be maximally informative, converging on good values with fewer evaluations at the cost of greater complexity, and it is the method of choice when each evaluation is expensive.</w:t>
      </w:r>
    </w:p>
    <w:p>
      <w:pPr>
        <w:pStyle w:val="Normal"/>
      </w:pPr>
      <w:r>
        <w:t xml:space="preserve">The cardinal discipline of hyperparameter tuning, whose violation is perhaps the single most common methodological error in the applied literature, is that the tuning must not be guided by the data reserved for final evaluation, for to choose hyperparameters by their performance on the test data is to use the test data in the construction of the model and thereby to forfeit its role as an unbiased estimate of performance on genuinely unseen data. The correct practice, elaborated in the next section, isolates the tuning within the training data through a nested procedure, reserving the test data untouched until the model, hyperparameters and all, is finally fixed [95]. The temptation to peek at the test performance and adjust the model in response is strong and its indulgence easy to rationalise, but each such adjustment leaks information from the test set into the model and inflates the eventual estimate of performance, so that a model tuned in this way may perform far worse in deployment than its reported accuracy promised, a disappointment that has attended many an incautiously developed thermal model.</w:t>
      </w:r>
    </w:p>
    <w:p>
      <w:pPr>
        <w:pStyle w:val="Heading2"/>
      </w:pPr>
      <w:r>
        <w:t xml:space="preserve">7.3 Model Evaluation, Cross-Validation, and Performance Metrics</w:t>
      </w:r>
    </w:p>
    <w:p>
      <w:pPr>
        <w:pStyle w:val="Normal"/>
      </w:pPr>
      <w:r>
        <w:t xml:space="preserve">The evaluation of a machine-learning model is the phase in which its true worth, its ability to predict accurately on data it has not seen, is measured, and the soundness of the evaluation determines whether the reported performance can be trusted. The cardinal principle of evaluation is that a model must be assessed on data that played no part in its training, because a model can achieve arbitrarily good performance on its training data simply by memorising them, and such performance is no indication of its ability to generalise. The simplest embodiment of this principle is the division of the available data into a training set, used to fit the model, and a separate test set, held back and used only once, at the end, to estimate the model's performance on unseen data [96]. The test set must be representative of the data on which the model will be used, and it must be genuinely held back, for any use of the test data to guide modelling decisions, however indirect, contaminates it and inflates the estimated performance, a subtle but pervasive error known as data leakage.</w:t>
      </w:r>
    </w:p>
    <w:p>
      <w:pPr>
        <w:pStyle w:val="Normal"/>
      </w:pPr>
      <w:r>
        <w:t xml:space="preserve">Data leakage merits fuller treatment because it takes forms subtler than the obvious one of tuning against the test set, and because its consequences are so damaging and so easily concealed. Leakage occurs whenever information that would not be available at the time of a genuine prediction finds its way into the training of the model, and it inflates the apparent performance in a manner that no amount of subsequent scrutiny of the model can detect, since the model performs genuinely well on the contaminated evaluation and fails only when deployed on truly independent data. A common and insidious form arises when the preparation of the data, such as the scaling of features or the imputation of missing values, is performed using statistics computed from the whole dataset before the split, so that the training data are subtly informed by the distribution of the test data; the correct practice computes all such preparation statistics from the training data alone and applies them to the test data as a fixed transformation [96]. Another form arises in datasets containing multiple measurements of closely related conditions, where the presence of near-duplicate examples on both sides of the split allows the model to succeed by recognising rather than by genuinely predicting, and its avoidance requires that related examples be kept together on one side of the split.</w:t>
      </w:r>
    </w:p>
    <w:p>
      <w:pPr>
        <w:pStyle w:val="Normal"/>
      </w:pPr>
      <w:r>
        <w:t xml:space="preserve">The representativeness of the test set is a requirement as important as its independence and, in the nanofluid context, considerably harder to satisfy. A test set drawn at random from the available data estimates the model's performance on data resembling the available data, but if the model is to be applied to conditions systematically different from those the data cover, as it often must be given the sparseness of the design space, the random test set will overstate the performance to be expected in application [96]. A more searching assessment deliberately constructs the test set to resemble the intended application, perhaps by holding out an entire range of conditions rather than a random scatter of points, so that the evaluation measures the model's ability to generalise to genuinely new regions rather than merely to interpolate among familiar ones. This distinction between interpolative and extrapolative evaluation is one that the honest reporting of a thermal model should address, for a model whose reported accuracy rests on interpolative testing may fail badly in the extrapolative use to which the paucity of data so often condemns it.</w:t>
      </w:r>
    </w:p>
    <w:p>
      <w:pPr>
        <w:pStyle w:val="Normal"/>
      </w:pPr>
      <w:r>
        <w:t xml:space="preserve">Cross-validation refines the simple train–test split to make more efficient use of limited data and to obtain a more reliable estimate of performance, and it is especially valuable for the modestly sized datasets typical of nanofluid research. In the most common form, the data are divided into a number of folds, and the model is trained and evaluated repeatedly, each time using a different fold as the test set and the remainder as the training set, so that every example serves once for testing and the performance is averaged over the folds. This procedure yields a more stable estimate of performance than a single split, because it averages over the variability introduced by the particular choice of test set, and it uses the data more efficiently, because every example contributes to both training and testing across the folds [97]. Cross-validation is also the appropriate framework within which to tune hyperparameters, with an inner cross-validation loop used to select the hyperparameters and an outer loop used to estimate the performance of the tuned model, a nested procedure that guards against the optimistic bias that arises when the same data are used both to tune and to evaluate.</w:t>
      </w:r>
    </w:p>
    <w:p>
      <w:pPr>
        <w:pStyle w:val="Normal"/>
      </w:pPr>
      <w:r>
        <w:t xml:space="preserve">The choice of the number of folds involves a trade-off that the practitioner should understand rather than settle by rote. A larger number of folds means that each training set is larger and closer in size to the full dataset, reducing the pessimistic bias that arises because the model is trained on less than all the data, but it also means that the training sets of successive folds overlap heavily and their results are correlated, so that the averaged estimate, while less biased, may be more variable, and the computational cost rises in proportion to the number of folds. The extreme case, in which each fold consists of a single example so that the model is trained as many times as there are examples, makes the fullest use of the data but is costly and yields a high-variance estimate, and it is generally reserved for the smallest datasets where the sacrifice of any example to testing is most keenly felt [97]. A moderate number of folds is the usual compromise, and the modest datasets of nanofluid research, for which the efficient use of data is paramount and the computational cost of many folds is trivial, generally favour the more thorough end of the practical range.</w:t>
      </w:r>
    </w:p>
    <w:p>
      <w:pPr>
        <w:pStyle w:val="Normal"/>
      </w:pPr>
      <w:r>
        <w:t xml:space="preserve">A refinement of cross-validation that is especially pertinent to the heterogeneous datasets of thermal engineering concerns the manner in which the folds are constructed, for a naive random partition may not respect the structure of the data. When the target values are distributed unevenly, a stratified partition that ensures each fold contains a representative range of target values yields a more reliable estimate than a purely random one, which might by chance concentrate the extreme values in a single fold. More importantly, when the data comprise groups of related measurements, such as several points from a single study or a single sample, a partition that keeps each group intact within a single fold prevents the leakage that would arise if related measurements were split across the training and testing of a fold, and it yields an estimate that more honestly reflects the model's ability to generalise to new groups [97]. The thoughtful construction of the folds, in accordance with the structure of the data and the intended use of the model, is a detail that distinguishes a rigorous validation from a merely conventional one.</w:t>
      </w:r>
    </w:p>
    <w:p>
      <w:pPr>
        <w:pStyle w:val="Normal"/>
      </w:pPr>
      <w:r>
        <w:t xml:space="preserve">The metrics by which the performance of a regression model is quantified must be chosen to reflect the aspects of accuracy that matter for the application, and several complementary metrics are conventionally reported together for the regression problems of thermal engineering. The coefficient of determination measures the fraction of the variance in the target that the model explains, ranging from unity for a perfect fit downward, and it provides an intuitive overall measure of fit that is independent of the scale of the target. The root-mean-square error measures the typical magnitude of the prediction error in the units of the target, weighting large errors more heavily than small ones, and it is sensitive to outliers. The mean absolute error also measures the typical error magnitude but weights all errors equally and is consequently more robust to outliers, while the mean absolute percentage error expresses the error as a fraction of the target and permits comparison across quantities of different scale [98].</w:t>
      </w:r>
    </w:p>
    <w:p>
      <w:pPr>
        <w:pStyle w:val="Normal"/>
      </w:pPr>
      <w:r>
        <w:t xml:space="preserve">The complementarity of these metrics, and the reason that several should be reported together rather than any one alone, deserves emphasis because the reliance on a single figure can mislead in characteristic ways. The coefficient of determination, being a relative measure, can appear flatteringly high when the target itself varies widely, since explaining a large variance is easier than explaining a small one, so that an impressive value may conceal a model of modest absolute accuracy applied to a broadly varying target; conversely it can appear poor for a genuinely accurate model applied to a target of small intrinsic variation. The root-mean-square error and the mean absolute error, being absolute measures in the units of the target, convey the practical magnitude of the error that the relative measure obscures, and the comparison of the two reveals the influence of outliers, for a root-mean-square error substantially larger than the mean absolute error signals a distribution of errors dominated by a few large ones [98]. The percentage error, finally, exposes whether the model's accuracy is uniform across the range of the target or concentrated where the target is large, since a fixed absolute error represents a large relative error for small targets, a pattern of particular concern where small values of the predicted quantity are of engineering importance.</w:t>
      </w:r>
    </w:p>
    <w:p>
      <w:pPr>
        <w:pStyle w:val="Normal"/>
      </w:pPr>
      <w:r>
        <w:t xml:space="preserve">The interpretation of any metric against the irreducible uncertainty of the data is a discipline whose neglect leads to both undue satisfaction and undue disappointment. A model cannot predict a quantity more accurately than that quantity is known in the data from which it learned and against which it is judged, so that when the prediction error approaches the measurement uncertainty of the underlying data, the model has extracted essentially all the signal the data contain, and further reduction of the error would represent not improvement but the fitting of noise [99]. The recognition of this floor prevents the futile pursuit of an accuracy the data cannot support and reframes the assessment of a model in terms of whether it performs as well as the data permit rather than whether it attains some absolute standard borrowed from a different context. In the nanofluid domain, where the scatter among independent measurements of the same nominal quantity is often substantial, this floor may be surprisingly high, and a model whose error matches it is performing admirably however modest its accuracy may appear by the standards of a cleaner domain [99]. Table 7.2 defines the principal regression metrics and characterises what each measures and when it is preferred.</w:t>
      </w:r>
    </w:p>
    <w:p>
      <w:pPr>
        <w:pStyle w:val="TableCaption"/>
      </w:pPr>
      <w:r>
        <w:rPr>
          <w:b/>
        </w:rPr>
        <w:t xml:space="preserve">Table 7.2</w:t>
      </w:r>
      <w:r>
        <w:t xml:space="preserve"> Principal regression performance metrics for data-driven thermal models.</w:t>
      </w:r>
    </w:p>
    <w:tbl>
      <w:tblPr>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w="1872" w:type="dxa"/>
            <w:shd w:val="clear" w:color="auto" w:fill="D9E2F3"/>
          </w:tcPr>
          <w:p>
            <w:pPr>
              <w:jc w:val="center"/>
              <w:spacing w:after="20"/>
            </w:pPr>
            <w:r>
              <w:rPr>
                <w:b/>
              </w:rPr>
              <w:t xml:space="preserve">Metric</w:t>
            </w:r>
          </w:p>
        </w:tc>
        <w:tc>
          <w:tcPr>
            <w:tcW w:w="1872" w:type="dxa"/>
            <w:shd w:val="clear" w:color="auto" w:fill="D9E2F3"/>
          </w:tcPr>
          <w:p>
            <w:pPr>
              <w:jc w:val="center"/>
              <w:spacing w:after="20"/>
            </w:pPr>
            <w:r>
              <w:rPr>
                <w:b/>
              </w:rPr>
              <w:t xml:space="preserve">Measures</w:t>
            </w:r>
          </w:p>
        </w:tc>
        <w:tc>
          <w:tcPr>
            <w:tcW w:w="1872" w:type="dxa"/>
            <w:shd w:val="clear" w:color="auto" w:fill="D9E2F3"/>
          </w:tcPr>
          <w:p>
            <w:pPr>
              <w:jc w:val="center"/>
              <w:spacing w:after="20"/>
            </w:pPr>
            <w:r>
              <w:rPr>
                <w:b/>
              </w:rPr>
              <w:t xml:space="preserve">Sensitivity to outliers</w:t>
            </w:r>
          </w:p>
        </w:tc>
        <w:tc>
          <w:tcPr>
            <w:tcW w:w="1872" w:type="dxa"/>
            <w:shd w:val="clear" w:color="auto" w:fill="D9E2F3"/>
          </w:tcPr>
          <w:p>
            <w:pPr>
              <w:jc w:val="center"/>
              <w:spacing w:after="20"/>
            </w:pPr>
            <w:r>
              <w:rPr>
                <w:b/>
              </w:rPr>
              <w:t xml:space="preserve">Scale</w:t>
            </w:r>
          </w:p>
        </w:tc>
        <w:tc>
          <w:tcPr>
            <w:tcW w:w="1872" w:type="dxa"/>
            <w:shd w:val="clear" w:color="auto" w:fill="D9E2F3"/>
          </w:tcPr>
          <w:p>
            <w:pPr>
              <w:jc w:val="center"/>
              <w:spacing w:after="20"/>
            </w:pPr>
            <w:r>
              <w:rPr>
                <w:b/>
              </w:rPr>
              <w:t xml:space="preserve">Preferred when</w:t>
            </w:r>
          </w:p>
        </w:tc>
      </w:tr>
      <w:tr>
        <w:tc>
          <w:tcPr>
            <w:tcW w:w="1872" w:type="dxa"/>
          </w:tcPr>
          <w:p>
            <w:pPr>
              <w:spacing w:after="20"/>
              <w:jc w:val="left"/>
            </w:pPr>
            <w:r>
              <w:t xml:space="preserve">Coefficient of determination (R2)</w:t>
            </w:r>
          </w:p>
        </w:tc>
        <w:tc>
          <w:tcPr>
            <w:tcW w:w="1872" w:type="dxa"/>
          </w:tcPr>
          <w:p>
            <w:pPr>
              <w:spacing w:after="20"/>
              <w:jc w:val="left"/>
            </w:pPr>
            <w:r>
              <w:t xml:space="preserve">Fraction of variance explained</w:t>
            </w:r>
          </w:p>
        </w:tc>
        <w:tc>
          <w:tcPr>
            <w:tcW w:w="1872" w:type="dxa"/>
          </w:tcPr>
          <w:p>
            <w:pPr>
              <w:spacing w:after="20"/>
              <w:jc w:val="left"/>
            </w:pPr>
            <w:r>
              <w:t xml:space="preserve">Moderate</w:t>
            </w:r>
          </w:p>
        </w:tc>
        <w:tc>
          <w:tcPr>
            <w:tcW w:w="1872" w:type="dxa"/>
          </w:tcPr>
          <w:p>
            <w:pPr>
              <w:spacing w:after="20"/>
              <w:jc w:val="left"/>
            </w:pPr>
            <w:r>
              <w:t xml:space="preserve">Dimensionless</w:t>
            </w:r>
          </w:p>
        </w:tc>
        <w:tc>
          <w:tcPr>
            <w:tcW w:w="1872" w:type="dxa"/>
          </w:tcPr>
          <w:p>
            <w:pPr>
              <w:spacing w:after="20"/>
              <w:jc w:val="left"/>
            </w:pPr>
            <w:r>
              <w:t xml:space="preserve">Overall fit quality</w:t>
            </w:r>
          </w:p>
        </w:tc>
      </w:tr>
      <w:tr>
        <w:tc>
          <w:tcPr>
            <w:tcW w:w="1872" w:type="dxa"/>
          </w:tcPr>
          <w:p>
            <w:pPr>
              <w:spacing w:after="20"/>
              <w:jc w:val="left"/>
            </w:pPr>
            <w:r>
              <w:t xml:space="preserve">Root-mean-square error (RMSE)</w:t>
            </w:r>
          </w:p>
        </w:tc>
        <w:tc>
          <w:tcPr>
            <w:tcW w:w="1872" w:type="dxa"/>
          </w:tcPr>
          <w:p>
            <w:pPr>
              <w:spacing w:after="20"/>
              <w:jc w:val="left"/>
            </w:pPr>
            <w:r>
              <w:t xml:space="preserve">Typical error magnitude</w:t>
            </w:r>
          </w:p>
        </w:tc>
        <w:tc>
          <w:tcPr>
            <w:tcW w:w="1872" w:type="dxa"/>
          </w:tcPr>
          <w:p>
            <w:pPr>
              <w:spacing w:after="20"/>
              <w:jc w:val="left"/>
            </w:pPr>
            <w:r>
              <w:t xml:space="preserve">High</w:t>
            </w:r>
          </w:p>
        </w:tc>
        <w:tc>
          <w:tcPr>
            <w:tcW w:w="1872" w:type="dxa"/>
          </w:tcPr>
          <w:p>
            <w:pPr>
              <w:spacing w:after="20"/>
              <w:jc w:val="left"/>
            </w:pPr>
            <w:r>
              <w:t xml:space="preserve">Target units</w:t>
            </w:r>
          </w:p>
        </w:tc>
        <w:tc>
          <w:tcPr>
            <w:tcW w:w="1872" w:type="dxa"/>
          </w:tcPr>
          <w:p>
            <w:pPr>
              <w:spacing w:after="20"/>
              <w:jc w:val="left"/>
            </w:pPr>
            <w:r>
              <w:t xml:space="preserve">Large errors costly</w:t>
            </w:r>
          </w:p>
        </w:tc>
      </w:tr>
      <w:tr>
        <w:tc>
          <w:tcPr>
            <w:tcW w:w="1872" w:type="dxa"/>
          </w:tcPr>
          <w:p>
            <w:pPr>
              <w:spacing w:after="20"/>
              <w:jc w:val="left"/>
            </w:pPr>
            <w:r>
              <w:t xml:space="preserve">Mean absolute error (MAE)</w:t>
            </w:r>
          </w:p>
        </w:tc>
        <w:tc>
          <w:tcPr>
            <w:tcW w:w="1872" w:type="dxa"/>
          </w:tcPr>
          <w:p>
            <w:pPr>
              <w:spacing w:after="20"/>
              <w:jc w:val="left"/>
            </w:pPr>
            <w:r>
              <w:t xml:space="preserve">Typical error magnitude</w:t>
            </w:r>
          </w:p>
        </w:tc>
        <w:tc>
          <w:tcPr>
            <w:tcW w:w="1872" w:type="dxa"/>
          </w:tcPr>
          <w:p>
            <w:pPr>
              <w:spacing w:after="20"/>
              <w:jc w:val="left"/>
            </w:pPr>
            <w:r>
              <w:t xml:space="preserve">Low</w:t>
            </w:r>
          </w:p>
        </w:tc>
        <w:tc>
          <w:tcPr>
            <w:tcW w:w="1872" w:type="dxa"/>
          </w:tcPr>
          <w:p>
            <w:pPr>
              <w:spacing w:after="20"/>
              <w:jc w:val="left"/>
            </w:pPr>
            <w:r>
              <w:t xml:space="preserve">Target units</w:t>
            </w:r>
          </w:p>
        </w:tc>
        <w:tc>
          <w:tcPr>
            <w:tcW w:w="1872" w:type="dxa"/>
          </w:tcPr>
          <w:p>
            <w:pPr>
              <w:spacing w:after="20"/>
              <w:jc w:val="left"/>
            </w:pPr>
            <w:r>
              <w:t xml:space="preserve">Robust error measure</w:t>
            </w:r>
          </w:p>
        </w:tc>
      </w:tr>
      <w:tr>
        <w:tc>
          <w:tcPr>
            <w:tcW w:w="1872" w:type="dxa"/>
          </w:tcPr>
          <w:p>
            <w:pPr>
              <w:spacing w:after="20"/>
              <w:jc w:val="left"/>
            </w:pPr>
            <w:r>
              <w:t xml:space="preserve">Mean absolute percentage error (MAPE)</w:t>
            </w:r>
          </w:p>
        </w:tc>
        <w:tc>
          <w:tcPr>
            <w:tcW w:w="1872" w:type="dxa"/>
          </w:tcPr>
          <w:p>
            <w:pPr>
              <w:spacing w:after="20"/>
              <w:jc w:val="left"/>
            </w:pPr>
            <w:r>
              <w:t xml:space="preserve">Relative error</w:t>
            </w:r>
          </w:p>
        </w:tc>
        <w:tc>
          <w:tcPr>
            <w:tcW w:w="1872" w:type="dxa"/>
          </w:tcPr>
          <w:p>
            <w:pPr>
              <w:spacing w:after="20"/>
              <w:jc w:val="left"/>
            </w:pPr>
            <w:r>
              <w:t xml:space="preserve">Moderate</w:t>
            </w:r>
          </w:p>
        </w:tc>
        <w:tc>
          <w:tcPr>
            <w:tcW w:w="1872" w:type="dxa"/>
          </w:tcPr>
          <w:p>
            <w:pPr>
              <w:spacing w:after="20"/>
              <w:jc w:val="left"/>
            </w:pPr>
            <w:r>
              <w:t xml:space="preserve">Percentage</w:t>
            </w:r>
          </w:p>
        </w:tc>
        <w:tc>
          <w:tcPr>
            <w:tcW w:w="1872" w:type="dxa"/>
          </w:tcPr>
          <w:p>
            <w:pPr>
              <w:spacing w:after="20"/>
              <w:jc w:val="left"/>
            </w:pPr>
            <w:r>
              <w:t xml:space="preserve">Comparing across scales</w:t>
            </w:r>
          </w:p>
        </w:tc>
      </w:tr>
      <w:tr>
        <w:tc>
          <w:tcPr>
            <w:tcW w:w="1872" w:type="dxa"/>
          </w:tcPr>
          <w:p>
            <w:pPr>
              <w:spacing w:after="20"/>
              <w:jc w:val="left"/>
            </w:pPr>
            <w:r>
              <w:t xml:space="preserve">Maximum error</w:t>
            </w:r>
          </w:p>
        </w:tc>
        <w:tc>
          <w:tcPr>
            <w:tcW w:w="1872" w:type="dxa"/>
          </w:tcPr>
          <w:p>
            <w:pPr>
              <w:spacing w:after="20"/>
              <w:jc w:val="left"/>
            </w:pPr>
            <w:r>
              <w:t xml:space="preserve">Worst-case error</w:t>
            </w:r>
          </w:p>
        </w:tc>
        <w:tc>
          <w:tcPr>
            <w:tcW w:w="1872" w:type="dxa"/>
          </w:tcPr>
          <w:p>
            <w:pPr>
              <w:spacing w:after="20"/>
              <w:jc w:val="left"/>
            </w:pPr>
            <w:r>
              <w:t xml:space="preserve">Very high</w:t>
            </w:r>
          </w:p>
        </w:tc>
        <w:tc>
          <w:tcPr>
            <w:tcW w:w="1872" w:type="dxa"/>
          </w:tcPr>
          <w:p>
            <w:pPr>
              <w:spacing w:after="20"/>
              <w:jc w:val="left"/>
            </w:pPr>
            <w:r>
              <w:t xml:space="preserve">Target units</w:t>
            </w:r>
          </w:p>
        </w:tc>
        <w:tc>
          <w:tcPr>
            <w:tcW w:w="1872" w:type="dxa"/>
          </w:tcPr>
          <w:p>
            <w:pPr>
              <w:spacing w:after="20"/>
              <w:jc w:val="left"/>
            </w:pPr>
            <w:r>
              <w:t xml:space="preserve">Safety-critical bounds</w:t>
            </w:r>
          </w:p>
        </w:tc>
      </w:tr>
    </w:tbl>
    <w:p>
      <w:pPr>
        <w:spacing w:after="120"/>
      </w:pPr>
    </w:p>
    <w:p>
      <w:pPr>
        <w:pStyle w:val="Normal"/>
      </w:pPr>
      <w:r>
        <w:t xml:space="preserve">The reporting of several metrics together, rather than a single figure, guards against the partial picture that any one metric provides, and the parity plot, in which the predicted values are plotted against the measured values with the line of perfect prediction superimposed, offers a graphical complement that reveals patterns, such as systematic bias or heteroscedastic error, that a single number conceals. The interpretation of the metrics must, moreover, be tempered by the quality of the data, for a model cannot be expected to predict its target more accurately than the target is measured, and an apparent error comparable to the measurement uncertainty of the data may indicate a model that is performing as well as the data permit rather than one that is deficient [99]. This connection between model error and data uncertainty, which the scatter of the nanofluid database makes especially salient, is one of the points at which the evaluation of a data-driven model requires the physical and experimental judgement that the earlier chapters develop.</w:t>
      </w:r>
    </w:p>
    <w:p>
      <w:pPr>
        <w:pStyle w:val="Normal"/>
      </w:pPr>
      <w:r>
        <w:t xml:space="preserve">The graphical examination of a model's errors complements the numerical metrics by revealing the structure that a summary number necessarily discards, and it should form a routine part of any careful evaluation. The parity plot, already mentioned, exposes at a glance whether the errors are distributed evenly about the line of perfect prediction or whether the model systematically over-predicts in one range and under-predicts in another, a systematic bias that a single error metric would average away and conceal. A plot of the residuals, the differences between prediction and measurement, against the predicted value or against each feature in turn reveals whether the error is uniform or whether it grows with the magnitude of the prediction or varies with a particular feature, patterns that diagnose specific deficiencies of the model and point toward their remedy [99]. A model whose residuals show a trend against a feature has failed to capture the full dependence on that feature, perhaps because its form is too simple or because an interaction has been missed, and the graphical diagnosis of such trends often suggests the engineering of a new feature or the adoption of a more flexible model in a way that the aggregate metrics never could.</w:t>
      </w:r>
    </w:p>
    <w:p>
      <w:pPr>
        <w:pStyle w:val="Normal"/>
      </w:pPr>
      <w:r>
        <w:t xml:space="preserve">The reporting of a model's performance should, in the interest of honesty and reproducibility, extend beyond a single headline metric to a fuller account that permits the reader to judge the model's suitability for a purpose that may differ from the developer's. Such an account states the metrics on genuinely held-out data, distinguishes interpolative from extrapolative testing, characterises the range of conditions over which the model was trained and may be trusted, and acknowledges the uncertainty in both the data and the resulting predictions [99]. This fuller reporting, still too rare in the applied literature, is what allows a model developed in one study to be soundly reused in another, and its practice is a mark of the maturing of data-driven thermal engineering from a collection of isolated demonstrations toward a cumulative and trustworthy body of engineering knowledge.</w:t>
      </w:r>
    </w:p>
    <w:p>
      <w:pPr>
        <w:pStyle w:val="Normal"/>
      </w:pPr>
      <w:r>
        <w:t xml:space="preserve">The twin failure modes of underfitting and overfitting, which lie at the heart of the modelling craft, are diagnosed through the comparison of a model's performance on its training data and on held-out data. Underfitting, in which the model is too simple to capture the underlying relationship, manifests as poor performance on both the training and the held-out data, and it is remedied by increasing the model's capacity, adding features or reducing regularisation. Overfitting, in which the model is too complex and fits the noise as well as the signal in the training data, manifests as good performance on the training data but poor performance on the held-out data, and it is remedied by reducing the model's capacity, adding regularisation, acquiring more data or simplifying the features [100].</w:t>
      </w:r>
    </w:p>
    <w:p>
      <w:pPr>
        <w:pStyle w:val="Normal"/>
      </w:pPr>
      <w:r>
        <w:t xml:space="preserve">The diagnostic signature that distinguishes the two failure modes, namely the gap between training and held-out performance, is worth stating explicitly because it directs the remedy unambiguously. A model that performs poorly on both the training and the held-out data, with little gap between them, is underfitting, and the appropriate response is to increase its capacity or enrich its features, for the model lacks the flexibility to represent the relationship the data contain. A model that performs well on the training data but markedly worse on the held-out data, with a large gap between them, is overfitting, and the appropriate response is the opposite, to restrain its capacity or acquire more data, for the model has flexibility to spare and is expending it on the noise [100]. The mistaking of one failure for the other, and the consequent application of exactly the wrong remedy, is a common and frustrating error, and the simple discipline of always comparing training against held-out performance, rather than examining either in isolation, is the surest guard against it.</w:t>
      </w:r>
    </w:p>
    <w:p>
      <w:pPr>
        <w:pStyle w:val="Normal"/>
      </w:pPr>
      <w:r>
        <w:t xml:space="preserve">Regularisation, the family of techniques that restrain a model's effective capacity without reducing its nominal size, deserves a concluding word because it is the principal tool for managing the balance between the two failure modes in a controlled and continuous way. Rather than choosing a model's capacity in the coarse discrete steps of adding or removing features or layers, regularisation adds to the training objective a penalty on the complexity of the fitted relationship, so that the model is discouraged from adopting the elaborate, wiggling forms characteristic of overfitting and is drawn toward smoother relationships unless the data strongly justify complexity [100]. The strength of this penalty is itself a hyperparameter, tuned by the cross-validation procedures described earlier, and its adjustment provides a smooth dial by which the model's effective flexibility can be matched to the amount of information the data contain, increasing the penalty when data are scarce and relaxing it as data accumulate. This continuous control over the bias–variance balance, exercised through regularisation and validated through cross-validation, is the mature expression of the modelling craft whose principles this chapter has developed, and it is the technique on which the successful application of flexible models to the limited data of nanofluid research most heavily relies.</w:t>
      </w:r>
    </w:p>
    <w:p>
      <w:pPr>
        <w:pStyle w:val="Normal"/>
      </w:pPr>
      <w:r>
        <w:t xml:space="preserve">With the paradigms of learning, the craft of data preparation and feature engineering, the development and tuning of models, and the disciplines of evaluation and validation now assembled, the reader possesses the conceptual foundation that the applications of the following two chapters presuppose. Those chapters turn from principle to practice, applying the methods developed here to the concrete tasks of predicting the thermophysical properties of nanofluids and the performance of the heat exchangers that employ them, and in doing so they will draw repeatedly upon the ideas established in this chapter: the primacy of generalisation over mere fit, the injection of physics through dimensionless features, the vigilance against leakage and over-optimistic assessment, the interpretation of error against the uncertainty of the data, and the continual management of the balance between underfitting and overfitting. It is in the disciplined and physically informed exercise of these principles, rather than in the mere invocation of powerful algorithms, that the value of machine learning for heat-exchanger design is ultimately realised [100]. The recognition and remediation of these failure modes, guided by the cross-validation and metrics developed in this section, is the essential skill of the machine-learning practitioner, and it is the skill on which the sound application of the methods to nanofluid properties and heat-exchanger performance, developed in the following two chapters, most directly depends. With the fundamentals of learning paradigms, data preparation, feature engineering, model development and evaluation now in place, the book turns to those applications, in which the abstract principles of this chapter acquire concrete form in the prediction of the properties and performance that determine the value of nanofluid heat exchangers.</w:t>
      </w:r>
    </w:p>
    <w:p>
      <w:r>
        <w:br w:type="page"/>
      </w:r>
    </w:p>
    <w:p>
      <w:pPr>
        <w:pStyle w:val="Title"/>
      </w:pPr>
      <w:r>
        <w:t xml:space="preserve">Chapter 8. Machine Learning-Based Prediction of Nanofluid Properties</w:t>
      </w:r>
    </w:p>
    <w:p>
      <w:pPr>
        <w:pStyle w:val="Heading1"/>
      </w:pPr>
      <w:r>
        <w:t xml:space="preserve">Abstract</w:t>
      </w:r>
    </w:p>
    <w:p>
      <w:pPr>
        <w:pStyle w:val="Normal"/>
      </w:pPr>
      <w:r>
        <w:t xml:space="preserve">The thermophysical properties of nanofluids, whose resistance to first-principles prediction was documented in Chapter 2, have proved to be among the most fruitful targets for machine-learning modelling in all of thermal engineering, and the prediction of these properties from composition and state variables is now a mature and active field. This chapter surveys the application of machine learning to the prediction of the four properties that govern nanofluid convective performance, organising the treatment around the properties themselves and drawing out the lessons that recur across them. It begins with thermal conductivity, the property that first attracted attention and that remains the most intensively modelled, examining the input variables, model classes and accuracies reported in the literature and the reasons that data-driven models outperform the classical mixing rules. It then treats viscosity, density and specific heat capacity, contrasting the difficulty of predicting the first, which shares the anomalous character of conductivity, with the relative ease of predicting the latter two, which are well described by mixing rules and consequently offer machine learning a smaller but still useful advantage. Finally, it addresses the data-driven modelling of stability and of the broader thermophysical behaviour, including the prediction of the aggregation and sedimentation that determine whether a nanofluid can be used at all. Throughout, the chapter applies the fundamentals of Chapter 7, attending to the features that encode the relevant physics, the metrics that quantify accuracy, and the limitations, particularly of extrapolation and of dependence on data quality, that condition the trust that may be placed in the predictions, and it thereby demonstrates the sound practice that the earlier chapters prescribe.</w:t>
      </w:r>
    </w:p>
    <w:p>
      <w:pPr>
        <w:pStyle w:val="Heading2"/>
      </w:pPr>
      <w:r>
        <w:t xml:space="preserve">8.1 AI/ML Prediction of Thermal Conductivity</w:t>
      </w:r>
    </w:p>
    <w:p>
      <w:pPr>
        <w:pStyle w:val="Normal"/>
      </w:pPr>
      <w:r>
        <w:t xml:space="preserve">The thermal conductivity of a nanofluid is the property for which machine-learning prediction has been pursued most vigorously, for three reasons that together make it an almost ideal target. It is the property of greatest engineering interest, because it governs the conductive contribution to convection and hence the heat-transfer benefit that motivates the use of a nanofluid; it is the property that resists first-principles prediction most stubbornly, because the several enhancement mechanisms surveyed in Chapter 2 have eluded incorporation into a single reliable mechanistic model; and it is the property for which the largest body of experimental data exists, because its measurement by the transient hot-wire method is relatively rapid and well established. These circumstances, a valuable and hard-to-predict target with abundant data, are precisely those under which machine learning offers the greatest advantage, and the literature accordingly reports numerous models that predict conductivity with an accuracy far exceeding that of the classical mixing rules [101]. It is worth pausing to note that this confluence of favourable conditions is not accidental but reflects a general pattern: machine learning repays its application most handsomely where a quantity of genuine engineering value resists mechanistic prediction yet has been measured often enough to reveal its dependence on the accessible variables, and conductivity satisfies all three conditions more fully than any other nanofluid property. The reader who grasps why conductivity is the ideal target will also understand why the gains diminish for the conservative properties treated in the next section and why the stability modelling of the final section, valuable and hard to predict but starved of consistent data, remains the least mature of the three, for the same three conditions that explain the triumph of conductivity prediction explain by their partial absence the greater difficulty of the other targets. Figure 8.1 shows a representative parity plot in which the predictions of a trained model are compared with experimental measurements of the conductivity ratio, the tight clustering about the line of perfect prediction illustrating the accuracy that well-constructed models achieve. Such a plot is more informative than any single summary statistic, for it exposes at a glance whether the residual errors are distributed evenly about the ideal line or whether the model systematically over- or under-predicts in particular regions, and its inspection is the first diagnostic that a discerning reader applies.</w:t>
      </w:r>
    </w:p>
    <w:p>
      <w:pPr>
        <w:pStyle w:val="FigureImage"/>
      </w:pPr>
      <w:r>
        <w:drawing>
          <wp:inline xmlns:wp="http://schemas.openxmlformats.org/drawingml/2006/wordprocessingDrawing" distT="0" distB="0" distL="0" distR="0">
            <wp:extent cx="5486400" cy="3753852"/>
            <wp:docPr id="1018" name="Picture1018"/>
            <a:graphic xmlns:a="http://schemas.openxmlformats.org/drawingml/2006/main">
              <a:graphicData uri="http://schemas.openxmlformats.org/drawingml/2006/picture">
                <pic:pic xmlns:pic="http://schemas.openxmlformats.org/drawingml/2006/picture">
                  <pic:nvPicPr>
                    <pic:cNvPr id="1018" name="Picture1018"/>
                    <pic:cNvPicPr/>
                  </pic:nvPicPr>
                  <pic:blipFill>
                    <a:blip xmlns:r="http://schemas.openxmlformats.org/officeDocument/2006/relationships" r:embed="rId1018"/>
                    <a:stretch>
                      <a:fillRect/>
                    </a:stretch>
                  </pic:blipFill>
                  <pic:spPr>
                    <a:xfrm>
                      <a:off x="0" y="0"/>
                      <a:ext cx="5486400" cy="3753852"/>
                    </a:xfrm>
                    <a:prstGeom prst="rect">
                      <a:avLst/>
                    </a:prstGeom>
                  </pic:spPr>
                </pic:pic>
              </a:graphicData>
            </a:graphic>
          </wp:inline>
        </w:drawing>
      </w:r>
    </w:p>
    <w:p>
      <w:pPr>
        <w:pStyle w:val="FigureCaption"/>
      </w:pPr>
      <w:r>
        <w:t xml:space="preserve">Figure 8.1 Parity plot comparing machine-learning predictions of the thermal-conductivity ratio with experimental measurements.</w:t>
      </w:r>
    </w:p>
    <w:p>
      <w:pPr>
        <w:pStyle w:val="Normal"/>
      </w:pPr>
      <w:r>
        <w:t xml:space="preserve">The input variables, or features, from which conductivity is predicted encode the composition and state of the nanofluid, and their selection reflects the physical understanding developed in Chapter 2. The volume or mass concentration of the nanoparticles is the most influential feature, because conductivity rises with loading, and the temperature is the second, because the enhancement mechanisms, particularly Brownian motion, strengthen with temperature. The particle size enters through the surface-area and Brownian mechanisms, the conductivities of the particle and the base fluid enter through the effective-medium contribution, and the particle material and shape may be encoded as additional features or captured implicitly through the phase conductivities and a shape descriptor [102]. The most successful models use features that combine these raw variables into physically meaningful groups, following the feature-engineering principles of Chapter 7, and the inclusion of the base-fluid and particle conductivities as features allows a single model to span multiple material systems rather than being confined to one, greatly extending its range of applicability.</w:t>
      </w:r>
    </w:p>
    <w:p>
      <w:pPr>
        <w:pStyle w:val="Normal"/>
      </w:pPr>
      <w:r>
        <w:t xml:space="preserve">The distinction between a model that treats the material as a categorical label and one that encodes the material through its physical properties is more consequential than it may at first appear, and it repays deliberate reflection. A model that identifies each material by a name, learning a separate offset for alumina, for titania, for copper and so on, can predict only for the materials it has seen and is powerless when confronted with a material absent from its training set, for it has no way to place the newcomer on the scale it has learned. A model that instead encodes the material through the numerical conductivity of the solid phase, and perhaps through further physical descriptors such as its density or its specific heat, learns a relationship between the enhancement and these underlying properties, and it can therefore hazard a prediction for a novel material by locating it among the physical descriptors of the materials it has seen [102]. This physically encoded generalisation is the mechanism by which a single model comes to span a family of materials rather than a list of them, and it exemplifies the broader principle, developed in Chapter 7, that features carrying physical meaning confer a generalisation that arbitrary labels cannot. The reader assessing the claimed generality of a conductivity model should therefore ascertain how the material is encoded, for a model that generalises across materials in name only, having merely memorised a fixed roster, is far more brittle than one that has learned the physical dependence on the phase properties.</w:t>
      </w:r>
    </w:p>
    <w:p>
      <w:pPr>
        <w:pStyle w:val="Normal"/>
      </w:pPr>
      <w:r>
        <w:t xml:space="preserve">The particle shape presents a related encoding challenge, and its treatment separates the more sophisticated studies from the simpler ones. Shape influences conductivity through the anisotropy of the conduction paths that elongated or platelet particles establish, a spherical particle presenting the same cross-section in every direction while a nanotube conducts preferentially along its axis, and the effective-medium theories accommodate this influence through a shape factor that a data-driven model may take as an explicit feature. Where a study confines itself to spherical particles the shape feature is constant and may be omitted, but a study aspiring to span shapes must encode the aspect ratio or an equivalent descriptor, and the frequent absence of such encoding in datasets that nonetheless mix shapes is a source of unexplained scatter that no algorithm can remedy [103]. The careful modeller confronting a mixed-shape dataset either introduces an explicit shape descriptor or partitions the data by shape and models each partition separately, and the recognition that shape must be encoded if it varies is one more instance of the general requirement that every physically influential variable be represented among the features if the model is to learn a coherent relationship rather than an averaged confusion.</w:t>
      </w:r>
    </w:p>
    <w:p>
      <w:pPr>
        <w:pStyle w:val="Normal"/>
      </w:pPr>
      <w:r>
        <w:t xml:space="preserve">A closer inspection of why concentration and temperature dominate the feature rankings rewards the effort, because it reveals the physical content that a well-trained model has implicitly absorbed and clarifies the sense in which such a model is more than a black box. Concentration governs the sheer quantity of high-conductivity solid dispersed through the base liquid, and because the effective-medium contribution rises monotonically with the volume fraction, any model that fails to place concentration at the head of its importance ranking is almost certainly mis-specified or trained on corrupted data. Temperature, by contrast, does not enter the classical effective-medium picture at all, for the static mixing rules are constructed from phase conductivities that are themselves only weakly temperature-dependent, and the strong positive temperature coefficient that experiments consistently reveal is therefore the clearest fingerprint of the dynamic mechanisms, principally the intensification of Brownian motion and the associated micro-convection, that operate beyond the static picture [101]. When a data-driven model learns a pronounced temperature dependence, it is learning precisely the physics that the mixing rules omit, and the magnitude of that learned dependence, extractable from a partial-dependence analysis of the trained model, can even be read as an indirect measure of the strength of the dynamic enhancement in a given material system. This interpretive reading of feature effects, which converts an ostensibly opaque model into a source of physical insight, is one of the more valuable and underexploited returns that the property-prediction literature offers to the attentive analyst.</w:t>
      </w:r>
    </w:p>
    <w:p>
      <w:pPr>
        <w:pStyle w:val="Normal"/>
      </w:pPr>
      <w:r>
        <w:t xml:space="preserve">The particle size occupies a more subtle position in the feature hierarchy than either concentration or temperature, and its treatment separates careful studies from careless ones. Smaller particles present a larger interfacial area per unit volume, which amplifies the contribution of any interfacial-layering mechanism, and they exhibit more vigorous Brownian motion, which strengthens the micro-convective contribution, so that conductivity tends to rise as particle size falls, other variables held constant. Yet the reported size dependence is frequently muddied by the fact that the nominal or primary particle size quoted in a study rarely corresponds to the effective hydrodynamic size of the aggregates actually present in the dispersion, and a model trained on nominal sizes may therefore learn a weaker or noisier size dependence than the underlying physics would dictate [102]. The sound practitioner treats a reported size feature with corresponding caution, recognising that it encodes an imperfectly measured surrogate for the aggregation state, and the recognition that aggregation mediates the apparent influence of size is one of the recurring lessons that the physics of Chapter 2 contributes to the interpretation of the data-driven models of this chapter.</w:t>
      </w:r>
    </w:p>
    <w:p>
      <w:pPr>
        <w:pStyle w:val="Normal"/>
      </w:pPr>
      <w:r>
        <w:t xml:space="preserve">The model classes applied to conductivity prediction span the full toolkit of Chapter 6, and comparative studies illuminate their relative strengths. Artificial neural networks, the most commonly used, achieve high accuracy when sufficient data are available and are favoured for their flexibility in representing the nonlinear dependence of conductivity on its inputs, though they require careful regularisation to avoid overfitting the sometimes limited data. Support-vector regression performs strongly on the smaller datasets that characterise individual material systems, where its resistance to overfitting is valuable. Tree-based ensembles, particularly gradient-boosting methods, frequently achieve the highest accuracy on the tabular, moderately sized datasets typical of the field, and their feature-importance scores provide a physically interpretable ranking of the input variables that confirms the dominance of concentration and temperature [103]. Table 8.1 summarises representative studies of machine-learning conductivity prediction, characterising the models, inputs and accuracies reported and illustrating both the diversity of approaches and the consistently high accuracy achieved.</w:t>
      </w:r>
    </w:p>
    <w:p>
      <w:pPr>
        <w:pStyle w:val="TableCaption"/>
      </w:pPr>
      <w:r>
        <w:rPr>
          <w:b/>
        </w:rPr>
        <w:t xml:space="preserve">Table 8.1</w:t>
      </w:r>
      <w:r>
        <w:t xml:space="preserve"> Representative machine-learning studies for nanofluid thermal-conductivity prediction.</w:t>
      </w:r>
    </w:p>
    <w:tbl>
      <w:tblPr>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w="2340" w:type="dxa"/>
            <w:shd w:val="clear" w:color="auto" w:fill="D9E2F3"/>
          </w:tcPr>
          <w:p>
            <w:pPr>
              <w:jc w:val="center"/>
              <w:spacing w:after="20"/>
            </w:pPr>
            <w:r>
              <w:rPr>
                <w:b/>
              </w:rPr>
              <w:t xml:space="preserve">Model class</w:t>
            </w:r>
          </w:p>
        </w:tc>
        <w:tc>
          <w:tcPr>
            <w:tcW w:w="2340" w:type="dxa"/>
            <w:shd w:val="clear" w:color="auto" w:fill="D9E2F3"/>
          </w:tcPr>
          <w:p>
            <w:pPr>
              <w:jc w:val="center"/>
              <w:spacing w:after="20"/>
            </w:pPr>
            <w:r>
              <w:rPr>
                <w:b/>
              </w:rPr>
              <w:t xml:space="preserve">Typical inputs</w:t>
            </w:r>
          </w:p>
        </w:tc>
        <w:tc>
          <w:tcPr>
            <w:tcW w:w="2340" w:type="dxa"/>
            <w:shd w:val="clear" w:color="auto" w:fill="D9E2F3"/>
          </w:tcPr>
          <w:p>
            <w:pPr>
              <w:jc w:val="center"/>
              <w:spacing w:after="20"/>
            </w:pPr>
            <w:r>
              <w:rPr>
                <w:b/>
              </w:rPr>
              <w:t xml:space="preserve">Reported accuracy (R2)</w:t>
            </w:r>
          </w:p>
        </w:tc>
        <w:tc>
          <w:tcPr>
            <w:tcW w:w="2340" w:type="dxa"/>
            <w:shd w:val="clear" w:color="auto" w:fill="D9E2F3"/>
          </w:tcPr>
          <w:p>
            <w:pPr>
              <w:jc w:val="center"/>
              <w:spacing w:after="20"/>
            </w:pPr>
            <w:r>
              <w:rPr>
                <w:b/>
              </w:rPr>
              <w:t xml:space="preserve">Notable feature</w:t>
            </w:r>
          </w:p>
        </w:tc>
      </w:tr>
      <w:tr>
        <w:tc>
          <w:tcPr>
            <w:tcW w:w="2340" w:type="dxa"/>
          </w:tcPr>
          <w:p>
            <w:pPr>
              <w:spacing w:after="20"/>
              <w:jc w:val="left"/>
            </w:pPr>
            <w:r>
              <w:t xml:space="preserve">Artificial neural network</w:t>
            </w:r>
          </w:p>
        </w:tc>
        <w:tc>
          <w:tcPr>
            <w:tcW w:w="2340" w:type="dxa"/>
          </w:tcPr>
          <w:p>
            <w:pPr>
              <w:spacing w:after="20"/>
              <w:jc w:val="left"/>
            </w:pPr>
            <w:r>
              <w:t xml:space="preserve">phi, T, dp, particle/base k</w:t>
            </w:r>
          </w:p>
        </w:tc>
        <w:tc>
          <w:tcPr>
            <w:tcW w:w="2340" w:type="dxa"/>
          </w:tcPr>
          <w:p>
            <w:pPr>
              <w:spacing w:after="20"/>
              <w:jc w:val="left"/>
            </w:pPr>
            <w:r>
              <w:t xml:space="preserve">0.98-0.99</w:t>
            </w:r>
          </w:p>
        </w:tc>
        <w:tc>
          <w:tcPr>
            <w:tcW w:w="2340" w:type="dxa"/>
          </w:tcPr>
          <w:p>
            <w:pPr>
              <w:spacing w:after="20"/>
              <w:jc w:val="left"/>
            </w:pPr>
            <w:r>
              <w:t xml:space="preserve">Flexible nonlinear fit</w:t>
            </w:r>
          </w:p>
        </w:tc>
      </w:tr>
      <w:tr>
        <w:tc>
          <w:tcPr>
            <w:tcW w:w="2340" w:type="dxa"/>
          </w:tcPr>
          <w:p>
            <w:pPr>
              <w:spacing w:after="20"/>
              <w:jc w:val="left"/>
            </w:pPr>
            <w:r>
              <w:t xml:space="preserve">Support-vector regression</w:t>
            </w:r>
          </w:p>
        </w:tc>
        <w:tc>
          <w:tcPr>
            <w:tcW w:w="2340" w:type="dxa"/>
          </w:tcPr>
          <w:p>
            <w:pPr>
              <w:spacing w:after="20"/>
              <w:jc w:val="left"/>
            </w:pPr>
            <w:r>
              <w:t xml:space="preserve">phi, T, dp</w:t>
            </w:r>
          </w:p>
        </w:tc>
        <w:tc>
          <w:tcPr>
            <w:tcW w:w="2340" w:type="dxa"/>
          </w:tcPr>
          <w:p>
            <w:pPr>
              <w:spacing w:after="20"/>
              <w:jc w:val="left"/>
            </w:pPr>
            <w:r>
              <w:t xml:space="preserve">0.97-0.99</w:t>
            </w:r>
          </w:p>
        </w:tc>
        <w:tc>
          <w:tcPr>
            <w:tcW w:w="2340" w:type="dxa"/>
          </w:tcPr>
          <w:p>
            <w:pPr>
              <w:spacing w:after="20"/>
              <w:jc w:val="left"/>
            </w:pPr>
            <w:r>
              <w:t xml:space="preserve">Strong on small data</w:t>
            </w:r>
          </w:p>
        </w:tc>
      </w:tr>
      <w:tr>
        <w:tc>
          <w:tcPr>
            <w:tcW w:w="2340" w:type="dxa"/>
          </w:tcPr>
          <w:p>
            <w:pPr>
              <w:spacing w:after="20"/>
              <w:jc w:val="left"/>
            </w:pPr>
            <w:r>
              <w:t xml:space="preserve">Random forest</w:t>
            </w:r>
          </w:p>
        </w:tc>
        <w:tc>
          <w:tcPr>
            <w:tcW w:w="2340" w:type="dxa"/>
          </w:tcPr>
          <w:p>
            <w:pPr>
              <w:spacing w:after="20"/>
              <w:jc w:val="left"/>
            </w:pPr>
            <w:r>
              <w:t xml:space="preserve">phi, T, dp, material</w:t>
            </w:r>
          </w:p>
        </w:tc>
        <w:tc>
          <w:tcPr>
            <w:tcW w:w="2340" w:type="dxa"/>
          </w:tcPr>
          <w:p>
            <w:pPr>
              <w:spacing w:after="20"/>
              <w:jc w:val="left"/>
            </w:pPr>
            <w:r>
              <w:t xml:space="preserve">0.96-0.98</w:t>
            </w:r>
          </w:p>
        </w:tc>
        <w:tc>
          <w:tcPr>
            <w:tcW w:w="2340" w:type="dxa"/>
          </w:tcPr>
          <w:p>
            <w:pPr>
              <w:spacing w:after="20"/>
              <w:jc w:val="left"/>
            </w:pPr>
            <w:r>
              <w:t xml:space="preserve">Robust, interpretable</w:t>
            </w:r>
          </w:p>
        </w:tc>
      </w:tr>
      <w:tr>
        <w:tc>
          <w:tcPr>
            <w:tcW w:w="2340" w:type="dxa"/>
          </w:tcPr>
          <w:p>
            <w:pPr>
              <w:spacing w:after="20"/>
              <w:jc w:val="left"/>
            </w:pPr>
            <w:r>
              <w:t xml:space="preserve">Gradient boosting</w:t>
            </w:r>
          </w:p>
        </w:tc>
        <w:tc>
          <w:tcPr>
            <w:tcW w:w="2340" w:type="dxa"/>
          </w:tcPr>
          <w:p>
            <w:pPr>
              <w:spacing w:after="20"/>
              <w:jc w:val="left"/>
            </w:pPr>
            <w:r>
              <w:t xml:space="preserve">phi, T, dp, material</w:t>
            </w:r>
          </w:p>
        </w:tc>
        <w:tc>
          <w:tcPr>
            <w:tcW w:w="2340" w:type="dxa"/>
          </w:tcPr>
          <w:p>
            <w:pPr>
              <w:spacing w:after="20"/>
              <w:jc w:val="left"/>
            </w:pPr>
            <w:r>
              <w:t xml:space="preserve">0.98-0.99</w:t>
            </w:r>
          </w:p>
        </w:tc>
        <w:tc>
          <w:tcPr>
            <w:tcW w:w="2340" w:type="dxa"/>
          </w:tcPr>
          <w:p>
            <w:pPr>
              <w:spacing w:after="20"/>
              <w:jc w:val="left"/>
            </w:pPr>
            <w:r>
              <w:t xml:space="preserve">Highest accuracy on tabular</w:t>
            </w:r>
          </w:p>
        </w:tc>
      </w:tr>
      <w:tr>
        <w:tc>
          <w:tcPr>
            <w:tcW w:w="2340" w:type="dxa"/>
          </w:tcPr>
          <w:p>
            <w:pPr>
              <w:spacing w:after="20"/>
              <w:jc w:val="left"/>
            </w:pPr>
            <w:r>
              <w:t xml:space="preserve">Adaptive neuro-fuzzy</w:t>
            </w:r>
          </w:p>
        </w:tc>
        <w:tc>
          <w:tcPr>
            <w:tcW w:w="2340" w:type="dxa"/>
          </w:tcPr>
          <w:p>
            <w:pPr>
              <w:spacing w:after="20"/>
              <w:jc w:val="left"/>
            </w:pPr>
            <w:r>
              <w:t xml:space="preserve">phi, T</w:t>
            </w:r>
          </w:p>
        </w:tc>
        <w:tc>
          <w:tcPr>
            <w:tcW w:w="2340" w:type="dxa"/>
          </w:tcPr>
          <w:p>
            <w:pPr>
              <w:spacing w:after="20"/>
              <w:jc w:val="left"/>
            </w:pPr>
            <w:r>
              <w:t xml:space="preserve">0.97-0.98</w:t>
            </w:r>
          </w:p>
        </w:tc>
        <w:tc>
          <w:tcPr>
            <w:tcW w:w="2340" w:type="dxa"/>
          </w:tcPr>
          <w:p>
            <w:pPr>
              <w:spacing w:after="20"/>
              <w:jc w:val="left"/>
            </w:pPr>
            <w:r>
              <w:t xml:space="preserve">Combines rules and learning</w:t>
            </w:r>
          </w:p>
        </w:tc>
      </w:tr>
    </w:tbl>
    <w:p>
      <w:pPr>
        <w:spacing w:after="120"/>
      </w:pPr>
    </w:p>
    <w:p>
      <w:pPr>
        <w:pStyle w:val="Normal"/>
      </w:pPr>
      <w:r>
        <w:t xml:space="preserve">The comparison among model classes deserves to be drawn out more fully, because the choice of algorithm is not a matter of indifference and the reasons that one class outperforms another in a given setting are instructive. Artificial neural networks, being universal approximators of great flexibility, can in principle represent any continuous relationship between the inputs and the conductivity, and when the training set is large and well distributed they exploit this flexibility to achieve excellent accuracy; but the very flexibility that is their strength becomes their weakness when data are scarce, for a network with many free parameters can fit the noise as readily as the signal, producing a model that appears accurate on the training data yet generalises poorly to unseen compositions. The regularisation techniques of Chapter 6, from weight decay through early stopping to dropout, are therefore indispensable rather than optional when a network is trained on the modest datasets typical of the field, and a study that reports a neural network trained without such safeguards on a few hundred points invites scepticism about the reported accuracy [103]. Support-vector regression, by contrast, controls model complexity through a margin-based principle that is intrinsically resistant to overfitting, and this structural parsimony explains its strong showing on the smaller single-material datasets where a neural network would struggle; its limitation is that its accuracy depends sensitively on the choice of kernel and of the associated hyperparameters, so that a fair comparison requires that these be tuned by cross-validation rather than fixed by default.</w:t>
      </w:r>
    </w:p>
    <w:p>
      <w:pPr>
        <w:pStyle w:val="Normal"/>
      </w:pPr>
      <w:r>
        <w:t xml:space="preserve">Tree-based ensembles occupy a distinctive and often advantageous position in this comparison, and the reasons repay attention. A single decision tree partitions the feature space into rectangular regions and predicts a constant within each, a crude representation that individually generalises poorly; but an ensemble of many trees, whether combined by the averaging of a random forest or the sequential error-correction of gradient boosting, aggregates these crude predictions into a smooth and accurate one while retaining the trees' natural handling of the tabular, mixed-scale features that characterise nanofluid data. The ensembles require little feature scaling, tolerate irrelevant features gracefully, and, through the feature-importance scores computed from the reduction in error attributable to each variable, furnish the interpretable ranking already discussed, and it is the combination of high accuracy with this interpretability that accounts for their popularity and for their frequent position at the head of comparative accuracy tables [104]. Their principal weakness is a reluctance to extrapolate, for a tree can predict only values seen within the leaves formed during training and therefore returns a flat, constant prediction beyond the range of the training data, a behaviour that is in one sense a liability but in another an honest signal that the model has left the region it was trained to represent. The adaptive neuro-fuzzy systems that appear in the literature occupy a further niche, combining the interpretable if-then rule structure of fuzzy logic with the parameter-learning capability of neural networks, and they are valued where a degree of linguistic interpretability, expressing the learned relationship in terms of rules such as high concentration and high temperature imply large enhancement, is desired alongside quantitative accuracy.</w:t>
      </w:r>
    </w:p>
    <w:p>
      <w:pPr>
        <w:pStyle w:val="Normal"/>
      </w:pPr>
      <w:r>
        <w:t xml:space="preserve">The superiority of data-driven models over the classical mixing rules for conductivity prediction, evident in the accuracies of Table 8.1, has a clear explanation rooted in the physics of Chapter 2. The mixing rules embody a single mechanism, the effective-medium contribution, and a fixed functional form, and they therefore cannot represent the additional enhancement contributed by Brownian motion, interfacial layering and aggregation, nor the dependence of that enhancement on temperature and particle size, so that they systematically underpredict the measured conductivity and fail to capture its temperature dependence. A data-driven model, unconstrained by a fixed mechanistic form, learns the net effect of all the mechanisms directly from the data, including the temperature and size dependences that the mixing rules omit, and it consequently achieves a far closer fit [104]. This success, however, carries the limitation that the model's accuracy is confined to the range of the training data; a model trained on concentrations up to a few per cent and temperatures up to moderate values cannot be trusted to extrapolate beyond them, and the physical reasonableness of any extrapolated prediction must be checked against the mechanistic understanding that the model itself does not embody.</w:t>
      </w:r>
    </w:p>
    <w:p>
      <w:pPr>
        <w:pStyle w:val="Normal"/>
      </w:pPr>
      <w:r>
        <w:t xml:space="preserve">It is worth dwelling on a subtlety that distinguishes a merely accurate conductivity model from a physically trustworthy one, namely the behaviour of the prediction in the limit of vanishing concentration. Physical necessity dictates that as the particle loading tends to zero the nanofluid conductivity must approach that of the pure base fluid exactly, for in that limit no particles remain to enhance it, and a model that respects this limit returns the base-fluid conductivity when queried at zero concentration. A purely data-driven model, however, is under no intrinsic compulsion to honour this constraint, and a flexible model trained on data that begin at a finite concentration may, when extrapolated to zero, predict a conductivity that differs appreciably from the true base-fluid value, an error that betrays the absence of the underlying physics from the model's structure [105]. The most careful studies address this deficiency by including the base-fluid conductivity as a feature and, where possible, by augmenting the training data with the trivially known zero-concentration point, or by casting the target as the conductivity ratio rather than the absolute conductivity so that the physical limit corresponds to the natural value of unity. The checking of this limiting behaviour is a simple and inexpensive diagnostic that ought to be routine, and its neglect in a study is a warning that the physical reasonableness of the model has not been adequately scrutinised.</w:t>
      </w:r>
    </w:p>
    <w:p>
      <w:pPr>
        <w:pStyle w:val="Normal"/>
      </w:pPr>
      <w:r>
        <w:t xml:space="preserve">The reconciliation of data drawn from many laboratories, which underlies every model that aspires to generality across material systems, deserves emphasis as the least glamorous but most consequential stage of the modelling workflow. The experimental conductivity literature is a patchwork assembled by many groups using different instruments, different preparation protocols and different reporting conventions, and the same nominal nanofluid, the same material at the same concentration and temperature, is frequently reported with conductivity enhancements that differ by more than the claimed measurement uncertainty of any single study. These discrepancies arise from genuine differences in the dispersion state, the aggregation and the purity of the samples, differences that the metadata accompanying the measurements rarely capture in full, and they impose an irreducible scatter on any aggregated dataset. A model trained on such a dataset learns the central tendency of the reported enhancements but cannot resolve the study-to-study variation that the missing metadata would explain, and its residual error therefore reflects the heterogeneity of the source literature as much as any deficiency of the algorithm [106]. The honest reporting of this floor, and the resistance to the temptation to reduce it by discarding inconvenient data or by training and testing on a single homogeneous source, is among the clearest marks of the sound practice that the fundamentals of Chapter 7 prescribe and that this chapter seeks to instil.</w:t>
      </w:r>
    </w:p>
    <w:p>
      <w:pPr>
        <w:pStyle w:val="Heading2"/>
      </w:pPr>
      <w:r>
        <w:t xml:space="preserve">8.2 Prediction of Viscosity, Density, and Specific Heat</w:t>
      </w:r>
    </w:p>
    <w:p>
      <w:pPr>
        <w:pStyle w:val="Normal"/>
      </w:pPr>
      <w:r>
        <w:t xml:space="preserve">The dynamic viscosity of a nanofluid, which shares with conductivity the anomalous and hard-to-predict character described in Chapter 2, is the second major target of machine-learning property modelling, and its accurate prediction is fully as important as that of conductivity because viscosity governs the pumping penalty that determines whether a nanofluid delivers a net benefit. The classical relations of Einstein, Brinkman and Batchelor, like the mixing rules for conductivity, embody a single mechanism and a fixed form and consequently underpredict the measured viscosity, particularly at higher concentrations and lower temperatures and for non-spherical particles, and they fail to capture the shear-rate dependence that some nanofluids exhibit. Data-driven models, learning the net dependence of viscosity on concentration, temperature, particle size and shape directly from data, achieve accuracies comparable to those obtained for conductivity and far exceeding those of the classical relations [105]. The features used for viscosity prediction largely mirror those for conductivity, with concentration and temperature again dominant, though the strong temperature dependence of viscosity, which falls steeply as temperature rises, makes temperature relatively more influential for viscosity than for conductivity.</w:t>
      </w:r>
    </w:p>
    <w:p>
      <w:pPr>
        <w:pStyle w:val="Normal"/>
      </w:pPr>
      <w:r>
        <w:t xml:space="preserve">The joint importance of conductivity and viscosity to the assessment of a nanofluid, which no single-property study can capture, deserves emphasis at this juncture because it frames the ultimate purpose of the property-prediction enterprise. A nanofluid earns its place only if the heat-transfer benefit conferred by its enhanced conductivity outweighs the pumping penalty imposed by its enhanced viscosity, and the two enhancements are governed by the same underlying variables of concentration, temperature, size and material, so that any change of formulation that raises the one tends to raise the other as well. It follows that the two properties cannot be optimised independently and that the sound assessment of a formulation requires accurate predictions of both, evaluated together through the figure of merit that weighs benefit against cost, and this interdependence is the deepest reason that the combined multi-output models discussed below are more than a mere convenience [105]. A study that predicts conductivity in isolation, however accurately, answers only half the question a designer must ask, and the reader should regard the enhancement of conductivity not as a virtue in itself but as one term in a balance whose other term is the viscosity penalty, a balance that the property models exist ultimately to inform.</w:t>
      </w:r>
    </w:p>
    <w:p>
      <w:pPr>
        <w:pStyle w:val="Normal"/>
      </w:pPr>
      <w:r>
        <w:t xml:space="preserve">The physical reasons for the anomalous character of nanofluid viscosity, which the data-driven models must learn to reproduce, are worth setting out because they explain both the difficulty of the prediction and the pattern of the errors that the classical relations commit. The relation of Einstein, derived for infinitely dilute suspensions of rigid non-interacting spheres, predicts a viscosity that rises linearly with the volume fraction at a fixed rate, and it is by construction blind to every complication that a real nanofluid presents. As the concentration increases, hydrodynamic interactions between neighbouring particles come into play, and the viscosity rises faster than the linear prediction, a departure that the higher-order relations of Batchelor partially capture but that continues to grow at the loadings of practical interest. The particles are seldom the isolated spheres the theory assumes, for they aggregate into clusters whose effective hydrodynamic volume, swollen by the base fluid immobilised within the porous aggregate structure, exceeds the volume of the constituent solid, so that the effective concentration governing the viscosity is larger than the nominal solid concentration [105]. Non-spherical particles, particularly the nanotubes and nanosheets whose high aspect ratios make them attractive for conductivity enhancement, raise the viscosity far more than spheres at equal loading because their rotation sweeps out a large excluded volume, and their tendency to align in shearing flow introduces the shear-rate dependence that renders such nanofluids non-Newtonian. A data-driven model, learning from the measured viscosities directly, absorbs the net consequence of all these effects without needing to model any of them explicitly, and it is precisely this that gives it the decisive advantage over the classical relations, each of which captures only the first and simplest of the mechanisms at work.</w:t>
      </w:r>
    </w:p>
    <w:p>
      <w:pPr>
        <w:pStyle w:val="Normal"/>
      </w:pPr>
      <w:r>
        <w:t xml:space="preserve">The prediction of viscosity presents distinctive challenges that the sound practitioner must recognise. The steep dependence of viscosity on concentration at higher loadings, where the viscosity may rise far more rapidly than any simple relation predicts, tests the ability of a model to represent strong nonlinearity and demands adequate data in the high-concentration region if predictions there are to be trusted. The shear-rate dependence of non-Newtonian nanofluids introduces an additional input variable that many datasets omit, so that a model trained on data at a single shear rate cannot predict the behaviour at others, a limitation that the analyst must bear in mind. The greater scatter of viscosity measurements, arising from the sensitivity of viscosity to the aggregation state and to the measurement technique, sets a floor on the accuracy attainable, consistent with the principle of Chapter 7 that a model cannot predict more accurately than the data are measured [106]. This scatter is aggravated by a subtlety peculiar to viscosity, namely that the property measured depends on the shear history to which the sample has been subjected, so that a nanofluid that has been freshly sonicated, its aggregates broken down, exhibits a lower viscosity than the same nanofluid measured after the aggregates have had time to reform, and two laboratories reporting the viscosity of nominally identical samples may differ simply because they measured at different points in this slow structural evolution. The consequence for the modeller is that the viscosity target carries an intrinsic ambiguity that the conductivity target largely escapes, and the prudent interpretation of a viscosity model's residual error acknowledges that a portion of it reflects not the failure of the algorithm but the irreproducibility of the underlying measurement.</w:t>
      </w:r>
    </w:p>
    <w:p>
      <w:pPr>
        <w:pStyle w:val="Normal"/>
      </w:pPr>
      <w:r>
        <w:t xml:space="preserve">A further practical caution attends the relative influence of temperature on viscosity, which the modeller must weigh when assembling the training data. Because the viscosity of a liquid falls steeply and nonlinearly as temperature rises, following an approximately exponential decline, the viscosity of a nanofluid measured near the freezing point of its base fluid may exceed its value near the boiling point by a large factor, and this enormous dynamic range means that a model trained predominantly on room-temperature data will represent the low-temperature and high-temperature extremes poorly unless those regions are deliberately populated. The steepness of the temperature dependence also interacts with the concentration dependence in a manner that the classical relations, which treat the two effects as separable, cannot capture, for the aggregation that swells the effective concentration is itself temperature-dependent, so that the true response surface is not the simple product of a concentration factor and a temperature factor but a genuinely coupled function [107]. The flexibility of the data-driven models to represent this coupling, provided the training data sample it adequately, is among the clearest illustrations in this chapter of the advantage that freedom from a fixed functional form confers, and it reinforces the recurring theme that the value of the machine-learning approach is greatest precisely where the physics is most resistant to closed-form description. Table 8.2 summarises representative machine-learning studies of viscosity, density and specific-heat prediction, and the contrast between the properties is instructive.</w:t>
      </w:r>
    </w:p>
    <w:p>
      <w:pPr>
        <w:pStyle w:val="TableCaption"/>
      </w:pPr>
      <w:r>
        <w:rPr>
          <w:b/>
        </w:rPr>
        <w:t xml:space="preserve">Table 8.2</w:t>
      </w:r>
      <w:r>
        <w:t xml:space="preserve"> Representative machine-learning studies for nanofluid viscosity, density and specific-heat prediction.</w:t>
      </w:r>
    </w:p>
    <w:tbl>
      <w:tblPr>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w="1872" w:type="dxa"/>
            <w:shd w:val="clear" w:color="auto" w:fill="D9E2F3"/>
          </w:tcPr>
          <w:p>
            <w:pPr>
              <w:jc w:val="center"/>
              <w:spacing w:after="20"/>
            </w:pPr>
            <w:r>
              <w:rPr>
                <w:b/>
              </w:rPr>
              <w:t xml:space="preserve">Property</w:t>
            </w:r>
          </w:p>
        </w:tc>
        <w:tc>
          <w:tcPr>
            <w:tcW w:w="1872" w:type="dxa"/>
            <w:shd w:val="clear" w:color="auto" w:fill="D9E2F3"/>
          </w:tcPr>
          <w:p>
            <w:pPr>
              <w:jc w:val="center"/>
              <w:spacing w:after="20"/>
            </w:pPr>
            <w:r>
              <w:rPr>
                <w:b/>
              </w:rPr>
              <w:t xml:space="preserve">Typical model</w:t>
            </w:r>
          </w:p>
        </w:tc>
        <w:tc>
          <w:tcPr>
            <w:tcW w:w="1872" w:type="dxa"/>
            <w:shd w:val="clear" w:color="auto" w:fill="D9E2F3"/>
          </w:tcPr>
          <w:p>
            <w:pPr>
              <w:jc w:val="center"/>
              <w:spacing w:after="20"/>
            </w:pPr>
            <w:r>
              <w:rPr>
                <w:b/>
              </w:rPr>
              <w:t xml:space="preserve">Key inputs</w:t>
            </w:r>
          </w:p>
        </w:tc>
        <w:tc>
          <w:tcPr>
            <w:tcW w:w="1872" w:type="dxa"/>
            <w:shd w:val="clear" w:color="auto" w:fill="D9E2F3"/>
          </w:tcPr>
          <w:p>
            <w:pPr>
              <w:jc w:val="center"/>
              <w:spacing w:after="20"/>
            </w:pPr>
            <w:r>
              <w:rPr>
                <w:b/>
              </w:rPr>
              <w:t xml:space="preserve">Reported accuracy (R2)</w:t>
            </w:r>
          </w:p>
        </w:tc>
        <w:tc>
          <w:tcPr>
            <w:tcW w:w="1872" w:type="dxa"/>
            <w:shd w:val="clear" w:color="auto" w:fill="D9E2F3"/>
          </w:tcPr>
          <w:p>
            <w:pPr>
              <w:jc w:val="center"/>
              <w:spacing w:after="20"/>
            </w:pPr>
            <w:r>
              <w:rPr>
                <w:b/>
              </w:rPr>
              <w:t xml:space="preserve">Difficulty</w:t>
            </w:r>
          </w:p>
        </w:tc>
      </w:tr>
      <w:tr>
        <w:tc>
          <w:tcPr>
            <w:tcW w:w="1872" w:type="dxa"/>
          </w:tcPr>
          <w:p>
            <w:pPr>
              <w:spacing w:after="20"/>
              <w:jc w:val="left"/>
            </w:pPr>
            <w:r>
              <w:t xml:space="preserve">Dynamic viscosity</w:t>
            </w:r>
          </w:p>
        </w:tc>
        <w:tc>
          <w:tcPr>
            <w:tcW w:w="1872" w:type="dxa"/>
          </w:tcPr>
          <w:p>
            <w:pPr>
              <w:spacing w:after="20"/>
              <w:jc w:val="left"/>
            </w:pPr>
            <w:r>
              <w:t xml:space="preserve">ANN / SVR / boosting</w:t>
            </w:r>
          </w:p>
        </w:tc>
        <w:tc>
          <w:tcPr>
            <w:tcW w:w="1872" w:type="dxa"/>
          </w:tcPr>
          <w:p>
            <w:pPr>
              <w:spacing w:after="20"/>
              <w:jc w:val="left"/>
            </w:pPr>
            <w:r>
              <w:t xml:space="preserve">phi, T, dp, shape</w:t>
            </w:r>
          </w:p>
        </w:tc>
        <w:tc>
          <w:tcPr>
            <w:tcW w:w="1872" w:type="dxa"/>
          </w:tcPr>
          <w:p>
            <w:pPr>
              <w:spacing w:after="20"/>
              <w:jc w:val="left"/>
            </w:pPr>
            <w:r>
              <w:t xml:space="preserve">0.97-0.99</w:t>
            </w:r>
          </w:p>
        </w:tc>
        <w:tc>
          <w:tcPr>
            <w:tcW w:w="1872" w:type="dxa"/>
          </w:tcPr>
          <w:p>
            <w:pPr>
              <w:spacing w:after="20"/>
              <w:jc w:val="left"/>
            </w:pPr>
            <w:r>
              <w:t xml:space="preserve">High (anomalous)</w:t>
            </w:r>
          </w:p>
        </w:tc>
      </w:tr>
      <w:tr>
        <w:tc>
          <w:tcPr>
            <w:tcW w:w="1872" w:type="dxa"/>
          </w:tcPr>
          <w:p>
            <w:pPr>
              <w:spacing w:after="20"/>
              <w:jc w:val="left"/>
            </w:pPr>
            <w:r>
              <w:t xml:space="preserve">Density</w:t>
            </w:r>
          </w:p>
        </w:tc>
        <w:tc>
          <w:tcPr>
            <w:tcW w:w="1872" w:type="dxa"/>
          </w:tcPr>
          <w:p>
            <w:pPr>
              <w:spacing w:after="20"/>
              <w:jc w:val="left"/>
            </w:pPr>
            <w:r>
              <w:t xml:space="preserve">ANN / linear</w:t>
            </w:r>
          </w:p>
        </w:tc>
        <w:tc>
          <w:tcPr>
            <w:tcW w:w="1872" w:type="dxa"/>
          </w:tcPr>
          <w:p>
            <w:pPr>
              <w:spacing w:after="20"/>
              <w:jc w:val="left"/>
            </w:pPr>
            <w:r>
              <w:t xml:space="preserve">phi, T, phase densities</w:t>
            </w:r>
          </w:p>
        </w:tc>
        <w:tc>
          <w:tcPr>
            <w:tcW w:w="1872" w:type="dxa"/>
          </w:tcPr>
          <w:p>
            <w:pPr>
              <w:spacing w:after="20"/>
              <w:jc w:val="left"/>
            </w:pPr>
            <w:r>
              <w:t xml:space="preserve">0.999+</w:t>
            </w:r>
          </w:p>
        </w:tc>
        <w:tc>
          <w:tcPr>
            <w:tcW w:w="1872" w:type="dxa"/>
          </w:tcPr>
          <w:p>
            <w:pPr>
              <w:spacing w:after="20"/>
              <w:jc w:val="left"/>
            </w:pPr>
            <w:r>
              <w:t xml:space="preserve">Low (mixing rule)</w:t>
            </w:r>
          </w:p>
        </w:tc>
      </w:tr>
      <w:tr>
        <w:tc>
          <w:tcPr>
            <w:tcW w:w="1872" w:type="dxa"/>
          </w:tcPr>
          <w:p>
            <w:pPr>
              <w:spacing w:after="20"/>
              <w:jc w:val="left"/>
            </w:pPr>
            <w:r>
              <w:t xml:space="preserve">Specific heat</w:t>
            </w:r>
          </w:p>
        </w:tc>
        <w:tc>
          <w:tcPr>
            <w:tcW w:w="1872" w:type="dxa"/>
          </w:tcPr>
          <w:p>
            <w:pPr>
              <w:spacing w:after="20"/>
              <w:jc w:val="left"/>
            </w:pPr>
            <w:r>
              <w:t xml:space="preserve">ANN / linear</w:t>
            </w:r>
          </w:p>
        </w:tc>
        <w:tc>
          <w:tcPr>
            <w:tcW w:w="1872" w:type="dxa"/>
          </w:tcPr>
          <w:p>
            <w:pPr>
              <w:spacing w:after="20"/>
              <w:jc w:val="left"/>
            </w:pPr>
            <w:r>
              <w:t xml:space="preserve">phi, T, phase properties</w:t>
            </w:r>
          </w:p>
        </w:tc>
        <w:tc>
          <w:tcPr>
            <w:tcW w:w="1872" w:type="dxa"/>
          </w:tcPr>
          <w:p>
            <w:pPr>
              <w:spacing w:after="20"/>
              <w:jc w:val="left"/>
            </w:pPr>
            <w:r>
              <w:t xml:space="preserve">0.99+</w:t>
            </w:r>
          </w:p>
        </w:tc>
        <w:tc>
          <w:tcPr>
            <w:tcW w:w="1872" w:type="dxa"/>
          </w:tcPr>
          <w:p>
            <w:pPr>
              <w:spacing w:after="20"/>
              <w:jc w:val="left"/>
            </w:pPr>
            <w:r>
              <w:t xml:space="preserve">Low (mixing rule)</w:t>
            </w:r>
          </w:p>
        </w:tc>
      </w:tr>
      <w:tr>
        <w:tc>
          <w:tcPr>
            <w:tcW w:w="1872" w:type="dxa"/>
          </w:tcPr>
          <w:p>
            <w:pPr>
              <w:spacing w:after="20"/>
              <w:jc w:val="left"/>
            </w:pPr>
            <w:r>
              <w:t xml:space="preserve">Combined property model</w:t>
            </w:r>
          </w:p>
        </w:tc>
        <w:tc>
          <w:tcPr>
            <w:tcW w:w="1872" w:type="dxa"/>
          </w:tcPr>
          <w:p>
            <w:pPr>
              <w:spacing w:after="20"/>
              <w:jc w:val="left"/>
            </w:pPr>
            <w:r>
              <w:t xml:space="preserve">Multi-output ANN</w:t>
            </w:r>
          </w:p>
        </w:tc>
        <w:tc>
          <w:tcPr>
            <w:tcW w:w="1872" w:type="dxa"/>
          </w:tcPr>
          <w:p>
            <w:pPr>
              <w:spacing w:after="20"/>
              <w:jc w:val="left"/>
            </w:pPr>
            <w:r>
              <w:t xml:space="preserve">phi, T, dp, material</w:t>
            </w:r>
          </w:p>
        </w:tc>
        <w:tc>
          <w:tcPr>
            <w:tcW w:w="1872" w:type="dxa"/>
          </w:tcPr>
          <w:p>
            <w:pPr>
              <w:spacing w:after="20"/>
              <w:jc w:val="left"/>
            </w:pPr>
            <w:r>
              <w:t xml:space="preserve">0.98-0.99</w:t>
            </w:r>
          </w:p>
        </w:tc>
        <w:tc>
          <w:tcPr>
            <w:tcW w:w="1872" w:type="dxa"/>
          </w:tcPr>
          <w:p>
            <w:pPr>
              <w:spacing w:after="20"/>
              <w:jc w:val="left"/>
            </w:pPr>
            <w:r>
              <w:t xml:space="preserve">Moderate</w:t>
            </w:r>
          </w:p>
        </w:tc>
      </w:tr>
    </w:tbl>
    <w:p>
      <w:pPr>
        <w:spacing w:after="120"/>
      </w:pPr>
    </w:p>
    <w:p>
      <w:pPr>
        <w:pStyle w:val="Normal"/>
      </w:pPr>
      <w:r>
        <w:t xml:space="preserve">Density and specific heat capacity, which were shown in Chapter 2 to be well described by the mass- and energy-conserving mixing rules, present a very different modelling situation, in which the advantage of machine learning is smaller though not negligible. Because the mixing rules for these properties are accurate, a data-driven model has less anomalous behaviour to learn and can achieve very high accuracy, but so can the mixing rules themselves, so that the incremental benefit of machine learning is modest. The value of data-driven models for these properties lies less in improved accuracy than in convenience and integration: a single multi-output model that predicts all four properties from a common set of inputs offers a unified property package that can be embedded in a design or optimisation workflow, and such combined models, which predict conductivity, viscosity, density and specific heat together, are increasingly reported [107]. The multi-output approach also permits the model to exploit correlations among the properties, since the same underlying composition and state govern all four, and it presents the design workflow with a single, consistent source of properties rather than a patchwork of separate relations.</w:t>
      </w:r>
    </w:p>
    <w:p>
      <w:pPr>
        <w:pStyle w:val="Normal"/>
      </w:pPr>
      <w:r>
        <w:t xml:space="preserve">The reasons that density and specific heat capacity submit so readily to the classical mixing rules, whereas conductivity and viscosity do not, illuminate a general principle that the practitioner should carry forward. Density is governed by the conservation of mass and volume, quantities that are additive and that no dynamic mechanism can alter, so that the density of a nanofluid is the volume-weighted average of the densities of its constituents to an accuracy limited only by the precision with which the volume fraction is known, and there is simply no anomalous behaviour for a data-driven model to discover. Specific heat capacity is governed by the conservation of thermal energy, and while its mixing rule is marginally more subtle than that for density, requiring a mass-weighted rather than a volume-weighted average of the constituent heat capacities, it too rests on a conservation principle that admits no dynamic enhancement, so that the mixing rule predicts it accurately across the range of practical interest [107]. The contrast with conductivity and viscosity, both of which are transport properties governed by the dynamics of energy and momentum exchange at the particle scale rather than by a conservation law, is the fundamental reason that the former pair is easy and the latter pair hard, and the recognition of this distinction spares the analyst the futile effort of seeking large machine-learning gains where the physics guarantees there are none to be had.</w:t>
      </w:r>
    </w:p>
    <w:p>
      <w:pPr>
        <w:pStyle w:val="Normal"/>
      </w:pPr>
      <w:r>
        <w:t xml:space="preserve">This asymmetry has a direct consequence for how effort should be allocated in the construction of a combined property package, and the guidance it yields is unambiguous. The scarce commodity in the modelling workflow is high-quality experimental data, and the marginal value of an additional density or specific-heat measurement is small, because the mixing rules already predict these properties accurately, whereas the marginal value of an additional conductivity or viscosity measurement, particularly one in a sparsely sampled region of the design space, is large. A rational data-collection strategy therefore concentrates experimental resources on the two anomalous properties and relies on the mixing rules, or on lightly trained models anchored to them, for the two conservative ones, and a combined multi-output model is best understood not as four equally demanding predictions but as two genuine learning problems bundled with two near-trivial ones for the convenience of the downstream workflow [108]. The practical implication for the reader who consumes rather than constructs such models is that scepticism should be trained on the conductivity and viscosity outputs, where the real difficulty lies, and that a study reporting spectacular accuracy for density or specific heat has demonstrated little, since the mixing rules would have achieved the same.</w:t>
      </w:r>
    </w:p>
    <w:p>
      <w:pPr>
        <w:pStyle w:val="Normal"/>
      </w:pPr>
      <w:r>
        <w:t xml:space="preserve">The dimensionless expression of the prediction target, favoured in the most generalisable studies, deserves a specific commendation because it embodies the physical reasoning that most reliably confers generalisation. Predicting the conductivity ratio rather than the absolute conductivity, or the relative viscosity rather than the absolute viscosity, refers each nanofluid to its own base fluid and thereby removes the base-fluid dependence from the target, so that a single model can span nanofluids built on different base fluids without having to learn separately the properties of each base liquid [107]. The ratio target also embeds the physical limit directly, for the ratio must approach unity as the concentration approaches zero regardless of the base fluid, and a model trained on ratios is therefore anchored to a correct and universal limiting value in a way that a model of absolute properties is not. This preference for dimensionless targets mirrors the preference for dimensionless features already commended, and the two together express the single deep principle that a data-driven model generalises best when it is asked to learn the departures from a physically motivated reference rather than the raw quantities themselves, a principle that the fundamentals of Chapter 7 articulate and that the property-prediction literature confirms at every turn.</w:t>
      </w:r>
    </w:p>
    <w:p>
      <w:pPr>
        <w:pStyle w:val="Normal"/>
      </w:pPr>
      <w:r>
        <w:t xml:space="preserve">The practice of machine-learning property prediction, as it has matured, has converged on a set of sound conventions that embody the principles of Chapter 7 and that the reader should recognise as marks of a trustworthy study. The features are physically motivated and, where possible, dimensionless or otherwise generalisable across material systems; the data are drawn from multiple sources and carefully reconciled and cleaned; the model is evaluated by cross-validation and reported through several metrics and a parity plot; the range of validity is stated explicitly and extrapolation beyond it is disclaimed; and the physical reasonableness of the predictions, particularly their limiting behaviour as concentration tends to zero, is checked [108]. Studies that observe these conventions produce models that can be relied upon within their stated range, while studies that neglect them, reporting a single optimistic metric on an undisclosed split of an unreconciled dataset, produce models whose reported accuracy cannot be trusted, and the ability to distinguish the two, which the fundamentals of Chapter 7 confer, is essential to the sound use of the property-prediction literature.</w:t>
      </w:r>
    </w:p>
    <w:p>
      <w:pPr>
        <w:pStyle w:val="Normal"/>
      </w:pPr>
      <w:r>
        <w:t xml:space="preserve">Among the failure modes that the discerning reader learns to detect, the most insidious is the data leakage that arises when multiple measurements of the same physical sample, differing only in the temperature at which they were taken, are distributed across the training and test partitions. When the several temperature points of a single dispersion appear on both sides of the split, the test set no longer contains genuinely unseen samples, for the model has effectively seen the sample during training and need only interpolate mildly in temperature to predict the withheld points, and the resulting accuracy metric flatters the model's true ability to generalise to new compositions [108]. The remedy, a grouped partitioning in which all measurements of a given sample are assigned together to one side of the split, is straightforward once the danger is recognised, but its neglect is common, and a suspiciously high reported accuracy on a small dataset is often traceable to this cause. The reader who understands the mechanism of the leakage can estimate its likely effect and discount the reported metric accordingly, and this diagnostic skill, more than any facility with the algorithms themselves, is what separates the critical consumer of the literature from the credulous one.</w:t>
      </w:r>
    </w:p>
    <w:p>
      <w:pPr>
        <w:pStyle w:val="Normal"/>
      </w:pPr>
      <w:r>
        <w:t xml:space="preserve">A second and subtler failure mode concerns the interpretation of the aggregate accuracy metric across a heterogeneous design space, for a single coefficient of determination computed over the whole dataset can conceal a badly uneven distribution of error. A model may predict the densely sampled central region of the design space, where most of the data lie, with great accuracy while performing poorly in the sparsely sampled peripheral regions of high concentration, extreme temperature or unusual material, and because the aggregate metric is dominated by the numerous central points it registers as excellent even though the model is unreliable precisely where a designer exploring a novel formulation would most wish to rely on it [109]. The sound practice, following the principles of Chapter 7, is to report the error not as a single number but as a distribution, to examine the residuals as a function of the input variables so that regions of systematic error are exposed, and to state candidly where in the design space the model may be trusted and where it may not. This regionally resolved honesty about accuracy is the natural companion to the explicit statement of the range of validity, and together they constitute the disclosure that allows a downstream user to employ a property model soundly rather than blindly.</w:t>
      </w:r>
    </w:p>
    <w:p>
      <w:pPr>
        <w:pStyle w:val="Heading2"/>
      </w:pPr>
      <w:r>
        <w:t xml:space="preserve">8.3 Data-Driven Modelling of Nanofluid Stability and Thermophysical Behaviour</w:t>
      </w:r>
    </w:p>
    <w:p>
      <w:pPr>
        <w:pStyle w:val="Normal"/>
      </w:pPr>
      <w:r>
        <w:t xml:space="preserve">The colloidal stability of a nanofluid, whose central importance to any practical application was established in Chapter 2, has emerged as a further and more challenging target for data-driven modelling, and its prediction would be of great practical value because stability determines whether a nanofluid can be used at all and because its experimental assessment, requiring observation over extended periods, is slow and laborious. The modelling of stability is more difficult than the modelling of the thermophysical properties for several reasons. Stability is influenced by a larger and less well-characterised set of variables, including the surfactant type and dosage, the pH, the sonication conditions and the surface chemistry of the particles, many of which are inconsistently reported in the literature. Stability is often expressed through indirect and non-standardised measures, such as the zeta potential, the sedimentation time or a qualitative stability rating, which are not directly comparable across studies. And stability evolves over time, so that a single measurement captures only one point of a trajectory [109]. These difficulties mean that data-driven stability models are at present less accurate and less mature than property models, though the field is advancing.</w:t>
      </w:r>
    </w:p>
    <w:p>
      <w:pPr>
        <w:pStyle w:val="Normal"/>
      </w:pPr>
      <w:r>
        <w:t xml:space="preserve">The temporal character of stability, which sets it apart most sharply from the thermophysical properties, deserves a fuller examination because it dictates the very form that a sound stability model must take. A thermophysical property such as conductivity is, to good approximation, a well-defined function of the composition and state at the moment of measurement, so that a single measurement characterises the sample completely for modelling purposes; stability, by contrast, is not a state but a process, the gradual descent of a metastable dispersion toward the thermodynamically favoured separated condition, and a single observation captures only the position of the sample along a trajectory whose shape and rate are what one truly wishes to predict [109]. A model that predicts, from the composition, a scalar stability rating measured at an arbitrary elapsed time conflates dispersions that are genuinely stable with those that merely happen not yet to have separated, and its predictions are correspondingly ill-defined. The more rigorous framing predicts a rate, the sedimentation velocity or the time constant of the decay of the suspended fraction, or predicts the suspended fraction as an explicit function of elapsed time, and although the data required to support such a framing are scarcer and more laborious to acquire, the resulting model answers a well-posed question in a way that a static rating cannot. The recognition that stability modelling is at bottom the modelling of a kinetic process, not a static property, is among the more important conceptual contributions that the physics of Chapter 2 makes to the data-driven treatment of this section.</w:t>
      </w:r>
    </w:p>
    <w:p>
      <w:pPr>
        <w:pStyle w:val="Normal"/>
      </w:pPr>
      <w:r>
        <w:t xml:space="preserve">The heterogeneity of the reported stability measures compounds the temporal difficulty and imposes a discipline on the assembly of any training set. One study may report the zeta potential, a measure of the electrostatic barrier to aggregation that predicts stability only indirectly and under assumptions about the aggregation mechanism that may not hold; another may report a sedimentation time, the interval after which visible separation occurs, whose value depends on the sensitivity of the observation method and on the arbitrary threshold chosen to declare separation; a third may report an absorbance ratio from a spectrophotometric measurement of the suspended concentration, itself sensitive to the wavelength and path length employed; and a fourth may offer only a qualitative visual rating on an ad hoc scale [110]. These measures are not interchangeable, and a model trained on a target assembled by naively pooling them across studies learns a confused amalgam that corresponds to no single physical quantity. The sound practice restricts the training set to a single consistently defined measure, accepting the smaller dataset that results as the price of a well-defined target, and the reader evaluating a stability study should ascertain first of all whether the target has been defined with this care, for a model built on an incoherent target cannot be rescued by any sophistication of algorithm.</w:t>
      </w:r>
    </w:p>
    <w:p>
      <w:pPr>
        <w:pStyle w:val="Normal"/>
      </w:pPr>
      <w:r>
        <w:t xml:space="preserve">The features used for stability prediction reflect the physics of colloidal stability developed in Chapter 2, and the most informative among them are those that govern the balance between the attractive and repulsive interparticle forces. The zeta potential, or the pH that determines it for a given particle, is among the most influential features, because a large zeta-potential magnitude indicates strong electrostatic repulsion and hence stability. The surfactant type and concentration enter through their contribution to steric and electrosteric repulsion, the particle size and concentration enter through their influence on the aggregation and sedimentation rates, and the sonication energy enters through its role in dispersing aggregates [110]. The sonication conditions, though frequently underreported, deserve particular attention among the stability features because they exert an influence that is at once strong and non-monotonic, and their mishandling is a common source of confusion in stability datasets. A modest input of sonication energy disperses the loose agglomerates present in the as-mixed suspension and improves stability, but an excessive input can fracture the surfactant coatings, generate reactive surfaces that promote re-aggregation, or heat the sample enough to alter its chemistry, so that stability first improves and then degrades as sonication energy increases [110]. A data-driven model can in principle learn this non-monotonic dependence, but only if the training data record the sonication energy quantitatively, in terms of the power, duration and sample volume that together determine the energy delivered per unit mass, rather than through the vague descriptions such as sonicated for thirty minutes that pervade the literature and that omit the power and hence the energy. The frequent absence of a quantitative sonication feature is one of the clearest illustrations of the general lament of this section, that the variables governing stability are inconsistently and incompletely reported, and it explains why stability models trained on the heterogeneous literature struggle to reproduce a dependence that is, in a single well-controlled laboratory, entirely reproducible.</w:t>
      </w:r>
    </w:p>
    <w:p>
      <w:pPr>
        <w:pStyle w:val="Normal"/>
      </w:pPr>
      <w:r>
        <w:t xml:space="preserve">The prediction target may be the zeta potential itself, treated as a regression problem, a stability class such as stable, moderately stable or unstable, treated as a classification problem, or a quantitative measure such as the sedimentation time or the fraction remaining suspended after a fixed interval. The choice of target shapes the modelling problem and the metrics by which it is assessed, and the classification framing, which demands less precise data, is often the more robust given the quality of the available measurements.</w:t>
      </w:r>
    </w:p>
    <w:p>
      <w:pPr>
        <w:pStyle w:val="Normal"/>
      </w:pPr>
      <w:r>
        <w:t xml:space="preserve">The wisdom of the classification framing, when the data are of uneven quality, merits a fuller defence because it runs counter to the instinct that a quantitative prediction is always preferable to a categorical one. When the underlying measurements are noisy and inconsistently defined, a regression model that predicts a precise numerical stability index conveys an impression of precision that the data cannot support, and its apparent errors, computed against noisy targets, are difficult to interpret. A classification model that predicts membership in a small number of coarse categories, such as stable, marginal and unstable, demands only that the noisy measurements suffice to place a sample in the correct broad band, a far less exacting requirement that the data can often meet, and its performance is assessed through the transparent language of accuracy, precision and recall that communicates directly the practical question of how often the model correctly identifies an unstable formulation [110]. The categorical framing also aligns naturally with the decision the designer actually faces, which is the binary or near-binary one of whether a candidate formulation is usable, and a model that answers this question reliably is more useful than one that predicts a precise index whose numerical value the designer would in any case only threshold into the same categories. The lesson generalises beyond stability: where the target is intrinsically imprecise, the framing of the prediction should be matched to the precision the data can support, and the reflexive preference for regression over classification is one that the sound practitioner learns to question.</w:t>
      </w:r>
    </w:p>
    <w:p>
      <w:pPr>
        <w:pStyle w:val="Normal"/>
      </w:pPr>
      <w:r>
        <w:t xml:space="preserve">The asymmetry of the costs of misclassification introduces a further consideration that the naive optimisation of overall accuracy overlooks, and it bears directly on how a stability classifier should be trained and evaluated. In the practical use of a nanofluid, the two possible errors of a stability classifier are not equally serious: to judge an unstable formulation stable is to risk deploying a fluid that will sediment in service, fouling the exchanger and defeating the purpose of the nanoparticles, whereas to judge a stable formulation unstable merely forgoes a usable candidate, a more benign error [111]. A classifier tuned to maximise overall accuracy treats these errors as equivalent and may achieve a high accuracy while committing an unacceptable number of the dangerous first kind, and the sound practice therefore weights the training objective and the decision threshold to penalise the dangerous misclassification more heavily, accepting a higher rate of the benign error in exchange for a lower rate of the serious one. This deliberate asymmetry, familiar from the broader practice of risk-sensitive classification, is an instance of the general principle that the evaluation of a model must be aligned with the consequences of its use rather than with a generic metric, and its application to stability prediction is a natural point at which the fundamentals of Chapter 7 acquire concrete engineering meaning.</w:t>
      </w:r>
    </w:p>
    <w:p>
      <w:pPr>
        <w:pStyle w:val="Normal"/>
      </w:pPr>
      <w:r>
        <w:t xml:space="preserve">The broader thermophysical behaviour of nanofluids, encompassing the interplay of the several properties and their joint dependence on composition and state, has begun to be addressed by integrated data-driven models that go beyond the prediction of individual properties toward the prediction of the derived quantities that design requires. A model may predict, from the composition and state, not only the four thermophysical properties but the dimensionless groups formed from them, the Prandtl number that combines viscosity, conductivity and specific heat, or the figure of merit that combines the property enhancements into a single index of the fluid's promise for heat transfer [111]. Such integrated models, which embody the physical relationships among the properties and the performance measures, move the data-driven approach closer to the design questions that motivate it, and they exemplify the trend, noted in Chapter 6, toward the integration of physical knowledge into data-driven models through the choice of physically meaningful targets and features.</w:t>
      </w:r>
    </w:p>
    <w:p>
      <w:pPr>
        <w:pStyle w:val="Normal"/>
      </w:pPr>
      <w:r>
        <w:t xml:space="preserve">The prediction of a derived quantity such as a dimensionless group or a figure of merit may be accomplished in either of two ways, and the choice between them raises a question of modelling strategy that recurs throughout the data-driven treatment of nanofluids. One may predict each constituent property separately and then combine the predictions algebraically into the derived quantity, or one may train a single model to predict the derived quantity directly from the composition and state. The first approach, the composite one, has the virtue of transparency, for each intermediate prediction can be checked against physical expectation and the propagation of error through the combining formula can be traced, and it reuses the property models that must be built in any case; its weakness is that the errors of the several property predictions may compound or, less predictably, partially cancel when combined, so that the accuracy of the derived quantity is difficult to anticipate from the accuracies of its parts [111]. The second approach, the direct one, sidesteps this error propagation by learning the derived quantity as a single target, and it may achieve higher accuracy on that target by exploiting cancellations that the composite approach cannot foresee; its weakness is opacity, for a direct model of a figure of merit reveals nothing about which underlying property is responsible for a poor prediction, and it must be retrained from scratch if the definition of the figure of merit changes. The judicious practitioner selects between these strategies according to whether transparency or terminal accuracy is the more pressing need, and the awareness that the choice exists, and that it involves a genuine trade-off rather than a matter of convenience, is itself a mark of modelling maturity.</w:t>
      </w:r>
    </w:p>
    <w:p>
      <w:pPr>
        <w:pStyle w:val="Normal"/>
      </w:pPr>
      <w:r>
        <w:t xml:space="preserve">The integrated prediction of thermophysical behaviour also opens the door to a mode of use that transcends prediction and approaches design, namely the inversion of the model to answer the question of which composition and state would yield a desired property or figure of merit. A forward model predicts the properties from the formulation; a designer, however, often wishes to proceed in the reverse direction, specifying a target enhancement and seeking the formulation that achieves it, and a fast forward model embedded within a search procedure can answer this inverse question by repeatedly querying candidate formulations until one meeting the specification is found [112]. This inversion, which the negligible query cost of a trained model makes practical, converts the property-prediction models of this chapter from passive predictors into active instruments of formulation design, and it prefigures the coupling of predictive surrogates with optimisation that the final chapter develops for the design of complete devices. The recognition that a forward model is also, when inverted, a design tool is one of the more powerful ideas that the data-driven approach contributes, and it explains why the investment in accurate property models repays itself beyond the immediate value of the predictions they furnish.</w:t>
      </w:r>
    </w:p>
    <w:p>
      <w:pPr>
        <w:pStyle w:val="Normal"/>
      </w:pPr>
      <w:r>
        <w:t xml:space="preserve">The limitations that condition the trust to be placed in data-driven property and stability models, and that the sound practitioner never loses sight of, follow from the principles of Chapters 6 and 7 and acquire concrete force in the applications of this chapter. The accuracy of every model is bounded by the quality of its training data, and the scatter of the nanofluid database, arising from the differences in preparation, characterisation and measurement documented throughout the book, sets a limit that no algorithm can surpass. The extrapolation of every model beyond the range of its training data is unreliable, and the large and sparsely sampled design space of nanofluids, spanning many materials, sizes, shapes, concentrations and temperatures, means that a model trained on one region cannot be trusted in another, so that the range of validity must always be stated and respected [112]. The opacity of the most accurate models limits the physical insight they yield and demands that their predictions be checked for physical reasonableness. And the dependence of stability, in particular, on variables that are inconsistently reported means that stability models must be interpreted with especial caution.</w:t>
      </w:r>
    </w:p>
    <w:p>
      <w:pPr>
        <w:pStyle w:val="Normal"/>
      </w:pPr>
      <w:r>
        <w:t xml:space="preserve">The limitation of extrapolation, which recurs so insistently throughout this chapter, warrants a concrete illustration of the practical form it takes and the discipline it demands, for the abstract injunction against extrapolation acquires force only when its consequences are made vivid. Consider a conductivity model trained on data spanning concentrations from a fraction of a per cent to perhaps four per cent, temperatures from ambient to sixty degrees, and a handful of common oxide materials in water. Such a model may predict with excellent accuracy anywhere within this envelope, yet a designer contemplating a novel high-loading formulation at eight per cent, or a high-temperature application at ninety degrees, or an unusual metallic or carbon material absent from the training set, is in each case asking the model to extrapolate along a different axis, and the model's confident-looking numerical prediction offers no warning that it has left the region it was trained to represent [112]. The tree-based ensembles at least flatten to a constant beyond their training range, providing an implicit signal of extrapolation, but the smoothly extrapolating neural networks may return a plausible-seeming value that is in fact unsupported by any data, and it is exactly the plausibility of the unsupported prediction that makes the extrapolation dangerous. The only defence is the disciplined practice of checking every query against the stated envelope of the training data and treating any prediction outside it as a hypothesis to be verified rather than a result to be trusted, and this defence depends on the training envelope having been stated in the first place, which is why its explicit disclosure is among the non-negotiable requirements of a sound study.</w:t>
      </w:r>
    </w:p>
    <w:p>
      <w:pPr>
        <w:pStyle w:val="Normal"/>
      </w:pPr>
      <w:r>
        <w:t xml:space="preserve">A complementary defence against the hazards of extrapolation and of silent model failure is the quantification of predictive uncertainty, and its growing adoption represents one of the more hopeful developments in the property-prediction literature. A model that reports, alongside each prediction, a calibrated estimate of its own uncertainty allows the user to distinguish a confident interpolation within the well-sampled interior of the design space from a speculative extrapolation into its sparsely sampled periphery, and it thereby converts the binary and often-neglected question of whether a query lies inside the training envelope into a continuous and automatically computed measure of trustworthiness [113]. The Gaussian-process models and the ensemble methods discussed in Chapter 6 furnish such uncertainty estimates naturally, the former through the variance of the predictive distribution and the latter through the disagreement among the ensemble members, and a property model equipped with either is markedly more useful in a design setting than an equally accurate model that reports only a point prediction. The uncertainty estimate also guides the efficient acquisition of new experimental data, directing the limited measurement budget toward the regions where the model is least certain and where a new measurement will therefore reduce the uncertainty most, a strategy that closes the loop between modelling and experiment and that promises to accelerate the population of the sparse nanofluid database more efficiently than undirected measurement could. These limitations do not negate the value of the models, which within their range of validity predict properties with an accuracy that transforms the design workflow, but they define the boundaries of sound use, and the recognition of those boundaries, as much as the construction of the models, is the contribution that the fundamentals of the earlier chapters make to the applications of this one [113]. With the prediction of properties now established, the book turns in its final chapter to the prediction of the heat-exchanger performance that those properties determine, completing the arc from the fundamentals of heat transfer to the data-driven prediction of the performance of nanofluid heat exchangers.</w:t>
      </w:r>
    </w:p>
    <w:p>
      <w:r>
        <w:br w:type="page"/>
      </w:r>
    </w:p>
    <w:p>
      <w:pPr>
        <w:pStyle w:val="Title"/>
      </w:pPr>
      <w:r>
        <w:t xml:space="preserve">Chapter 9. AI/ML Prediction of Heat Exchanger Performance</w:t>
      </w:r>
    </w:p>
    <w:p>
      <w:pPr>
        <w:pStyle w:val="Heading1"/>
      </w:pPr>
      <w:r>
        <w:t xml:space="preserve">Abstract</w:t>
      </w:r>
    </w:p>
    <w:p>
      <w:pPr>
        <w:pStyle w:val="Normal"/>
      </w:pPr>
      <w:r>
        <w:t xml:space="preserve">The culmination of the data-driven approach developed throughout this book is the prediction of heat-exchanger performance itself, the heat-transfer coefficients, pressure drops, effectivenesses and overall coefficients that determine whether a nanofluid heat exchanger accomplishes its duty economically. This final chapter surveys the application of machine learning to the prediction of these performance measures, building on the property prediction of Chapter 8 and the fundamentals of the chapters before it, and it demonstrates how the several threads of the book, the physics of heat transfer and nanofluids, the conventional and computational design methods, and the machine-learning toolkit, are woven together in the prediction and optimisation of complete devices. It begins with the prediction of the heat-transfer coefficient and the Nusselt number, the primary measures of the heat-transfer benefit, examining the inputs, models and accuracies reported and the advantages of data-driven prediction over the correlations of Chapter 3. It then treats the prediction of pressure drop and friction factor, the measures of the hydraulic cost that must be set against the benefit, whose accurate prediction is essential to the fair assessment of a nanofluid. Finally, it addresses the prediction of the integrated performance measures, the effectiveness, the thermal performance factor and the overall heat-transfer coefficient, that combine benefit and cost and that are the true objects of design, and it looks toward the coupling of these predictive models with optimisation to realise the multi-objective design that Chapter 4 defined. The chapter, and the book, closes with a synthesis of the integrated practice, physical, computational and data-driven, that the sound engineering of nanofluid heat exchangers demands.</w:t>
      </w:r>
    </w:p>
    <w:p>
      <w:pPr>
        <w:pStyle w:val="Heading2"/>
      </w:pPr>
      <w:r>
        <w:t xml:space="preserve">9.1 Prediction of Heat Transfer Coefficient and Nusselt Number</w:t>
      </w:r>
    </w:p>
    <w:p>
      <w:pPr>
        <w:pStyle w:val="Normal"/>
      </w:pPr>
      <w:r>
        <w:t xml:space="preserve">The heat-transfer coefficient, and its dimensionless form the Nusselt number, is the primary measure of the heat-transfer performance of a nanofluid heat exchanger, and its prediction has been a central target of machine-learning modelling for the same reasons that made conductivity so fruitful a target: it is of the greatest engineering interest, it resists reliable prediction by the correlations of Chapter 3, and a substantial body of experimental and computational data exists from which to learn. The difficulties of correlation-based prediction, documented in Chapter 3, arise from the involvement of mechanisms absent from the homogeneous-fluid theory, from the dependence on many coupled variables, and from the scatter of the experimental database, and each of these difficulties is addressed by the data-driven approach, which learns the net dependence of the Nusselt number on its inputs directly from data without requiring a fixed mechanistic form [114].</w:t>
      </w:r>
    </w:p>
    <w:p>
      <w:pPr>
        <w:pStyle w:val="Normal"/>
      </w:pPr>
      <w:r>
        <w:t xml:space="preserve">The nature of the mechanisms that the homogeneous-fluid theory omits merits restatement here, because it explains precisely why the classical correlations fall short and what a data-driven model must therefore learn. The conventional treatment of convective heat transfer regards the nanofluid as a homogeneous medium whose behaviour is fully determined by its effective properties, so that once the enhanced conductivity, viscosity, density and specific heat are inserted into a standard correlation the elevated Nusselt number should follow. Yet the experimental evidence surveyed in Chapter 3 repeatedly reveals a heat-transfer enhancement exceeding what the property changes alone can explain, an excess attributed to mechanisms that the homogeneous picture cannot represent: the migration of particles across the flow driven by gradients of shear, temperature and concentration, which flattens the velocity and temperature profiles and thins the thermal boundary layer; the disruption of that boundary layer by the Brownian and thermophoretic motion of the particles; and the delay of the transition to fully developed conditions [114]. Because these mechanisms operate outside the property framework, no correlation built on effective properties can capture them, and the systematic under-prediction that such correlations commit is the signature of their omission. A data-driven model trained on the measured Nusselt numbers, by contrast, absorbs the net effect of the property changes and the additional mechanisms together, without needing to separate or model them, and it is this that grants it the decisive advantage in exactly the way that a data-driven conductivity model surpasses the mixing rules.</w:t>
      </w:r>
    </w:p>
    <w:p>
      <w:pPr>
        <w:pStyle w:val="Normal"/>
      </w:pPr>
      <w:r>
        <w:t xml:space="preserve">The coupling of the many variables that govern the Nusselt number compounds the difficulty for the correlation-builder and further favours the data-driven approach. The influence of concentration on heat transfer is not independent of the Reynolds number, for the particle-migration and boundary-layer mechanisms strengthen or weaken with the flow regime, nor is it independent of temperature, which modulates the Brownian motion and the fluid properties simultaneously, so that the true response surface is a genuinely multi-dimensional function whose cross-dependences a product of single-variable power laws cannot represent [115]. A correlation that fits the concentration dependence at one Reynolds number will misfit it at another, and the analyst who confronts this reality by fitting separate correlations for narrow ranges of conditions ends with a proliferation of expressions that collectively describe the data but individually generalise poorly and jointly lack coherence. The data-driven model, learning the full multi-dimensional response surface from data that span the ranges of interest, represents the cross-dependences naturally and presents the designer with a single coherent predictor in place of the fragmented patchwork of narrow correlations, and this consolidation of scattered evidence into a unified predictor is among the most practically valuable contributions the approach makes. Figure 9.1 compares the predictive accuracy of several model classes for a heat-exchanger performance measure, illustrating the high accuracy achievable and the systematic differences among the model classes that inform the selection of a model. Such a comparison, presented visually, conveys at a glance both the general adequacy of the several classes and the modest but real differences among them, and it serves as a useful reminder that no single class holds an unqualified advantage and that the selection of a model is a judgement conditioned by the purpose to which the prediction will be put.</w:t>
      </w:r>
    </w:p>
    <w:p>
      <w:pPr>
        <w:pStyle w:val="FigureImage"/>
      </w:pPr>
      <w:r>
        <w:drawing>
          <wp:inline xmlns:wp="http://schemas.openxmlformats.org/drawingml/2006/wordprocessingDrawing" distT="0" distB="0" distL="0" distR="0">
            <wp:extent cx="5486400" cy="3753852"/>
            <wp:docPr id="1019" name="Picture1019"/>
            <a:graphic xmlns:a="http://schemas.openxmlformats.org/drawingml/2006/main">
              <a:graphicData uri="http://schemas.openxmlformats.org/drawingml/2006/picture">
                <pic:pic xmlns:pic="http://schemas.openxmlformats.org/drawingml/2006/picture">
                  <pic:nvPicPr>
                    <pic:cNvPr id="1019" name="Picture1019"/>
                    <pic:cNvPicPr/>
                  </pic:nvPicPr>
                  <pic:blipFill>
                    <a:blip xmlns:r="http://schemas.openxmlformats.org/officeDocument/2006/relationships" r:embed="rId1019"/>
                    <a:stretch>
                      <a:fillRect/>
                    </a:stretch>
                  </pic:blipFill>
                  <pic:spPr>
                    <a:xfrm>
                      <a:off x="0" y="0"/>
                      <a:ext cx="5486400" cy="3753852"/>
                    </a:xfrm>
                    <a:prstGeom prst="rect">
                      <a:avLst/>
                    </a:prstGeom>
                  </pic:spPr>
                </pic:pic>
              </a:graphicData>
            </a:graphic>
          </wp:inline>
        </w:drawing>
      </w:r>
    </w:p>
    <w:p>
      <w:pPr>
        <w:pStyle w:val="FigureCaption"/>
      </w:pPr>
      <w:r>
        <w:t xml:space="preserve">Figure 9.1 Predictive accuracy of several machine-learning model classes for a heat-exchanger performance measure.</w:t>
      </w:r>
    </w:p>
    <w:p>
      <w:pPr>
        <w:pStyle w:val="Normal"/>
      </w:pPr>
      <w:r>
        <w:t xml:space="preserve">The features from which the Nusselt number is predicted combine the flow, fluid and geometric variables that govern convective heat transfer, and their selection draws on the physical understanding of Chapters 1 and 3. The Reynolds number, or the flow velocity from which it is formed, is the most influential feature in turbulent flow, because the Nusselt number rises strongly with it, and the Prandtl number, or the fluid properties from which it is formed, is the second, because it captures the influence of the fluid on the relative thickness of the momentum and thermal boundary layers. The nanoparticle concentration enters both through its effect on the properties and, according to the evidence of Chapter 3, through mechanisms beyond the property effect, and the particle size, shape and material enter as further features, while the geometry of the channel or exchanger enters through dimensionless descriptors such as the aspect ratio or the ratio of pitch to diameter [115]. The most generalisable models, following the feature-engineering principles of Chapter 7, use dimensionless features that encode the physical similarity relationships, and such models can span multiple geometries and fluids rather than being confined to the particular configuration on which they were trained.</w:t>
      </w:r>
    </w:p>
    <w:p>
      <w:pPr>
        <w:pStyle w:val="Normal"/>
      </w:pPr>
      <w:r>
        <w:t xml:space="preserve">The choice between dimensionless and dimensional features is nowhere more consequential than in performance prediction, and it repays a fuller discussion because it determines the reach of the resulting model. A model trained on the raw dimensional variables of velocity, tube diameter, fluid properties and the rest learns a relationship valid only for the particular scales represented in its training data, so that a model built from small-tube laboratory data cannot be trusted for the larger tubes of an industrial exchanger even when the underlying physics is identical, for the model has no way to recognise the physical similarity that unites them. A model trained on the dimensionless groups, by contrast, learns a relationship among quantities that are invariant across scale, and it can therefore transfer a lesson learned at laboratory scale to industrial scale provided the dimensionless groups fall within the trained range, exploiting the similarity principle that underlies the whole edifice of convective correlation [115]. This transferability is the single most compelling argument for dimensionless features in performance prediction, and it aligns the data-driven approach with the century of accumulated wisdom embodied in the dimensionless correlations of Chapter 3, so that the machine-learning model is best understood not as a repudiation of the classical framework but as a more flexible predictor operating within the same dimensionless space that the classical framework established.</w:t>
      </w:r>
    </w:p>
    <w:p>
      <w:pPr>
        <w:pStyle w:val="Normal"/>
      </w:pPr>
      <w:r>
        <w:t xml:space="preserve">The encoding of geometry through dimensionless descriptors presents a subtler challenge than the encoding of the flow and fluid variables, and its handling distinguishes the more ambitious performance models from the more modest ones. A single smooth circular tube is described by a single geometric parameter, its length-to-diameter ratio, and a model confined to such tubes need encode little geometric information; but the enhanced surfaces that make compact exchangers attractive, the corrugations, twisted tapes, wire coils and finned passages surveyed in earlier chapters, are described by several geometric ratios each, and a model aspiring to span a family of such surfaces must encode them all [116]. The difficulty is that these geometric descriptors are numerous, are often incompletely reported, and vary in meaning from one surface family to another, so that a genuinely geometry-spanning model is far harder to build than one confined to a single geometry, and much of the performance-prediction literature accordingly restricts itself to a fixed geometry and treats only the flow and fluid variables as inputs. The reader should therefore attend closely to the geometric scope of a performance model, for a model that predicts accurately within one geometry says nothing about its accuracy in another, and the ambition to span geometries, though laudable, is realised far less often than the property-spanning ambition of the conductivity models discussed in the previous chapter.</w:t>
      </w:r>
    </w:p>
    <w:p>
      <w:pPr>
        <w:pStyle w:val="Normal"/>
      </w:pPr>
      <w:r>
        <w:t xml:space="preserve">The model classes applied to Nusselt-number prediction, and the accuracies they achieve, parallel those found for property prediction, with neural networks, support-vector methods and tree-based ensembles all achieving high accuracy and the ensembles frequently proving strongest on the tabular data typical of the field.</w:t>
      </w:r>
    </w:p>
    <w:p>
      <w:pPr>
        <w:pStyle w:val="Normal"/>
      </w:pPr>
      <w:r>
        <w:t xml:space="preserve">The parallel with property prediction, though close, is not exact, and the differences illuminate what is distinctive about performance prediction. The Nusselt number depends on more variables than the conductivity does, for it inherits the dependence on all four thermophysical properties, through the Reynolds and Prandtl numbers, and adds to them the dependence on the flow regime and the geometry, so that the feature space of a performance model is larger and its response surface more intricate than those of a property model [115]. This greater complexity places a higher premium on the flexibility of the model and on the adequacy of the training data, for a larger feature space requires more data to populate, and it accounts for the prominence of the computationally generated data that can supply the required density where experiment cannot. The greater complexity also sharpens the danger of the uneven error distribution discussed for property models, since a response surface of higher dimension offers more room for the model to be accurate in the densely sampled regions and inaccurate in the sparse ones, and the regionally resolved reporting of error, always advisable, becomes correspondingly more important for performance models than for the simpler property models. The reader who carries forward from the previous chapter the habits of critical assessment will find them fully applicable here, but tightened by the greater dimensionality of the performance-prediction problem.</w:t>
      </w:r>
    </w:p>
    <w:p>
      <w:pPr>
        <w:pStyle w:val="Normal"/>
      </w:pPr>
      <w:r>
        <w:t xml:space="preserve">Comparative studies of the several model classes for Nusselt-number prediction, of the kind that Figure 9.1 represents, repay careful reading because their conclusions are frequently more nuanced than a bare ranking of accuracies suggests. A study may report that gradient boosting achieves the highest coefficient of determination, but the margin over a well-regularised neural network is often small and may lie within the variation attributable to the particular data split, so that the apparent superiority of one class over another is sometimes an artefact of a single evaluation rather than a robust finding [116]. The sound reading of such a comparison attends not only to the reported accuracies but to whether they were obtained under a fair protocol, with each model's hyperparameters tuned by cross-validation and each evaluated on the same grouped split, and it treats small differences with the scepticism they deserve. The choice of model class, moreover, should weigh considerations beyond raw accuracy, including the interpretability that the ensembles' feature importances provide, the uncertainty estimates that the Gaussian process and the ensembles furnish, and the extrapolation behaviour that distinguishes the flat-extrapolating trees from the smoothly extrapolating networks, so that the model best suited to a given purpose is not always the one that tops the accuracy ranking. This mature view of model selection, which subordinates the pursuit of the last increment of accuracy to the fitness of the model for its intended use, is one that the fundamentals of Chapter 7 instil and that the performance-prediction literature, when read critically, confirms. A distinctive feature of performance prediction, however, is the availability of computational as well as experimental training data, for a validated computational model of the kind described in Chapter 5 can generate the systematically varied performance data that experiment cannot economically provide, and the combination of computational data generation with machine-learning surrogate modelling, noted in Chapter 5, is especially prominent in performance prediction [116].</w:t>
      </w:r>
    </w:p>
    <w:p>
      <w:pPr>
        <w:pStyle w:val="Normal"/>
      </w:pPr>
      <w:r>
        <w:t xml:space="preserve">The distinction between experimental and computational training data carries implications that the sound practitioner weighs carefully, for the two kinds of data possess complementary virtues and defects. Experimental data are grounded in physical reality and reflect all the mechanisms at work, including any that the computational model may omit or misrepresent, but they are expensive to acquire, sparse, unevenly distributed across the design space, and burdened by the measurement scatter and the inconsistent reporting that afflict the whole nanofluid literature. Computational data are cheap to generate in quantity, can be distributed uniformly and densely across the design space by systematic variation of the inputs, and carry consistent and fully documented metadata, but they inherit whatever errors the computational model commits, so that a surrogate trained on computational data is faithful to the simulation rather than to reality and is only as trustworthy as the simulation was validated to be [117]. The most robust performance models exploit both kinds of data, using the abundant computational data to populate the design space densely and the scarce experimental data to anchor and validate the predictions against physical measurement, and this hybrid strategy, in which computation supplies breadth and experiment supplies fidelity, is among the more sophisticated developments that performance prediction has stimulated and that property prediction, lacking a comparably mature simulation capability, has been slower to adopt.</w:t>
      </w:r>
    </w:p>
    <w:p>
      <w:pPr>
        <w:pStyle w:val="Normal"/>
      </w:pPr>
      <w:r>
        <w:t xml:space="preserve">The prospect of the surrogate that replaces the expensive simulation deserves particular emphasis because it inverts the usual relationship between the data-driven and computational approaches. In the property-prediction of the previous chapter the machine-learning model competed with the physical correlations, learning what they could not; in performance prediction, by contrast, the machine-learning model frequently serves not as a competitor to computation but as its accelerator, learning to reproduce the input-output relationship of a validated simulation at a minute fraction of its computational cost so that the expensive simulation need be run only enough times to train the surrogate, after which the surrogate answers all subsequent queries instantly [117]. This surrogate role transforms the economics of computational design, for a simulation that requires hours per evaluation cannot be embedded in an optimisation that demands thousands of evaluations, whereas a surrogate trained on a few hundred simulations can be queried the thousands of times that optimisation requires in seconds, and it is this transformation that renders the computationally driven multi-objective design of the final section practical. The surrogate thus stands at the confluence of the computational and data-driven threads of the book, drawing its training data from the one and its methods from the other, and its prominence in performance prediction reflects the maturity of the simulation capability that supplies its data. Table 9.1 summarises representative machine-learning studies of heat-transfer coefficient and Nusselt-number prediction, characterising their data sources, inputs and accuracies and illustrating the maturity that this application has attained.</w:t>
      </w:r>
    </w:p>
    <w:p>
      <w:pPr>
        <w:pStyle w:val="TableCaption"/>
      </w:pPr>
      <w:r>
        <w:rPr>
          <w:b/>
        </w:rPr>
        <w:t xml:space="preserve">Table 9.1</w:t>
      </w:r>
      <w:r>
        <w:t xml:space="preserve"> Representative machine-learning studies for heat-transfer coefficient and Nusselt-number prediction.</w:t>
      </w:r>
    </w:p>
    <w:tbl>
      <w:tblPr>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w="2340" w:type="dxa"/>
            <w:shd w:val="clear" w:color="auto" w:fill="D9E2F3"/>
          </w:tcPr>
          <w:p>
            <w:pPr>
              <w:jc w:val="center"/>
              <w:spacing w:after="20"/>
            </w:pPr>
            <w:r>
              <w:rPr>
                <w:b/>
              </w:rPr>
              <w:t xml:space="preserve">Model class</w:t>
            </w:r>
          </w:p>
        </w:tc>
        <w:tc>
          <w:tcPr>
            <w:tcW w:w="2340" w:type="dxa"/>
            <w:shd w:val="clear" w:color="auto" w:fill="D9E2F3"/>
          </w:tcPr>
          <w:p>
            <w:pPr>
              <w:jc w:val="center"/>
              <w:spacing w:after="20"/>
            </w:pPr>
            <w:r>
              <w:rPr>
                <w:b/>
              </w:rPr>
              <w:t xml:space="preserve">Data source</w:t>
            </w:r>
          </w:p>
        </w:tc>
        <w:tc>
          <w:tcPr>
            <w:tcW w:w="2340" w:type="dxa"/>
            <w:shd w:val="clear" w:color="auto" w:fill="D9E2F3"/>
          </w:tcPr>
          <w:p>
            <w:pPr>
              <w:jc w:val="center"/>
              <w:spacing w:after="20"/>
            </w:pPr>
            <w:r>
              <w:rPr>
                <w:b/>
              </w:rPr>
              <w:t xml:space="preserve">Key inputs</w:t>
            </w:r>
          </w:p>
        </w:tc>
        <w:tc>
          <w:tcPr>
            <w:tcW w:w="2340" w:type="dxa"/>
            <w:shd w:val="clear" w:color="auto" w:fill="D9E2F3"/>
          </w:tcPr>
          <w:p>
            <w:pPr>
              <w:jc w:val="center"/>
              <w:spacing w:after="20"/>
            </w:pPr>
            <w:r>
              <w:rPr>
                <w:b/>
              </w:rPr>
              <w:t xml:space="preserve">Reported accuracy (R2)</w:t>
            </w:r>
          </w:p>
        </w:tc>
      </w:tr>
      <w:tr>
        <w:tc>
          <w:tcPr>
            <w:tcW w:w="2340" w:type="dxa"/>
          </w:tcPr>
          <w:p>
            <w:pPr>
              <w:spacing w:after="20"/>
              <w:jc w:val="left"/>
            </w:pPr>
            <w:r>
              <w:t xml:space="preserve">Artificial neural network</w:t>
            </w:r>
          </w:p>
        </w:tc>
        <w:tc>
          <w:tcPr>
            <w:tcW w:w="2340" w:type="dxa"/>
          </w:tcPr>
          <w:p>
            <w:pPr>
              <w:spacing w:after="20"/>
              <w:jc w:val="left"/>
            </w:pPr>
            <w:r>
              <w:t xml:space="preserve">Experimental</w:t>
            </w:r>
          </w:p>
        </w:tc>
        <w:tc>
          <w:tcPr>
            <w:tcW w:w="2340" w:type="dxa"/>
          </w:tcPr>
          <w:p>
            <w:pPr>
              <w:spacing w:after="20"/>
              <w:jc w:val="left"/>
            </w:pPr>
            <w:r>
              <w:t xml:space="preserve">Re, Pr, phi, geometry</w:t>
            </w:r>
          </w:p>
        </w:tc>
        <w:tc>
          <w:tcPr>
            <w:tcW w:w="2340" w:type="dxa"/>
          </w:tcPr>
          <w:p>
            <w:pPr>
              <w:spacing w:after="20"/>
              <w:jc w:val="left"/>
            </w:pPr>
            <w:r>
              <w:t xml:space="preserve">0.98-0.99</w:t>
            </w:r>
          </w:p>
        </w:tc>
      </w:tr>
      <w:tr>
        <w:tc>
          <w:tcPr>
            <w:tcW w:w="2340" w:type="dxa"/>
          </w:tcPr>
          <w:p>
            <w:pPr>
              <w:spacing w:after="20"/>
              <w:jc w:val="left"/>
            </w:pPr>
            <w:r>
              <w:t xml:space="preserve">Support-vector regression</w:t>
            </w:r>
          </w:p>
        </w:tc>
        <w:tc>
          <w:tcPr>
            <w:tcW w:w="2340" w:type="dxa"/>
          </w:tcPr>
          <w:p>
            <w:pPr>
              <w:spacing w:after="20"/>
              <w:jc w:val="left"/>
            </w:pPr>
            <w:r>
              <w:t xml:space="preserve">Experimental</w:t>
            </w:r>
          </w:p>
        </w:tc>
        <w:tc>
          <w:tcPr>
            <w:tcW w:w="2340" w:type="dxa"/>
          </w:tcPr>
          <w:p>
            <w:pPr>
              <w:spacing w:after="20"/>
              <w:jc w:val="left"/>
            </w:pPr>
            <w:r>
              <w:t xml:space="preserve">Re, phi, dp</w:t>
            </w:r>
          </w:p>
        </w:tc>
        <w:tc>
          <w:tcPr>
            <w:tcW w:w="2340" w:type="dxa"/>
          </w:tcPr>
          <w:p>
            <w:pPr>
              <w:spacing w:after="20"/>
              <w:jc w:val="left"/>
            </w:pPr>
            <w:r>
              <w:t xml:space="preserve">0.97-0.99</w:t>
            </w:r>
          </w:p>
        </w:tc>
      </w:tr>
      <w:tr>
        <w:tc>
          <w:tcPr>
            <w:tcW w:w="2340" w:type="dxa"/>
          </w:tcPr>
          <w:p>
            <w:pPr>
              <w:spacing w:after="20"/>
              <w:jc w:val="left"/>
            </w:pPr>
            <w:r>
              <w:t xml:space="preserve">Random forest</w:t>
            </w:r>
          </w:p>
        </w:tc>
        <w:tc>
          <w:tcPr>
            <w:tcW w:w="2340" w:type="dxa"/>
          </w:tcPr>
          <w:p>
            <w:pPr>
              <w:spacing w:after="20"/>
              <w:jc w:val="left"/>
            </w:pPr>
            <w:r>
              <w:t xml:space="preserve">Experimental + CFD</w:t>
            </w:r>
          </w:p>
        </w:tc>
        <w:tc>
          <w:tcPr>
            <w:tcW w:w="2340" w:type="dxa"/>
          </w:tcPr>
          <w:p>
            <w:pPr>
              <w:spacing w:after="20"/>
              <w:jc w:val="left"/>
            </w:pPr>
            <w:r>
              <w:t xml:space="preserve">Re, Pr, phi, geometry</w:t>
            </w:r>
          </w:p>
        </w:tc>
        <w:tc>
          <w:tcPr>
            <w:tcW w:w="2340" w:type="dxa"/>
          </w:tcPr>
          <w:p>
            <w:pPr>
              <w:spacing w:after="20"/>
              <w:jc w:val="left"/>
            </w:pPr>
            <w:r>
              <w:t xml:space="preserve">0.97-0.98</w:t>
            </w:r>
          </w:p>
        </w:tc>
      </w:tr>
      <w:tr>
        <w:tc>
          <w:tcPr>
            <w:tcW w:w="2340" w:type="dxa"/>
          </w:tcPr>
          <w:p>
            <w:pPr>
              <w:spacing w:after="20"/>
              <w:jc w:val="left"/>
            </w:pPr>
            <w:r>
              <w:t xml:space="preserve">Gradient boosting</w:t>
            </w:r>
          </w:p>
        </w:tc>
        <w:tc>
          <w:tcPr>
            <w:tcW w:w="2340" w:type="dxa"/>
          </w:tcPr>
          <w:p>
            <w:pPr>
              <w:spacing w:after="20"/>
              <w:jc w:val="left"/>
            </w:pPr>
            <w:r>
              <w:t xml:space="preserve">CFD-generated</w:t>
            </w:r>
          </w:p>
        </w:tc>
        <w:tc>
          <w:tcPr>
            <w:tcW w:w="2340" w:type="dxa"/>
          </w:tcPr>
          <w:p>
            <w:pPr>
              <w:spacing w:after="20"/>
              <w:jc w:val="left"/>
            </w:pPr>
            <w:r>
              <w:t xml:space="preserve">Re, Pr, phi, geometry</w:t>
            </w:r>
          </w:p>
        </w:tc>
        <w:tc>
          <w:tcPr>
            <w:tcW w:w="2340" w:type="dxa"/>
          </w:tcPr>
          <w:p>
            <w:pPr>
              <w:spacing w:after="20"/>
              <w:jc w:val="left"/>
            </w:pPr>
            <w:r>
              <w:t xml:space="preserve">0.98-0.99</w:t>
            </w:r>
          </w:p>
        </w:tc>
      </w:tr>
      <w:tr>
        <w:tc>
          <w:tcPr>
            <w:tcW w:w="2340" w:type="dxa"/>
          </w:tcPr>
          <w:p>
            <w:pPr>
              <w:spacing w:after="20"/>
              <w:jc w:val="left"/>
            </w:pPr>
            <w:r>
              <w:t xml:space="preserve">ANN surrogate of CFD</w:t>
            </w:r>
          </w:p>
        </w:tc>
        <w:tc>
          <w:tcPr>
            <w:tcW w:w="2340" w:type="dxa"/>
          </w:tcPr>
          <w:p>
            <w:pPr>
              <w:spacing w:after="20"/>
              <w:jc w:val="left"/>
            </w:pPr>
            <w:r>
              <w:t xml:space="preserve">CFD-generated</w:t>
            </w:r>
          </w:p>
        </w:tc>
        <w:tc>
          <w:tcPr>
            <w:tcW w:w="2340" w:type="dxa"/>
          </w:tcPr>
          <w:p>
            <w:pPr>
              <w:spacing w:after="20"/>
              <w:jc w:val="left"/>
            </w:pPr>
            <w:r>
              <w:t xml:space="preserve">Re, phi, boundary conditions</w:t>
            </w:r>
          </w:p>
        </w:tc>
        <w:tc>
          <w:tcPr>
            <w:tcW w:w="2340" w:type="dxa"/>
          </w:tcPr>
          <w:p>
            <w:pPr>
              <w:spacing w:after="20"/>
              <w:jc w:val="left"/>
            </w:pPr>
            <w:r>
              <w:t xml:space="preserve">0.99+</w:t>
            </w:r>
          </w:p>
        </w:tc>
      </w:tr>
    </w:tbl>
    <w:p>
      <w:pPr>
        <w:spacing w:after="120"/>
      </w:pPr>
    </w:p>
    <w:p>
      <w:pPr>
        <w:pStyle w:val="Normal"/>
      </w:pPr>
      <w:r>
        <w:t xml:space="preserve">The advantages of data-driven Nusselt-number prediction over the correlations of Chapter 3, like the advantages of data-driven conductivity prediction over the mixing rules, follow from the freedom of the data-driven model from a fixed mechanistic form. A correlation of the modified Dittus–Boelter type imposes a power-law dependence on the Reynolds and Prandtl numbers and a fixed functional form for the concentration effect, and it cannot represent departures from that form, whereas a data-driven model learns whatever dependence the data exhibit, including the entrance-region effects, the regime transitions and the concentration-dependent mechanisms that the correlations approximate crudely or omit [117]. The data-driven model also integrates data across geometries, fluids and regimes into a single predictor, extracting more value from the scattered literature than any single correlation, fitted to a narrow range, can provide. These advantages are, once again, conditioned by the limitation of extrapolation: a model trained on a range of Reynolds numbers, concentrations and geometries cannot be trusted beyond them, and the physical benchmarks of Chapters 1 and 3 remain essential for judging the reasonableness of predictions near and beyond the boundaries of the training data.</w:t>
      </w:r>
    </w:p>
    <w:p>
      <w:pPr>
        <w:pStyle w:val="Normal"/>
      </w:pPr>
      <w:r>
        <w:t xml:space="preserve">The role of the physical benchmark as a check on the data-driven prediction deserves elaboration, for it embodies the integration of physical and data-driven knowledge that the book advocates and it furnishes a practical discipline that costs little and averts much error. The classical correlations of Chapter 3, though inadequate as accurate predictors for nanofluids, remain valuable as sanity checks, for they establish the order of magnitude and the qualitative trends that any physically reasonable prediction must respect: the Nusselt number must rise with the Reynolds number, must reduce to the base-fluid value as the concentration vanishes, must lie above the laminar fully developed limit, and must not exceed by an implausible margin what the property enhancement alone would produce [117]. A data-driven prediction that violates any of these benchmarks is thereby exposed as unreliable regardless of the accuracy the model reported on its test set, for such a violation signals either an extrapolation beyond the trained range or a defect in the model or its data, and the routine comparison of predictions against the classical benchmarks is a cheap and powerful diagnostic that the sound practitioner applies as a matter of course. This use of the discredited correlations as guardrails rather than as predictors illustrates a general principle worth stating explicitly: a physical theory that is too inaccurate to serve as a predictor may yet be accurate enough to serve as a check, and the classical convective correlations, retired from the first role by the data-driven models, find honourable continued employment in the second.</w:t>
      </w:r>
    </w:p>
    <w:p>
      <w:pPr>
        <w:pStyle w:val="Heading2"/>
      </w:pPr>
      <w:r>
        <w:t xml:space="preserve">9.2 Prediction of Pressure Drop and Friction Factor</w:t>
      </w:r>
    </w:p>
    <w:p>
      <w:pPr>
        <w:pStyle w:val="Normal"/>
      </w:pPr>
      <w:r>
        <w:t xml:space="preserve">The pressure drop, and its dimensionless form the friction factor, is the measure of the hydraulic cost that must be set against the heat-transfer benefit, and its accurate prediction is fully as important as that of the Nusselt number, because, as established in Chapters 3 and 4, the fair assessment of a nanofluid requires the comparison of benefit and cost at equal pumping power, which demands an accurate prediction of both. The prediction of pressure drop by machine learning has consequently developed in parallel with the prediction of heat transfer, and the two are frequently addressed together in studies that predict both from a common set of inputs, permitting the direct computation of the performance factor that combines them [118].</w:t>
      </w:r>
    </w:p>
    <w:p>
      <w:pPr>
        <w:pStyle w:val="Normal"/>
      </w:pPr>
      <w:r>
        <w:t xml:space="preserve">The friction factor, as the dimensionless form of the pressure drop, deserves a word on why it, rather than the raw pressure drop, is the preferred prediction target in the more careful studies, for the reasoning parallels the case made in the previous chapter for dimensionless property targets. The raw pressure drop depends on the flow velocity, the channel dimensions and the fluid density in ways fixed by the definition of the dynamic pressure, and a model trained to predict the raw pressure drop must learn these definitional dependences in addition to the physically interesting dependence of the friction factor on the Reynolds number and the concentration, wasting capacity on relationships that are known exactly a priori [118]. A model that predicts the friction factor, from which the pressure drop is recovered by multiplication with the known dynamic pressure and geometric ratio, is relieved of learning the definitional dependences and can devote its capacity to the genuinely uncertain relationship, and it generalises across velocities and channel sizes in the way that the dimensionless framing always permits. The preference for the friction factor over the raw pressure drop is thus another instance of the pervasive principle that the prediction target should be chosen to isolate the physically uncertain relationship from the definitionally fixed one, and its neglect, in a study that predicts raw pressure drop directly, is a minor but telling sign of a less physically informed approach. The features from which pressure drop is predicted overlap substantially with those for the Nusselt number, with the Reynolds number and the concentration again dominant, the former because the friction factor and the dynamic pressure both depend on it and the latter because the higher viscosity of a nanofluid raises the pressure drop, and the geometric descriptors again entering to permit generalisation across configurations.</w:t>
      </w:r>
    </w:p>
    <w:p>
      <w:pPr>
        <w:pStyle w:val="Normal"/>
      </w:pPr>
      <w:r>
        <w:t xml:space="preserve">The importance of predicting pressure drop accurately, rather than treating it as an afterthought to the heat-transfer prediction, cannot be overstated, and the reason lies in the asymmetry of the thermal-hydraulic trade-off established in the earlier chapters. A nanofluid raises the heat-transfer coefficient modestly, perhaps by some tens of per cent at practical loadings, but it can raise the pressure drop far more steeply, because the viscosity enhancement often exceeds the conductivity enhancement and because the pressure drop depends on the viscosity more strongly than the heat-transfer coefficient does [118]. It follows that the net verdict on a nanofluid frequently hinges on the pressure-drop side of the ledger, so that an error in the predicted pressure drop translates more directly into an error in the net-benefit assessment than a comparable error in the predicted heat transfer, and a study that lavishes care on the Nusselt-number model while treating the pressure-drop model carelessly has misallocated its effort. The recognition that the hydraulic prediction is not the junior partner of the thermal prediction but its equal, and sometimes its senior, in determining the practical outcome is one of the correctives that the integrated perspective of this book supplies to a literature that has historically attended more to heat transfer than to pressure drop.</w:t>
      </w:r>
    </w:p>
    <w:p>
      <w:pPr>
        <w:pStyle w:val="Normal"/>
      </w:pPr>
      <w:r>
        <w:t xml:space="preserve">The interaction between the pressure-drop prediction and the property prediction of the previous chapter deserves explicit notice, for it reveals a dependency that the designer must respect. The pressure drop of a nanofluid is governed largely by its viscosity, and the viscosity is, as the previous chapter established, one of the two anomalous properties whose prediction is genuinely difficult and whose measurement carries substantial scatter. It follows that the accuracy of a pressure-drop prediction is limited not only by the scatter of the pressure-drop measurements themselves but also, where the pressure drop is computed from a predicted viscosity through the homogeneous model, by the accuracy of the viscosity prediction that feeds it [119]. A performance model that predicts pressure drop directly from the composition and flow variables sidesteps this dependency by learning the net relationship from measured pressure drops, whereas a model that first predicts viscosity and then computes pressure drop inherits the viscosity model's uncertainty, and the choice between these strategies mirrors the composite-versus-direct choice discussed in the previous chapter for derived properties. The awareness that the hydraulic prediction rests, directly or indirectly, on the most uncertain of the thermophysical properties tempers the confidence that may be placed in it and reinforces the general caution that the viscosity-governed quantities are the harder half of the nanofluid prediction problem.</w:t>
      </w:r>
    </w:p>
    <w:p>
      <w:pPr>
        <w:pStyle w:val="Normal"/>
      </w:pPr>
      <w:r>
        <w:t xml:space="preserve">The prediction of pressure drop presents distinctive features that reflect the physics of Chapter 3. The dependence of the friction factor on the Reynolds number differs between the laminar and turbulent regimes, and a model that must span both regimes must represent the transition between them, a structural complexity that the flexibility of data-driven models accommodates more readily than a single correlation. The influence of the nanoparticle concentration on the friction factor, beyond its effect through the viscosity, is a subject on which the literature is divided, some studies finding that the measured friction factor is well predicted by the homogeneous model using the nanofluid viscosity and others reporting an additional effect, and a data-driven model trained on the measured pressure drops learns whatever net dependence the data exhibit without needing to resolve this debate [119]. The division of the literature over the influence of concentration on the friction factor beyond the viscosity effect deserves closer examination, for it exemplifies the kind of unresolved physical question that the data-driven approach can accommodate without settling. Some investigators report that once the elevated viscosity of the nanofluid is accounted for, the measured friction factor agrees with the homogeneous prediction, implying that the particles exert no hydraulic effect beyond their contribution to the bulk viscosity; others report friction factors exceeding the homogeneous prediction, which they attribute to particle-wall interactions, to the migration of particles that alters the near-wall velocity profile, or to the development of structure within the flowing suspension [119]. The dispute has not been resolved, in part because it turns on the accurate independent measurement of the viscosity, itself uncertain, and in part because the reported excess, where it appears, is small and comparable to the measurement scatter. A data-driven model trained on measured pressure drops is indifferent to the outcome of this dispute, for it learns whatever net dependence on concentration the data exhibit, whether that dependence is fully explained by the viscosity or includes an additional component, and this indifference is a genuine practical advantage: the model delivers accurate predictions while the underlying mechanism remains contested, freeing the designer from the need to await a resolution that may be long in coming. The capacity of the data-driven approach to yield useful predictions in advance of mechanistic understanding, exploited here for the friction factor as it was for the conductivity in the previous chapter, is among its most characteristic and valuable features.</w:t>
      </w:r>
    </w:p>
    <w:p>
      <w:pPr>
        <w:pStyle w:val="Normal"/>
      </w:pPr>
      <w:r>
        <w:t xml:space="preserve">The scatter of pressure-drop measurements, arising from the sensitivity of the friction factor to the surface condition and to the flow development, sets a floor on the attainable accuracy, consistent with the principle that a model cannot predict more accurately than the data are measured. Table 9.2 summarises representative studies of pressure-drop and friction-factor prediction.</w:t>
      </w:r>
    </w:p>
    <w:p>
      <w:pPr>
        <w:pStyle w:val="TableCaption"/>
      </w:pPr>
      <w:r>
        <w:rPr>
          <w:b/>
        </w:rPr>
        <w:t xml:space="preserve">Table 9.2</w:t>
      </w:r>
      <w:r>
        <w:t xml:space="preserve"> Representative machine-learning studies for pressure-drop and friction-factor prediction.</w:t>
      </w:r>
    </w:p>
    <w:tbl>
      <w:tblPr>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w="2340" w:type="dxa"/>
            <w:shd w:val="clear" w:color="auto" w:fill="D9E2F3"/>
          </w:tcPr>
          <w:p>
            <w:pPr>
              <w:jc w:val="center"/>
              <w:spacing w:after="20"/>
            </w:pPr>
            <w:r>
              <w:rPr>
                <w:b/>
              </w:rPr>
              <w:t xml:space="preserve">Model class</w:t>
            </w:r>
          </w:p>
        </w:tc>
        <w:tc>
          <w:tcPr>
            <w:tcW w:w="2340" w:type="dxa"/>
            <w:shd w:val="clear" w:color="auto" w:fill="D9E2F3"/>
          </w:tcPr>
          <w:p>
            <w:pPr>
              <w:jc w:val="center"/>
              <w:spacing w:after="20"/>
            </w:pPr>
            <w:r>
              <w:rPr>
                <w:b/>
              </w:rPr>
              <w:t xml:space="preserve">Data source</w:t>
            </w:r>
          </w:p>
        </w:tc>
        <w:tc>
          <w:tcPr>
            <w:tcW w:w="2340" w:type="dxa"/>
            <w:shd w:val="clear" w:color="auto" w:fill="D9E2F3"/>
          </w:tcPr>
          <w:p>
            <w:pPr>
              <w:jc w:val="center"/>
              <w:spacing w:after="20"/>
            </w:pPr>
            <w:r>
              <w:rPr>
                <w:b/>
              </w:rPr>
              <w:t xml:space="preserve">Key inputs</w:t>
            </w:r>
          </w:p>
        </w:tc>
        <w:tc>
          <w:tcPr>
            <w:tcW w:w="2340" w:type="dxa"/>
            <w:shd w:val="clear" w:color="auto" w:fill="D9E2F3"/>
          </w:tcPr>
          <w:p>
            <w:pPr>
              <w:jc w:val="center"/>
              <w:spacing w:after="20"/>
            </w:pPr>
            <w:r>
              <w:rPr>
                <w:b/>
              </w:rPr>
              <w:t xml:space="preserve">Reported accuracy (R2)</w:t>
            </w:r>
          </w:p>
        </w:tc>
      </w:tr>
      <w:tr>
        <w:tc>
          <w:tcPr>
            <w:tcW w:w="2340" w:type="dxa"/>
          </w:tcPr>
          <w:p>
            <w:pPr>
              <w:spacing w:after="20"/>
              <w:jc w:val="left"/>
            </w:pPr>
            <w:r>
              <w:t xml:space="preserve">Artificial neural network</w:t>
            </w:r>
          </w:p>
        </w:tc>
        <w:tc>
          <w:tcPr>
            <w:tcW w:w="2340" w:type="dxa"/>
          </w:tcPr>
          <w:p>
            <w:pPr>
              <w:spacing w:after="20"/>
              <w:jc w:val="left"/>
            </w:pPr>
            <w:r>
              <w:t xml:space="preserve">Experimental</w:t>
            </w:r>
          </w:p>
        </w:tc>
        <w:tc>
          <w:tcPr>
            <w:tcW w:w="2340" w:type="dxa"/>
          </w:tcPr>
          <w:p>
            <w:pPr>
              <w:spacing w:after="20"/>
              <w:jc w:val="left"/>
            </w:pPr>
            <w:r>
              <w:t xml:space="preserve">Re, phi, geometry</w:t>
            </w:r>
          </w:p>
        </w:tc>
        <w:tc>
          <w:tcPr>
            <w:tcW w:w="2340" w:type="dxa"/>
          </w:tcPr>
          <w:p>
            <w:pPr>
              <w:spacing w:after="20"/>
              <w:jc w:val="left"/>
            </w:pPr>
            <w:r>
              <w:t xml:space="preserve">0.97-0.99</w:t>
            </w:r>
          </w:p>
        </w:tc>
      </w:tr>
      <w:tr>
        <w:tc>
          <w:tcPr>
            <w:tcW w:w="2340" w:type="dxa"/>
          </w:tcPr>
          <w:p>
            <w:pPr>
              <w:spacing w:after="20"/>
              <w:jc w:val="left"/>
            </w:pPr>
            <w:r>
              <w:t xml:space="preserve">Support-vector regression</w:t>
            </w:r>
          </w:p>
        </w:tc>
        <w:tc>
          <w:tcPr>
            <w:tcW w:w="2340" w:type="dxa"/>
          </w:tcPr>
          <w:p>
            <w:pPr>
              <w:spacing w:after="20"/>
              <w:jc w:val="left"/>
            </w:pPr>
            <w:r>
              <w:t xml:space="preserve">Experimental</w:t>
            </w:r>
          </w:p>
        </w:tc>
        <w:tc>
          <w:tcPr>
            <w:tcW w:w="2340" w:type="dxa"/>
          </w:tcPr>
          <w:p>
            <w:pPr>
              <w:spacing w:after="20"/>
              <w:jc w:val="left"/>
            </w:pPr>
            <w:r>
              <w:t xml:space="preserve">Re, phi</w:t>
            </w:r>
          </w:p>
        </w:tc>
        <w:tc>
          <w:tcPr>
            <w:tcW w:w="2340" w:type="dxa"/>
          </w:tcPr>
          <w:p>
            <w:pPr>
              <w:spacing w:after="20"/>
              <w:jc w:val="left"/>
            </w:pPr>
            <w:r>
              <w:t xml:space="preserve">0.96-0.98</w:t>
            </w:r>
          </w:p>
        </w:tc>
      </w:tr>
      <w:tr>
        <w:tc>
          <w:tcPr>
            <w:tcW w:w="2340" w:type="dxa"/>
          </w:tcPr>
          <w:p>
            <w:pPr>
              <w:spacing w:after="20"/>
              <w:jc w:val="left"/>
            </w:pPr>
            <w:r>
              <w:t xml:space="preserve">Random forest</w:t>
            </w:r>
          </w:p>
        </w:tc>
        <w:tc>
          <w:tcPr>
            <w:tcW w:w="2340" w:type="dxa"/>
          </w:tcPr>
          <w:p>
            <w:pPr>
              <w:spacing w:after="20"/>
              <w:jc w:val="left"/>
            </w:pPr>
            <w:r>
              <w:t xml:space="preserve">Experimental + CFD</w:t>
            </w:r>
          </w:p>
        </w:tc>
        <w:tc>
          <w:tcPr>
            <w:tcW w:w="2340" w:type="dxa"/>
          </w:tcPr>
          <w:p>
            <w:pPr>
              <w:spacing w:after="20"/>
              <w:jc w:val="left"/>
            </w:pPr>
            <w:r>
              <w:t xml:space="preserve">Re, phi, geometry</w:t>
            </w:r>
          </w:p>
        </w:tc>
        <w:tc>
          <w:tcPr>
            <w:tcW w:w="2340" w:type="dxa"/>
          </w:tcPr>
          <w:p>
            <w:pPr>
              <w:spacing w:after="20"/>
              <w:jc w:val="left"/>
            </w:pPr>
            <w:r>
              <w:t xml:space="preserve">0.96-0.98</w:t>
            </w:r>
          </w:p>
        </w:tc>
      </w:tr>
      <w:tr>
        <w:tc>
          <w:tcPr>
            <w:tcW w:w="2340" w:type="dxa"/>
          </w:tcPr>
          <w:p>
            <w:pPr>
              <w:spacing w:after="20"/>
              <w:jc w:val="left"/>
            </w:pPr>
            <w:r>
              <w:t xml:space="preserve">Gradient boosting</w:t>
            </w:r>
          </w:p>
        </w:tc>
        <w:tc>
          <w:tcPr>
            <w:tcW w:w="2340" w:type="dxa"/>
          </w:tcPr>
          <w:p>
            <w:pPr>
              <w:spacing w:after="20"/>
              <w:jc w:val="left"/>
            </w:pPr>
            <w:r>
              <w:t xml:space="preserve">CFD-generated</w:t>
            </w:r>
          </w:p>
        </w:tc>
        <w:tc>
          <w:tcPr>
            <w:tcW w:w="2340" w:type="dxa"/>
          </w:tcPr>
          <w:p>
            <w:pPr>
              <w:spacing w:after="20"/>
              <w:jc w:val="left"/>
            </w:pPr>
            <w:r>
              <w:t xml:space="preserve">Re, phi, geometry</w:t>
            </w:r>
          </w:p>
        </w:tc>
        <w:tc>
          <w:tcPr>
            <w:tcW w:w="2340" w:type="dxa"/>
          </w:tcPr>
          <w:p>
            <w:pPr>
              <w:spacing w:after="20"/>
              <w:jc w:val="left"/>
            </w:pPr>
            <w:r>
              <w:t xml:space="preserve">0.98-0.99</w:t>
            </w:r>
          </w:p>
        </w:tc>
      </w:tr>
      <w:tr>
        <w:tc>
          <w:tcPr>
            <w:tcW w:w="2340" w:type="dxa"/>
          </w:tcPr>
          <w:p>
            <w:pPr>
              <w:spacing w:after="20"/>
              <w:jc w:val="left"/>
            </w:pPr>
            <w:r>
              <w:t xml:space="preserve">Joint Nu and f model</w:t>
            </w:r>
          </w:p>
        </w:tc>
        <w:tc>
          <w:tcPr>
            <w:tcW w:w="2340" w:type="dxa"/>
          </w:tcPr>
          <w:p>
            <w:pPr>
              <w:spacing w:after="20"/>
              <w:jc w:val="left"/>
            </w:pPr>
            <w:r>
              <w:t xml:space="preserve">Experimental</w:t>
            </w:r>
          </w:p>
        </w:tc>
        <w:tc>
          <w:tcPr>
            <w:tcW w:w="2340" w:type="dxa"/>
          </w:tcPr>
          <w:p>
            <w:pPr>
              <w:spacing w:after="20"/>
              <w:jc w:val="left"/>
            </w:pPr>
            <w:r>
              <w:t xml:space="preserve">Re, Pr, phi, geometry</w:t>
            </w:r>
          </w:p>
        </w:tc>
        <w:tc>
          <w:tcPr>
            <w:tcW w:w="2340" w:type="dxa"/>
          </w:tcPr>
          <w:p>
            <w:pPr>
              <w:spacing w:after="20"/>
              <w:jc w:val="left"/>
            </w:pPr>
            <w:r>
              <w:t xml:space="preserve">0.97-0.99</w:t>
            </w:r>
          </w:p>
        </w:tc>
      </w:tr>
    </w:tbl>
    <w:p>
      <w:pPr>
        <w:spacing w:after="120"/>
      </w:pPr>
    </w:p>
    <w:p>
      <w:pPr>
        <w:pStyle w:val="Normal"/>
      </w:pPr>
      <w:r>
        <w:t xml:space="preserve">The joint prediction of heat transfer and pressure drop, exemplified by the last entry of Table 9.2, is especially valuable because it permits the direct evaluation of the thermal-hydraulic performance criteria of Chapters 3 and 4 from a single model, and it exemplifies the movement of the data-driven approach from the prediction of isolated quantities toward the prediction of the integrated measures that design requires. A model that predicts both the Nusselt number and the friction factor from a common set of inputs can compute, for any point in the design space, the performance factor that determines whether a nanofluid delivers a net benefit at that point, and it can do so at negligible cost, enabling the mapping of the performance factor across the entire design space that identifies the regions of net benefit [120]. The negligible marginal cost of this evaluation is what most sharply distinguishes the data-driven mapping from the experimental or computational determination it replaces, for a map that would require thousands of measurements or simulations, each expensive, is produced by the trained joint model in moments, and it is this collapse in the cost of exploring the design space that most immediately transforms the practice of nanofluid assessment. This capability connects the data-driven prediction of this chapter directly to the thermodynamic assessment of Chapter 4, and it illustrates how the several methods of the book combine, the physics defining the performance factor, the data-driven models predicting the quantities from which it is formed, and the resulting map guiding the design toward the regions of genuine advantage.</w:t>
      </w:r>
    </w:p>
    <w:p>
      <w:pPr>
        <w:pStyle w:val="Normal"/>
      </w:pPr>
      <w:r>
        <w:t xml:space="preserve">The advantage of predicting the two quantities jointly rather than separately, though it may appear a mere matter of convenience, rests on a statistical subtlety worth drawing out. When the Nusselt number and the friction factor are predicted by two independently trained models and then combined into a performance factor, the errors of the two predictions combine in a manner that depends on their correlation, and because both quantities depend on the same underlying variables and are frequently measured on the same samples, their errors are often correlated in ways that independent models cannot represent [120]. A joint model that predicts both quantities from a shared internal representation can learn this correlation and can, in favourable cases, produce a performance-factor prediction more accurate than the combination of two independent predictions would allow, because the correlated components of the errors partially cancel in the ratio that forms the performance factor. The joint model also guarantees the mutual consistency of the two predictions, ensuring that they correspond to the same implied physical state, whereas independent models may drift into a mild inconsistency that the combining formula then propagates. These considerations, though they yield only a modest quantitative gain, reinforce the conceptual point that the performance factor, being the true object of interest, is more soundly predicted as a coherent whole than assembled from separately optimised parts, and they anticipate the multi-output surrogates that the final section places at the heart of the design workflow.</w:t>
      </w:r>
    </w:p>
    <w:p>
      <w:pPr>
        <w:pStyle w:val="Normal"/>
      </w:pPr>
      <w:r>
        <w:t xml:space="preserve">It is instructive to consider what the map of the performance factor across the design space reveals, for it converts the abstract assessment of a nanofluid into a concrete picture that guides design directly. Such a map, computed cheaply by querying a joint model at a dense grid of concentrations, Reynolds numbers and other variables, typically displays regions in which the performance factor exceeds unity, indicating a genuine net benefit, adjacent to regions in which it falls below unity, indicating that the pumping penalty outweighs the heat-transfer gain [120]. The boundary between these regions, the contour along which the performance factor equals unity, is the locus of greatest interest to the designer, for it marks the limit of the useful operating envelope, and its shape reveals the trade-offs at work: it commonly shows that a nanofluid beneficial at low Reynolds number becomes detrimental at high Reynolds number, where the pumping penalty grows fastest, or that a given concentration beneficial in one regime is detrimental in another. The map thus transforms the question of whether a nanofluid is beneficial, which admits no general answer, into the far more useful question of where it is beneficial, which the map answers precisely, and this reframing of the assessment from a verdict into a map is among the clearest practical dividends that the cheap and dense prediction enabled by the data-driven models confers.</w:t>
      </w:r>
    </w:p>
    <w:p>
      <w:pPr>
        <w:pStyle w:val="Heading2"/>
      </w:pPr>
      <w:r>
        <w:t xml:space="preserve">9.3 Prediction of Effectiveness, Thermal Performance, and Overall Heat Transfer Coefficient</w:t>
      </w:r>
    </w:p>
    <w:p>
      <w:pPr>
        <w:pStyle w:val="Normal"/>
      </w:pPr>
      <w:r>
        <w:t xml:space="preserve">The integrated performance measures, the effectiveness, the thermal performance factor and the overall heat-transfer coefficient, are the true objects of heat-exchanger design, because they combine the heat-transfer benefit and the hydraulic cost into the quantities that determine whether a device accomplishes its duty economically, and their prediction by machine learning represents the fullest expression of the data-driven approach developed in this book. The overall heat-transfer coefficient, which combines the film coefficients, the wall conduction and the fouling resistances as described in Chapter 1, may be predicted directly from the operating and geometric variables, and such a prediction is of immediate design value because the overall coefficient enters the sizing calculation directly [121]. The effectiveness, which measures the fraction of the maximum possible duty that the exchanger achieves, may likewise be predicted directly, providing the quantity that the rating calculation of Chapter 1 requires, and the thermal performance factor, which combines the heat-transfer and pressure-drop enhancements, may be predicted or computed from separately predicted components, providing the index of net benefit that Chapters 3 and 4 identified as decisive.</w:t>
      </w:r>
    </w:p>
    <w:p>
      <w:pPr>
        <w:pStyle w:val="Normal"/>
      </w:pPr>
      <w:r>
        <w:t xml:space="preserve">The direct prediction of an integrated measure such as the overall coefficient or the effectiveness offers a distinctive advantage over the reconstruction of that measure from separately predicted film coefficients, and the trade-off between the two approaches recapitulates at the device level the composite-versus-direct choice encountered at the property level. The reconstruction approach, which predicts each film coefficient and then combines it with the wall and fouling resistances through the series-resistance formula of Chapter 1, is transparent and modular, permitting the diagnosis of which resistance limits the performance and the reuse of the film-coefficient models across different device configurations; but it requires that every resistance be predicted, including the fouling resistances that are notoriously variable and poorly characterised, and it propagates the errors of the several predictions through the combining formula [121]. The direct approach, which predicts the overall coefficient from the operating and geometric variables in a single step, avoids the need to predict the individual resistances and may achieve higher accuracy on the overall coefficient itself, but it conceals the internal structure and cannot indicate which resistance is responsible for a disappointing prediction, and it must be retrained if the device configuration changes. The choice between the approaches turns on whether the designer values the diagnostic transparency of the reconstruction or the terminal accuracy and simplicity of the direct prediction, and the mature practitioner recognises that both have their place, the reconstruction serving the analysis of a design and the direct prediction serving its rapid evaluation within an optimisation loop.</w:t>
      </w:r>
    </w:p>
    <w:p>
      <w:pPr>
        <w:pStyle w:val="Normal"/>
      </w:pPr>
      <w:r>
        <w:t xml:space="preserve">The prediction of the effectiveness merits separate comment because it interacts in an illuminating way with the classical effectiveness-number-of-transfer-units framework of Chapter 1. That framework already provides a closed-form relationship between the effectiveness, the number of transfer units and the capacity-rate ratio for each flow arrangement, so that once these dimensionless groups are known the effectiveness follows exactly without any need for a data-driven model, and the natural question arises of what machine learning can contribute to a quantity the classical theory already determines [122]. The answer is that the classical relationship presupposes a known overall coefficient, from which the number of transfer units is computed, and it is precisely the overall coefficient of a nanofluid exchanger, with its anomalous heat transfer and its uncertain fouling behaviour, that resists prediction; the data-driven contribution therefore lies in predicting the number of transfer units, through the overall coefficient, rather than in predicting the effectiveness given the number of transfer units. A sound effectiveness model consequently either predicts the overall coefficient and then applies the exact classical relationship, respecting the physics that the framework encodes, or predicts the effectiveness directly while using the classical relationship as a benchmark against which to check the prediction, and a model that ignores the classical framework altogether, predicting the effectiveness from the raw variables without reference to the exact relationship that constrains it, discards physical knowledge that it could have exploited and forgoes a valuable check on its own reasonableness.</w:t>
      </w:r>
    </w:p>
    <w:p>
      <w:pPr>
        <w:pStyle w:val="Normal"/>
      </w:pPr>
      <w:r>
        <w:t xml:space="preserve">The prediction of these integrated measures draws together the features of the preceding sections, combining the flow, fluid and geometric variables into a prediction of the quantity that design requires, and it exemplifies the integration of physical, computational and data-driven knowledge that the book has advocated throughout. The features are physically motivated and, in the best studies, dimensionless, encoding the similarity relationships of the fundamentals; the training data are drawn from experiment and from the validated computation of Chapter 5; the models are evaluated by the cross-validation and metrics of Chapter 7; and the predictions are checked against the physical benchmarks and the thermodynamic bounds of Chapters 1 and 4 [122].</w:t>
      </w:r>
    </w:p>
    <w:p>
      <w:pPr>
        <w:pStyle w:val="Normal"/>
      </w:pPr>
      <w:r>
        <w:t xml:space="preserve">The thermodynamic bounds deserve particular mention as a check on the integrated-measure predictions, for they furnish limits that no correct prediction may transgress and that therefore constitute an especially stringent form of physical benchmark. The effectiveness, by its definition as the ratio of the actual to the maximum possible heat transfer, cannot exceed unity, and a model that predicts an effectiveness above unity has committed an error so gross that no accuracy metric can excuse it; the overall coefficient cannot exceed the smaller of the two film coefficients that bound it in series, so a predicted overall coefficient larger than either film coefficient is likewise impossible; and the outlet temperatures cannot cross in a manner that would require heat to flow from cold to hot [123]. These bounds, following directly from the first and second laws, provide checks that are not merely indicative, as the classical correlations are, but absolute, for a prediction that violates a thermodynamic bound is certainly wrong, and the incorporation of such bounds into the evaluation of a model, or better into its very architecture through constraints that prevent the impossible prediction from being made, is among the more direct ways in which physical knowledge disciplines the data-driven approach. A model constrained to respect the thermodynamic bounds cannot fail catastrophically in the manner that an unconstrained model occasionally does, and the growing attention to such physically constrained architectures, noted below among the prospects for the field, is in large part a response to the recognition that the thermodynamic bounds offer a rigorous and inexpensive guarantee of a minimum physical reasonableness. Table 9.3 summarises representative studies of the prediction of effectiveness, thermal performance and the overall coefficient, completing the survey of performance prediction and illustrating the breadth of the several integrated measures that data-driven models now address, from the overall coefficient and effectiveness through the thermal performance factor to the outlet temperature and the multi-objective surrogate that serves the optimisation directly.</w:t>
      </w:r>
    </w:p>
    <w:p>
      <w:pPr>
        <w:pStyle w:val="TableCaption"/>
      </w:pPr>
      <w:r>
        <w:rPr>
          <w:b/>
        </w:rPr>
        <w:t xml:space="preserve">Table 9.3</w:t>
      </w:r>
      <w:r>
        <w:t xml:space="preserve"> Representative machine-learning studies for effectiveness, thermal performance and overall-coefficient prediction.</w:t>
      </w:r>
    </w:p>
    <w:tbl>
      <w:tblPr>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w="2340" w:type="dxa"/>
            <w:shd w:val="clear" w:color="auto" w:fill="D9E2F3"/>
          </w:tcPr>
          <w:p>
            <w:pPr>
              <w:jc w:val="center"/>
              <w:spacing w:after="20"/>
            </w:pPr>
            <w:r>
              <w:rPr>
                <w:b/>
              </w:rPr>
              <w:t xml:space="preserve">Target</w:t>
            </w:r>
          </w:p>
        </w:tc>
        <w:tc>
          <w:tcPr>
            <w:tcW w:w="2340" w:type="dxa"/>
            <w:shd w:val="clear" w:color="auto" w:fill="D9E2F3"/>
          </w:tcPr>
          <w:p>
            <w:pPr>
              <w:jc w:val="center"/>
              <w:spacing w:after="20"/>
            </w:pPr>
            <w:r>
              <w:rPr>
                <w:b/>
              </w:rPr>
              <w:t xml:space="preserve">Typical model</w:t>
            </w:r>
          </w:p>
        </w:tc>
        <w:tc>
          <w:tcPr>
            <w:tcW w:w="2340" w:type="dxa"/>
            <w:shd w:val="clear" w:color="auto" w:fill="D9E2F3"/>
          </w:tcPr>
          <w:p>
            <w:pPr>
              <w:jc w:val="center"/>
              <w:spacing w:after="20"/>
            </w:pPr>
            <w:r>
              <w:rPr>
                <w:b/>
              </w:rPr>
              <w:t xml:space="preserve">Key inputs</w:t>
            </w:r>
          </w:p>
        </w:tc>
        <w:tc>
          <w:tcPr>
            <w:tcW w:w="2340" w:type="dxa"/>
            <w:shd w:val="clear" w:color="auto" w:fill="D9E2F3"/>
          </w:tcPr>
          <w:p>
            <w:pPr>
              <w:jc w:val="center"/>
              <w:spacing w:after="20"/>
            </w:pPr>
            <w:r>
              <w:rPr>
                <w:b/>
              </w:rPr>
              <w:t xml:space="preserve">Reported accuracy (R2)</w:t>
            </w:r>
          </w:p>
        </w:tc>
      </w:tr>
      <w:tr>
        <w:tc>
          <w:tcPr>
            <w:tcW w:w="2340" w:type="dxa"/>
          </w:tcPr>
          <w:p>
            <w:pPr>
              <w:spacing w:after="20"/>
              <w:jc w:val="left"/>
            </w:pPr>
            <w:r>
              <w:t xml:space="preserve">Overall coefficient (U)</w:t>
            </w:r>
          </w:p>
        </w:tc>
        <w:tc>
          <w:tcPr>
            <w:tcW w:w="2340" w:type="dxa"/>
          </w:tcPr>
          <w:p>
            <w:pPr>
              <w:spacing w:after="20"/>
              <w:jc w:val="left"/>
            </w:pPr>
            <w:r>
              <w:t xml:space="preserve">ANN / boosting</w:t>
            </w:r>
          </w:p>
        </w:tc>
        <w:tc>
          <w:tcPr>
            <w:tcW w:w="2340" w:type="dxa"/>
          </w:tcPr>
          <w:p>
            <w:pPr>
              <w:spacing w:after="20"/>
              <w:jc w:val="left"/>
            </w:pPr>
            <w:r>
              <w:t xml:space="preserve">Re, Pr, phi, geometry</w:t>
            </w:r>
          </w:p>
        </w:tc>
        <w:tc>
          <w:tcPr>
            <w:tcW w:w="2340" w:type="dxa"/>
          </w:tcPr>
          <w:p>
            <w:pPr>
              <w:spacing w:after="20"/>
              <w:jc w:val="left"/>
            </w:pPr>
            <w:r>
              <w:t xml:space="preserve">0.97-0.99</w:t>
            </w:r>
          </w:p>
        </w:tc>
      </w:tr>
      <w:tr>
        <w:tc>
          <w:tcPr>
            <w:tcW w:w="2340" w:type="dxa"/>
          </w:tcPr>
          <w:p>
            <w:pPr>
              <w:spacing w:after="20"/>
              <w:jc w:val="left"/>
            </w:pPr>
            <w:r>
              <w:t xml:space="preserve">Effectiveness</w:t>
            </w:r>
          </w:p>
        </w:tc>
        <w:tc>
          <w:tcPr>
            <w:tcW w:w="2340" w:type="dxa"/>
          </w:tcPr>
          <w:p>
            <w:pPr>
              <w:spacing w:after="20"/>
              <w:jc w:val="left"/>
            </w:pPr>
            <w:r>
              <w:t xml:space="preserve">ANN / SVR</w:t>
            </w:r>
          </w:p>
        </w:tc>
        <w:tc>
          <w:tcPr>
            <w:tcW w:w="2340" w:type="dxa"/>
          </w:tcPr>
          <w:p>
            <w:pPr>
              <w:spacing w:after="20"/>
              <w:jc w:val="left"/>
            </w:pPr>
            <w:r>
              <w:t xml:space="preserve">NTU, Cr, phi</w:t>
            </w:r>
          </w:p>
        </w:tc>
        <w:tc>
          <w:tcPr>
            <w:tcW w:w="2340" w:type="dxa"/>
          </w:tcPr>
          <w:p>
            <w:pPr>
              <w:spacing w:after="20"/>
              <w:jc w:val="left"/>
            </w:pPr>
            <w:r>
              <w:t xml:space="preserve">0.98-0.99</w:t>
            </w:r>
          </w:p>
        </w:tc>
      </w:tr>
      <w:tr>
        <w:tc>
          <w:tcPr>
            <w:tcW w:w="2340" w:type="dxa"/>
          </w:tcPr>
          <w:p>
            <w:pPr>
              <w:spacing w:after="20"/>
              <w:jc w:val="left"/>
            </w:pPr>
            <w:r>
              <w:t xml:space="preserve">Thermal performance factor</w:t>
            </w:r>
          </w:p>
        </w:tc>
        <w:tc>
          <w:tcPr>
            <w:tcW w:w="2340" w:type="dxa"/>
          </w:tcPr>
          <w:p>
            <w:pPr>
              <w:spacing w:after="20"/>
              <w:jc w:val="left"/>
            </w:pPr>
            <w:r>
              <w:t xml:space="preserve">Joint model</w:t>
            </w:r>
          </w:p>
        </w:tc>
        <w:tc>
          <w:tcPr>
            <w:tcW w:w="2340" w:type="dxa"/>
          </w:tcPr>
          <w:p>
            <w:pPr>
              <w:spacing w:after="20"/>
              <w:jc w:val="left"/>
            </w:pPr>
            <w:r>
              <w:t xml:space="preserve">Re, Pr, phi, geometry</w:t>
            </w:r>
          </w:p>
        </w:tc>
        <w:tc>
          <w:tcPr>
            <w:tcW w:w="2340" w:type="dxa"/>
          </w:tcPr>
          <w:p>
            <w:pPr>
              <w:spacing w:after="20"/>
              <w:jc w:val="left"/>
            </w:pPr>
            <w:r>
              <w:t xml:space="preserve">0.97-0.99</w:t>
            </w:r>
          </w:p>
        </w:tc>
      </w:tr>
      <w:tr>
        <w:tc>
          <w:tcPr>
            <w:tcW w:w="2340" w:type="dxa"/>
          </w:tcPr>
          <w:p>
            <w:pPr>
              <w:spacing w:after="20"/>
              <w:jc w:val="left"/>
            </w:pPr>
            <w:r>
              <w:t xml:space="preserve">Outlet temperature</w:t>
            </w:r>
          </w:p>
        </w:tc>
        <w:tc>
          <w:tcPr>
            <w:tcW w:w="2340" w:type="dxa"/>
          </w:tcPr>
          <w:p>
            <w:pPr>
              <w:spacing w:after="20"/>
              <w:jc w:val="left"/>
            </w:pPr>
            <w:r>
              <w:t xml:space="preserve">ANN</w:t>
            </w:r>
          </w:p>
        </w:tc>
        <w:tc>
          <w:tcPr>
            <w:tcW w:w="2340" w:type="dxa"/>
          </w:tcPr>
          <w:p>
            <w:pPr>
              <w:spacing w:after="20"/>
              <w:jc w:val="left"/>
            </w:pPr>
            <w:r>
              <w:t xml:space="preserve">Inlet conditions, flow, phi</w:t>
            </w:r>
          </w:p>
        </w:tc>
        <w:tc>
          <w:tcPr>
            <w:tcW w:w="2340" w:type="dxa"/>
          </w:tcPr>
          <w:p>
            <w:pPr>
              <w:spacing w:after="20"/>
              <w:jc w:val="left"/>
            </w:pPr>
            <w:r>
              <w:t xml:space="preserve">0.98-0.99</w:t>
            </w:r>
          </w:p>
        </w:tc>
      </w:tr>
      <w:tr>
        <w:tc>
          <w:tcPr>
            <w:tcW w:w="2340" w:type="dxa"/>
          </w:tcPr>
          <w:p>
            <w:pPr>
              <w:spacing w:after="20"/>
              <w:jc w:val="left"/>
            </w:pPr>
            <w:r>
              <w:t xml:space="preserve">Multi-objective surrogate</w:t>
            </w:r>
          </w:p>
        </w:tc>
        <w:tc>
          <w:tcPr>
            <w:tcW w:w="2340" w:type="dxa"/>
          </w:tcPr>
          <w:p>
            <w:pPr>
              <w:spacing w:after="20"/>
              <w:jc w:val="left"/>
            </w:pPr>
            <w:r>
              <w:t xml:space="preserve">Gaussian process</w:t>
            </w:r>
          </w:p>
        </w:tc>
        <w:tc>
          <w:tcPr>
            <w:tcW w:w="2340" w:type="dxa"/>
          </w:tcPr>
          <w:p>
            <w:pPr>
              <w:spacing w:after="20"/>
              <w:jc w:val="left"/>
            </w:pPr>
            <w:r>
              <w:t xml:space="preserve">Design variables</w:t>
            </w:r>
          </w:p>
        </w:tc>
        <w:tc>
          <w:tcPr>
            <w:tcW w:w="2340" w:type="dxa"/>
          </w:tcPr>
          <w:p>
            <w:pPr>
              <w:spacing w:after="20"/>
              <w:jc w:val="left"/>
            </w:pPr>
            <w:r>
              <w:t xml:space="preserve">0.96-0.98</w:t>
            </w:r>
          </w:p>
        </w:tc>
      </w:tr>
    </w:tbl>
    <w:p>
      <w:pPr>
        <w:spacing w:after="120"/>
      </w:pPr>
    </w:p>
    <w:p>
      <w:pPr>
        <w:pStyle w:val="Normal"/>
      </w:pPr>
      <w:r>
        <w:t xml:space="preserve">The coupling of these predictive surrogate models with optimisation algorithms realises the multi-objective design that Chapter 4 defined but could not cheaply execute, and it represents the destination toward which the entire development of the book has tended. A surrogate model that predicts the performance measures from the design variables at negligible cost can be queried the many thousands of times that an evolutionary or Bayesian optimisation requires to map the Pareto front of the design problem, the set of designs among which no one improves one objective without worsening another, and the resulting front presents the designer with the full and honest range of optimal trade-offs between the heat-transfer benefit, the hydraulic cost and the ultimate economic cost of the device [123]. The Gaussian-process surrogate, which reports a calibrated uncertainty alongside its prediction, is especially suited to this role, because its uncertainty guides the optimisation toward the most informative evaluations and toward the acquisition of new data where the model is least certain, embodying the uncertainty-aware practice that Chapter 6 advocated.</w:t>
      </w:r>
    </w:p>
    <w:p>
      <w:pPr>
        <w:pStyle w:val="Normal"/>
      </w:pPr>
      <w:r>
        <w:t xml:space="preserve">The mechanics of the coupling between surrogate and optimiser reward a closer look, because they reveal why the uncertainty estimate is not a mere adornment but the engine of an efficient search. In Bayesian optimisation, the surrogate's prediction and its uncertainty are combined into an acquisition function that quantifies the expected value of evaluating each candidate design, balancing the exploitation of regions where the surrogate predicts good performance against the exploration of regions where the surrogate is uncertain and a surprising result might lie [124]. The optimiser selects the candidate that maximises this acquisition function, evaluates it, whether by simulation or experiment, and updates the surrogate with the new datum, whereupon the uncertainty in the neighbourhood of the evaluated point collapses and the acquisition function directs the next evaluation elsewhere. This cycle concentrates the expensive evaluations where they are most informative, and it converges upon the optimum with far fewer evaluations than a search guided by the prediction alone, which would repeatedly sample the region it already believed best and neglect the unexplored regions where a better design might hide. The uncertainty estimate is thus indispensable to the efficiency of the search, and a surrogate that reports only a point prediction, however accurate, cannot support this efficient exploration, which is why the Gaussian process, for all its computational cost and its difficulty with large datasets, retains a privileged place in the optimisation of expensive-to-evaluate designs.</w:t>
      </w:r>
    </w:p>
    <w:p>
      <w:pPr>
        <w:pStyle w:val="Normal"/>
      </w:pPr>
      <w:r>
        <w:t xml:space="preserve">The mapping of the Pareto front, which the coupling of surrogate and optimiser makes practical, warrants emphasis as the culmination of the design methodology that the book has developed, for it replaces the illusory search for a single best design with the honest presentation of the trade-offs that no design can escape. In a problem with competing objectives, minimising the pumping cost while maximising the heat-transfer duty, or minimising the capital cost while minimising the operating cost, there is in general no single design that is best in every respect, and the set of designs that are optimal in the sense that no objective can be improved without sacrificing another, the Pareto front, is the proper object of a multi-objective design study [123]. The surrogate-accelerated optimisation maps this front by locating many of its points, and the resulting picture presents the designer not with a single answer but with the full menu of optimal compromises, from the design that maximises heat transfer regardless of cost to the design that minimises cost regardless of performance, and every efficient trade-off between. The designer then selects among these Pareto-optimal designs according to considerations, economic, operational and strategic, that lie outside the thermal-hydraulic model, and the data-driven methodology thus informs the decision without usurping it, supplying the range of optimal possibilities while leaving to human judgement the choice among them, a division of labour that respects both the power of the computation and the irreducible role of engineering judgement. This coupling of surrogate modelling and optimisation, resting on the property prediction of Chapter 8 and the performance prediction of this chapter, is the mechanism by which the data-driven approach delivers not merely predictions but designs [124].</w:t>
      </w:r>
    </w:p>
    <w:p>
      <w:pPr>
        <w:pStyle w:val="Normal"/>
      </w:pPr>
      <w:r>
        <w:t xml:space="preserve">The full design chain, when assembled, connects the formulation of the nanofluid to the geometry of the device through an unbroken sequence of data-driven predictions, and it is worth tracing this chain in its entirety to appreciate how the two chapters of applications fit together. The property models of Chapter 8 predict, from the composition and state, the thermophysical properties of a candidate nanofluid; the performance models of this chapter predict, from those properties and the flow and geometric variables, the heat-transfer and pressure-drop performance of a candidate device operating with that nanofluid; and the optimisation, querying this composed chain of models, searches jointly over the formulation and the geometry for the combinations that lie on the Pareto front of the design objectives [125]. The nanofluid formulation and the exchanger geometry, traditionally optimised separately by different specialists, are thereby brought within a single optimisation that respects their interaction, for the best geometry depends on the fluid and the best fluid depends on the geometry, and only a joint search can find the combinations that a sequential optimisation of one and then the other would miss. This unification of fluid and device design, made practical by the negligible query cost of the composed surrogate chain, is perhaps the fullest expression of the integrated data-driven methodology, and it exemplifies how the property prediction of the preceding chapter and the performance prediction of this one, far from being separate topics, are the linked stages of a single design pipeline whose output is a jointly optimised fluid-and-device design.</w:t>
      </w:r>
    </w:p>
    <w:p>
      <w:pPr>
        <w:pStyle w:val="Normal"/>
      </w:pPr>
      <w:r>
        <w:t xml:space="preserve">The integrated practice that the sound engineering of nanofluid heat exchangers demands, and that this book has developed chapter by chapter, may now be stated in full. The physics of heat transfer and of nanofluids, developed in Chapters 1 through 3, defines the quantities of interest, the mechanisms that govern them and the trade-offs that condition them, and it supplies the physical judgement without which the data-driven methods cannot be soundly applied. The conventional and computational design methods, developed in Chapters 4 and 5, define the design problem, its objectives and its constraints, and they generate, through validated computation, the high-fidelity data that the data-driven methods require. The machine-learning fundamentals and applications, developed in Chapters 6 through 9, provide the tools that learn the complex relationships too intricate for closed-form expression, that predict the properties and performance measures at negligible cost, and that, coupled with optimisation, deliver the designs that accomplish the duty economically [125]. No one of these threads suffices alone; the physics without the data-driven methods cannot cheaply predict or optimise, the data-driven methods without the physics cannot be soundly applied or trusted, and the computation mediates between them, and it is their integration, not the ascendancy of any one, that constitutes the mature practice of the field [126].</w:t>
      </w:r>
    </w:p>
    <w:p>
      <w:pPr>
        <w:pStyle w:val="Normal"/>
      </w:pPr>
      <w:r>
        <w:t xml:space="preserve">The claim that the data-driven methods cannot be soundly applied without the physics deserves defence against the contrary view, occasionally advanced, that a sufficiently large dataset renders physical understanding superfluous, that the model will learn whatever it needs from the data alone. This view founders on the particular circumstances of the nanofluid field, where data are neither large nor uniform but scarce, scattered and unevenly distributed across a vast design space, so that the model is perpetually asked to interpolate across sparsely sampled regions and to resist extrapolation beyond its trained envelope, tasks at which physical guidance is decisive [126]. It is physical understanding that selects the dimensionless features conferring generalisation, that supplies the benchmarks and thermodynamic bounds against which predictions are checked, that identifies the mechanisms whose omission from the classical theory the data-driven model must repair, and that judges whether a prediction near the edge of the trained range is to be trusted. Strip away this understanding and the data-driven model becomes an uninterpretable interpolator whose failures are undetectable and whose successes are unexplained, serviceable perhaps within the dense interior of a well-sampled design space but treacherous everywhere else, and since the design of a novel nanofluid exchanger almost always ventures toward the sparsely sampled periphery where the novelty lies, the physics is needed precisely where the pure data-driven approach is weakest. The integration of physics and data is therefore not a philosophical preference but a practical necessity imposed by the character of the field, and the practitioner who neglects it will find the neglect punished exactly at the frontier where the interesting design questions reside.</w:t>
      </w:r>
    </w:p>
    <w:p>
      <w:pPr>
        <w:pStyle w:val="Normal"/>
      </w:pPr>
      <w:r>
        <w:t xml:space="preserve">The mediating role of computation between the physical and data-driven threads, asserted above, warrants a concrete statement of the mechanism by which it operates, for it is easily overlooked yet central to the integrated practice. The physics defines the governing equations and the boundary conditions that the computation solves; the computation, once validated against the sparse physical measurements, generates the dense and uniform data that the sparse experimental literature cannot provide; and the data-driven surrogate learns from these computationally generated data a fast approximation that the optimisation can query at will [127]. Computation thus converts the physical understanding, expressed in the governing equations, into the data that the data-driven methods consume, and it does so at a density and uniformity that experiment cannot match, so that the surrogate trained on computational data inherits, at one remove, the physical content of the equations that the computation solved. This chain, from physics through computation to data-driven surrogate to optimisation, is the backbone of the mature methodology, and the recognition that computation is the link that carries physical knowledge into the data-driven realm clarifies why the three threads are not merely complementary but sequentially dependent, each supplying what the next requires.</w:t>
      </w:r>
    </w:p>
    <w:p>
      <w:pPr>
        <w:pStyle w:val="Normal"/>
      </w:pPr>
      <w:r>
        <w:t xml:space="preserve">The prospects for this integrated practice are bright, and several developments promise to extend its reach further. The integration of physical knowledge into data-driven models, through physics-informed architectures and dimensionless features, will improve their extrapolation and their trustworthiness, mitigating the principal limitation of the pure data-driven approach [127]. The physics-informed direction warrants a fuller sketch, because it addresses the single most limiting weakness of the pure data-driven approach and it takes several complementary forms that the practitioner should distinguish. In its mildest form, physical knowledge enters through the choice of dimensionless features and physically motivated targets, a practice already commended and now widely adopted, which confers generalisation at no cost to model flexibility. In a stronger form, physical constraints are imposed on the model's output, so that the effectiveness cannot exceed unity or the overall coefficient cannot exceed its bounding film coefficients, guaranteeing a minimum physical reasonableness that an unconstrained model may violate [127]. In the strongest form, the governing equations themselves are embedded in the training objective, so that the model is penalised not only for departing from the training data but for violating the differential equations that the physics prescribes, and such physics-informed models can learn from sparse data by leaning on the equations to fill the gaps, extrapolating more reliably than a purely data-fitted model because the physics extends beyond the data. These forms differ in the strength of the physical commitment they demand and in the effort of their implementation, and the practitioner selects among them according to the availability of reliable governing equations and the severity of the data scarcity, but all share the aim of repairing the extrapolation weakness that the pure data-driven approach exhibits, and their progress is the most consequential of the developments now underway.</w:t>
      </w:r>
    </w:p>
    <w:p>
      <w:pPr>
        <w:pStyle w:val="Normal"/>
      </w:pPr>
      <w:r>
        <w:t xml:space="preserve">The quantification of predictive uncertainty, through Gaussian processes and ensembles, will enable the sound use of predictions in design and the efficient acquisition of new data. The generation of large, high-fidelity datasets by validated computation will relieve the dependence on the scattered experimental literature and will populate the design space more densely and uniformly than experiment alone can achieve [128]. And the coupling of surrogate models with multi-objective optimisation will make routine the Pareto-front design that is at present an expensive undertaking, placing the full range of optimal trade-offs before the designer as a matter of course [129].</w:t>
      </w:r>
    </w:p>
    <w:p>
      <w:pPr>
        <w:pStyle w:val="Normal"/>
      </w:pPr>
      <w:r>
        <w:t xml:space="preserve">These developments do not advance independently but reinforce one another in a manner that promises a compounding rather than a merely additive improvement. The physics-informed architectures improve the extrapolation that the uncertainty quantification measures, so that a physics-informed model is not only more reliable beyond its data but also more honest about the residual uncertainty that remains; the computationally generated datasets populate the design space that the surrogate-driven optimisation explores, so that the optimisation ranges over a densely and uniformly sampled space rather than the sparse and uneven one that experiment alone provides; and the uncertainty quantification guides both the acquisition of the new computational data, directing the simulations to the informative regions, and the optimisation itself, balancing exploration against exploitation [129]. The four developments thus form a mutually supporting system in which each amplifies the others, and it is the maturation of the system as a whole, rather than the perfection of any single component, that will carry the field toward the integrated practice this book has described. The prospect is therefore not of a series of isolated advances but of a coherent methodology settling into routine use, in which the design of a nanofluid heat exchanger draws as a matter of course on physical understanding, validated computation, uncertainty-aware data-driven prediction and multi-objective optimisation, each informing the others in the disciplined cycle that the mature practice of the field comprises. These developments, each building on the foundations that this book has laid, promise a practice in which the design of a nanofluid heat exchanger proceeds from physical understanding through validated computation and data-driven prediction to multi-objective optimisation as an integrated whole, and in which the promise of nanofluids, real but conditional as the earlier chapters showed, is realised reliably and economically through the disciplined application of the methods that the book has developed [130].</w:t>
      </w:r>
    </w:p>
    <w:p>
      <w:r>
        <w:br w:type="page"/>
      </w:r>
    </w:p>
    <w:p>
      <w:pPr>
        <w:pStyle w:val="Heading1"/>
      </w:pPr>
      <w:r>
        <w:t xml:space="preserve">References</w:t>
      </w:r>
    </w:p>
    <w:p>
      <w:pPr>
        <w:pStyle w:val="References"/>
      </w:pPr>
      <w:r>
        <w:t xml:space="preserve">[1] Incropera, F.P., DeWitt, D.P., Bergman, T.L., Lavine, A.S. Fundamentals of Heat and Mass Transfer. John Wiley &amp; Sons, Hoboken, NJ, 2017.</w:t>
      </w:r>
    </w:p>
    <w:p>
      <w:pPr>
        <w:pStyle w:val="References"/>
      </w:pPr>
      <w:r>
        <w:t xml:space="preserve">[2] Cengel, Y.A., Ghajar, A.J. Heat and Mass Transfer: Fundamentals and Applications. McGraw-Hill Education, New York, 2020.</w:t>
      </w:r>
    </w:p>
    <w:p>
      <w:pPr>
        <w:pStyle w:val="References"/>
      </w:pPr>
      <w:r>
        <w:t xml:space="preserve">[3] Kaviany, M. Principles of Heat Transfer. John Wiley &amp; Sons, New York, 2002.</w:t>
      </w:r>
    </w:p>
    <w:p>
      <w:pPr>
        <w:pStyle w:val="References"/>
      </w:pPr>
      <w:r>
        <w:t xml:space="preserve">[4] Holman, J.P. Heat Transfer. McGraw-Hill, New York, 2010.</w:t>
      </w:r>
    </w:p>
    <w:p>
      <w:pPr>
        <w:pStyle w:val="References"/>
      </w:pPr>
      <w:r>
        <w:t xml:space="preserve">[5] Bejan, A. Convection Heat Transfer. John Wiley &amp; Sons, Hoboken, NJ, 2013.</w:t>
      </w:r>
    </w:p>
    <w:p>
      <w:pPr>
        <w:pStyle w:val="References"/>
      </w:pPr>
      <w:r>
        <w:t xml:space="preserve">[6] Kays, W.M., Crawford, M.E., Weigand, B. Convective Heat and Mass Transfer. McGraw-Hill, New York, 2005.</w:t>
      </w:r>
    </w:p>
    <w:p>
      <w:pPr>
        <w:pStyle w:val="References"/>
      </w:pPr>
      <w:r>
        <w:t xml:space="preserve">[7] White, F.M. Viscous Fluid Flow. McGraw-Hill, New York, 2006.</w:t>
      </w:r>
    </w:p>
    <w:p>
      <w:pPr>
        <w:pStyle w:val="References"/>
      </w:pPr>
      <w:r>
        <w:t xml:space="preserve">[8] Dittus, F.W., Boelter, L.M.K. Heat transfer in automobile radiators of the tubular type. International Communications in Heat and Mass Transfer, vol. 12, no. 1, pp. 3-22, 1985.</w:t>
      </w:r>
    </w:p>
    <w:p>
      <w:pPr>
        <w:pStyle w:val="References"/>
      </w:pPr>
      <w:r>
        <w:t xml:space="preserve">[9] Gnielinski, V. New equations for heat and mass transfer in turbulent pipe and channel flow. International Chemical Engineering, vol. 16, pp. 359-368, 1976.</w:t>
      </w:r>
    </w:p>
    <w:p>
      <w:pPr>
        <w:pStyle w:val="References"/>
      </w:pPr>
      <w:r>
        <w:t xml:space="preserve">[10] Modest, M.F. Radiative Heat Transfer. Academic Press, New York, 2013.</w:t>
      </w:r>
    </w:p>
    <w:p>
      <w:pPr>
        <w:pStyle w:val="References"/>
      </w:pPr>
      <w:r>
        <w:t xml:space="preserve">[11] Siegel, R., Howell, J.R. Thermal Radiation Heat Transfer. Taylor &amp; Francis, New York, 2002.</w:t>
      </w:r>
    </w:p>
    <w:p>
      <w:pPr>
        <w:pStyle w:val="References"/>
      </w:pPr>
      <w:r>
        <w:t xml:space="preserve">[12] Lienhard, J.H. IV, Lienhard, J.H. V. A Heat Transfer Textbook. Phlogiston Press, Cambridge, MA, 2019.</w:t>
      </w:r>
    </w:p>
    <w:p>
      <w:pPr>
        <w:pStyle w:val="References"/>
      </w:pPr>
      <w:r>
        <w:t xml:space="preserve">[13] Kakac, S., Liu, H., Pramuanjaroenkij, A. Heat Exchangers: Selection, Rating, and Thermal Design. CRC Press, Boca Raton, FL, 2012.</w:t>
      </w:r>
    </w:p>
    <w:p>
      <w:pPr>
        <w:pStyle w:val="References"/>
      </w:pPr>
      <w:r>
        <w:t xml:space="preserve">[14] Shah, R.K., Sekulic, D.P. Fundamentals of Heat Exchanger Design. John Wiley &amp; Sons, Hoboken, NJ, 2003.</w:t>
      </w:r>
    </w:p>
    <w:p>
      <w:pPr>
        <w:pStyle w:val="References"/>
      </w:pPr>
      <w:r>
        <w:t xml:space="preserve">[15] Choi, S.U.S., Eastman, J.A. Enhancing thermal conductivity of fluids with nanoparticles. ASME International Mechanical Engineering Congress and Exposition, San Francisco, 1995.</w:t>
      </w:r>
    </w:p>
    <w:p>
      <w:pPr>
        <w:pStyle w:val="References"/>
      </w:pPr>
      <w:r>
        <w:t xml:space="preserve">[16] Das, S.K., Choi, S.U.S., Yu, W., Pradeep, T. Nanofluids: Science and Technology. John Wiley &amp; Sons, Hoboken, NJ, 2007.</w:t>
      </w:r>
    </w:p>
    <w:p>
      <w:pPr>
        <w:pStyle w:val="References"/>
      </w:pPr>
      <w:r>
        <w:t xml:space="preserve">[17] Wang, X.Q., Mujumdar, A.S. Heat transfer characteristics of nanofluids: a review. International Journal of Thermal Sciences, vol. 46, no. 1, pp. 1-19, 2007.</w:t>
      </w:r>
    </w:p>
    <w:p>
      <w:pPr>
        <w:pStyle w:val="References"/>
      </w:pPr>
      <w:r>
        <w:t xml:space="preserve">[18] Sarkar, J., Ghosh, P., Adil, A. A review on hybrid nanofluids: recent research, development and applications. Renewable and Sustainable Energy Reviews, vol. 43, pp. 164-177, 2015.</w:t>
      </w:r>
    </w:p>
    <w:p>
      <w:pPr>
        <w:pStyle w:val="References"/>
      </w:pPr>
      <w:r>
        <w:t xml:space="preserve">[19] Yu, W., Xie, H. A review on nanofluids: preparation, stability mechanisms, and applications. Journal of Nanomaterials, vol. 2012, Article 435873, 2012.</w:t>
      </w:r>
    </w:p>
    <w:p>
      <w:pPr>
        <w:pStyle w:val="References"/>
      </w:pPr>
      <w:r>
        <w:t xml:space="preserve">[20] Eastman, J.A., Choi, S.U.S., Li, S., Yu, W., Thompson, L.J. Anomalously increased effective thermal conductivities of ethylene glycol-based nanofluids. Applied Physics Letters, vol. 78, no. 6, pp. 718-720, 2001.</w:t>
      </w:r>
    </w:p>
    <w:p>
      <w:pPr>
        <w:pStyle w:val="References"/>
      </w:pPr>
      <w:r>
        <w:t xml:space="preserve">[21] Ghadimi, A., Saidur, R., Metselaar, H.S.C. A review of nanofluid stability properties and characterization in stationary conditions. International Journal of Heat and Mass Transfer, vol. 54, no. 17-18, pp. 4051-4068, 2011.</w:t>
      </w:r>
    </w:p>
    <w:p>
      <w:pPr>
        <w:pStyle w:val="References"/>
      </w:pPr>
      <w:r>
        <w:t xml:space="preserve">[22] Xuan, Y., Li, Q. Heat transfer enhancement of nanofluids. International Journal of Heat and Fluid Flow, vol. 21, no. 1, pp. 58-64, 2000.</w:t>
      </w:r>
    </w:p>
    <w:p>
      <w:pPr>
        <w:pStyle w:val="References"/>
      </w:pPr>
      <w:r>
        <w:t xml:space="preserve">[23] Hamilton, R.L., Crosser, O.K. Thermal conductivity of heterogeneous two-component systems. Industrial &amp; Engineering Chemistry Fundamentals, vol. 1, no. 3, pp. 187-191, 1962.</w:t>
      </w:r>
    </w:p>
    <w:p>
      <w:pPr>
        <w:pStyle w:val="References"/>
      </w:pPr>
      <w:r>
        <w:t xml:space="preserve">[24] Keblinski, P., Phillpot, S.R., Choi, S.U.S., Eastman, J.A. Mechanisms of heat flow in suspensions of nano-sized particles. International Journal of Heat and Mass Transfer, vol. 45, no. 4, pp. 855-863, 2002.</w:t>
      </w:r>
    </w:p>
    <w:p>
      <w:pPr>
        <w:pStyle w:val="References"/>
      </w:pPr>
      <w:r>
        <w:t xml:space="preserve">[25] Einstein, A. Eine neue Bestimmung der Molekuldimensionen. Annalen der Physik, vol. 324, no. 2, pp. 289-306, 1906.</w:t>
      </w:r>
    </w:p>
    <w:p>
      <w:pPr>
        <w:pStyle w:val="References"/>
      </w:pPr>
      <w:r>
        <w:t xml:space="preserve">[26] Pak, B.C., Cho, Y.I. Hydrodynamic and heat transfer study of dispersed fluids with submicron metallic oxide particles. Experimental Heat Transfer, vol. 11, no. 2, pp. 151-170, 1998.</w:t>
      </w:r>
    </w:p>
    <w:p>
      <w:pPr>
        <w:pStyle w:val="References"/>
      </w:pPr>
      <w:r>
        <w:t xml:space="preserve">[27] Buongiorno, J. Convective transport in nanofluids. Journal of Heat Transfer, vol. 128, no. 3, pp. 240-250, 2006.</w:t>
      </w:r>
    </w:p>
    <w:p>
      <w:pPr>
        <w:pStyle w:val="References"/>
      </w:pPr>
      <w:r>
        <w:t xml:space="preserve">[28] Murshed, S.M.S., Leong, K.C., Yang, C. Thermophysical and electrokinetic properties of nanofluids: a critical review. Applied Thermal Engineering, vol. 28, no. 17-18, pp. 2109-2125, 2008.</w:t>
      </w:r>
    </w:p>
    <w:p>
      <w:pPr>
        <w:pStyle w:val="References"/>
      </w:pPr>
      <w:r>
        <w:t xml:space="preserve">[29] Mahbubul, I.M., Saidur, R., Amalina, M.A. Latest developments on the viscosity of nanofluids. International Journal of Heat and Mass Transfer, vol. 55, no. 4, pp. 874-885, 2012.</w:t>
      </w:r>
    </w:p>
    <w:p>
      <w:pPr>
        <w:pStyle w:val="References"/>
      </w:pPr>
      <w:r>
        <w:t xml:space="preserve">[30] Hwang, Y., Lee, J.K., Lee, J.K., et al. Stability and thermal conductivity characteristics of nanofluids. Thermochimica Acta, vol. 455, no. 1-2, pp. 70-74, 2007.</w:t>
      </w:r>
    </w:p>
    <w:p>
      <w:pPr>
        <w:pStyle w:val="References"/>
      </w:pPr>
      <w:r>
        <w:t xml:space="preserve">[31] Chen, H., Ding, Y., Tan, C. Rheological behaviour of nanofluids. New Journal of Physics, vol. 9, no. 10, p. 367, 2007.</w:t>
      </w:r>
    </w:p>
    <w:p>
      <w:pPr>
        <w:pStyle w:val="References"/>
      </w:pPr>
      <w:r>
        <w:t xml:space="preserve">[32] Timofeeva, E.V., Routbort, J.L., Singh, D. Particle shape effects on thermophysical properties of alumina nanofluids. Journal of Applied Physics, vol. 106, no. 1, Article 014304, 2009.</w:t>
      </w:r>
    </w:p>
    <w:p>
      <w:pPr>
        <w:pStyle w:val="References"/>
      </w:pPr>
      <w:r>
        <w:t xml:space="preserve">[33] Sundar, L.S., Sharma, K.V., Naik, M.T., Singh, M.K. Empirical and theoretical correlations on viscosity of nanofluids: a review. Renewable and Sustainable Energy Reviews, vol. 25, pp. 670-686, 2013.</w:t>
      </w:r>
    </w:p>
    <w:p>
      <w:pPr>
        <w:pStyle w:val="References"/>
      </w:pPr>
      <w:r>
        <w:t xml:space="preserve">[34] Wong, K.V., De Leon, O. Applications of nanofluids: current and future. Advances in Mechanical Engineering, vol. 2, Article 519659, 2010.</w:t>
      </w:r>
    </w:p>
    <w:p>
      <w:pPr>
        <w:pStyle w:val="References"/>
      </w:pPr>
      <w:r>
        <w:t xml:space="preserve">[35] Xuan, Y., Roetzel, W. Conceptions for heat transfer correlation of nanofluids. International Journal of Heat and Mass Transfer, vol. 43, no. 19, pp. 3701-3707, 2000.</w:t>
      </w:r>
    </w:p>
    <w:p>
      <w:pPr>
        <w:pStyle w:val="References"/>
      </w:pPr>
      <w:r>
        <w:t xml:space="preserve">[36] Heris, S.Z., Etemad, S.G., Esfahany, M.N. Experimental investigation of oxide nanofluids laminar flow convective heat transfer. International Communications in Heat and Mass Transfer, vol. 33, no. 4, pp. 529-535, 2006.</w:t>
      </w:r>
    </w:p>
    <w:p>
      <w:pPr>
        <w:pStyle w:val="References"/>
      </w:pPr>
      <w:r>
        <w:t xml:space="preserve">[37] Williams, W., Buongiorno, J., Hu, L.W. Experimental investigation of turbulent convective heat transfer of alumina and zirconia nanofluids. Journal of Heat Transfer, vol. 130, no. 4, Article 042412, 2008.</w:t>
      </w:r>
    </w:p>
    <w:p>
      <w:pPr>
        <w:pStyle w:val="References"/>
      </w:pPr>
      <w:r>
        <w:t xml:space="preserve">[38] Kakac, S., Pramuanjaroenkij, A. Review of convective heat transfer enhancement with nanofluids. International Journal of Heat and Mass Transfer, vol. 52, no. 13-14, pp. 3187-3196, 2009.</w:t>
      </w:r>
    </w:p>
    <w:p>
      <w:pPr>
        <w:pStyle w:val="References"/>
      </w:pPr>
      <w:r>
        <w:t xml:space="preserve">[39] Sundar, L.S., Singh, M.K. Convective heat transfer and friction factor correlations of nanofluid in a tube and with inserts: a review. Renewable and Sustainable Energy Reviews, vol. 20, pp. 23-35, 2013.</w:t>
      </w:r>
    </w:p>
    <w:p>
      <w:pPr>
        <w:pStyle w:val="References"/>
      </w:pPr>
      <w:r>
        <w:t xml:space="preserve">[40] Anoop, K.B., Sundararajan, T., Das, S.K. Effect of particle size on the convective heat transfer in nanofluid in the developing region. International Journal of Heat and Mass Transfer, vol. 52, no. 9-10, pp. 2189-2195, 2009.</w:t>
      </w:r>
    </w:p>
    <w:p>
      <w:pPr>
        <w:pStyle w:val="References"/>
      </w:pPr>
      <w:r>
        <w:t xml:space="preserve">[41] Ferrouillat, S., Bontemps, A., Poncelet, O., et al. Influence of nanoparticle shape factor on convective heat transfer. Applied Thermal Engineering, vol. 51, no. 1-2, pp. 839-851, 2013.</w:t>
      </w:r>
    </w:p>
    <w:p>
      <w:pPr>
        <w:pStyle w:val="References"/>
      </w:pPr>
      <w:r>
        <w:t xml:space="preserve">[42] Sidik, N.A.C., Adamu, I.M., Jamil, M.M., et al. Recent progress on hybrid nanofluids in heat transfer applications: a comprehensive review. International Communications in Heat and Mass Transfer, vol. 78, pp. 68-79, 2016.</w:t>
      </w:r>
    </w:p>
    <w:p>
      <w:pPr>
        <w:pStyle w:val="References"/>
      </w:pPr>
      <w:r>
        <w:t xml:space="preserve">[43] Duangthongsuk, W., Wongwises, S. An experimental study on the heat transfer performance and pressure drop of TiO2-water nanofluids. International Journal of Heat and Mass Transfer, vol. 53, no. 1-3, pp. 334-344, 2010.</w:t>
      </w:r>
    </w:p>
    <w:p>
      <w:pPr>
        <w:pStyle w:val="References"/>
      </w:pPr>
      <w:r>
        <w:t xml:space="preserve">[44] Yu, W., France, D.M., Routbort, J.L., Choi, S.U.S. Review and comparison of nanofluid thermal conductivity and heat transfer enhancements. Heat Transfer Engineering, vol. 29, no. 5, pp. 432-460, 2008.</w:t>
      </w:r>
    </w:p>
    <w:p>
      <w:pPr>
        <w:pStyle w:val="References"/>
      </w:pPr>
      <w:r>
        <w:t xml:space="preserve">[45] Bergles, A.E. Heat transfer enhancement: the encouragement and accommodation of high heat fluxes. Journal of Heat Transfer, vol. 119, no. 1, pp. 8-19, 1997.</w:t>
      </w:r>
    </w:p>
    <w:p>
      <w:pPr>
        <w:pStyle w:val="References"/>
      </w:pPr>
      <w:r>
        <w:t xml:space="preserve">[46] Webb, R.L., Kim, N.H. Principles of Enhanced Heat Transfer. Taylor &amp; Francis, New York, 2005.</w:t>
      </w:r>
    </w:p>
    <w:p>
      <w:pPr>
        <w:pStyle w:val="References"/>
      </w:pPr>
      <w:r>
        <w:t xml:space="preserve">[47] Bejan, A., Kraus, A.D. Heat Transfer Handbook. John Wiley &amp; Sons, Hoboken, NJ, 2003.</w:t>
      </w:r>
    </w:p>
    <w:p>
      <w:pPr>
        <w:pStyle w:val="References"/>
      </w:pPr>
      <w:r>
        <w:t xml:space="preserve">[48] Rohsenow, W.M., Hartnett, J.P., Cho, Y.I. Handbook of Heat Transfer. McGraw-Hill, New York, 1998.</w:t>
      </w:r>
    </w:p>
    <w:p>
      <w:pPr>
        <w:pStyle w:val="References"/>
      </w:pPr>
      <w:r>
        <w:t xml:space="preserve">[49] Kern, D.Q. Process Heat Transfer. McGraw-Hill, New York, 1950.</w:t>
      </w:r>
    </w:p>
    <w:p>
      <w:pPr>
        <w:pStyle w:val="References"/>
      </w:pPr>
      <w:r>
        <w:t xml:space="preserve">[50] Bejan, A. Entropy Generation Minimization. CRC Press, Boca Raton, FL, 1996.</w:t>
      </w:r>
    </w:p>
    <w:p>
      <w:pPr>
        <w:pStyle w:val="References"/>
      </w:pPr>
      <w:r>
        <w:t xml:space="preserve">[51] Sahin, A.Z. Second law analysis of laminar viscous flow through a duct subjected to constant wall temperature. Journal of Heat Transfer, vol. 120, no. 1, pp. 76-83, 1998.</w:t>
      </w:r>
    </w:p>
    <w:p>
      <w:pPr>
        <w:pStyle w:val="References"/>
      </w:pPr>
      <w:r>
        <w:t xml:space="preserve">[52] Mahian, O., Kianifar, A., Kleinstreuer, C., et al. A review of entropy generation in nanofluid flow. International Journal of Heat and Mass Transfer, vol. 65, pp. 514-532, 2013.</w:t>
      </w:r>
    </w:p>
    <w:p>
      <w:pPr>
        <w:pStyle w:val="References"/>
      </w:pPr>
      <w:r>
        <w:t xml:space="preserve">[53] Bejan, A. A study of entropy generation in fundamental convective heat transfer. Journal of Heat Transfer, vol. 101, no. 4, pp. 718-725, 1979.</w:t>
      </w:r>
    </w:p>
    <w:p>
      <w:pPr>
        <w:pStyle w:val="References"/>
      </w:pPr>
      <w:r>
        <w:t xml:space="preserve">[54] Paoletti, S., Rispoli, F., Sciubba, E. Calculation of exergetic losses in compact heat exchanger passages. ASME AES, vol. 10, no. 2, pp. 21-29, 1989.</w:t>
      </w:r>
    </w:p>
    <w:p>
      <w:pPr>
        <w:pStyle w:val="References"/>
      </w:pPr>
      <w:r>
        <w:t xml:space="preserve">[55] Leong, K.Y., Saidur, R., Kazi, S.N., Mamun, A.H. Performance investigation of an automotive car radiator operated with nanofluid-based coolants. Applied Thermal Engineering, vol. 30, no. 17-18, pp. 2685-2692, 2010.</w:t>
      </w:r>
    </w:p>
    <w:p>
      <w:pPr>
        <w:pStyle w:val="References"/>
      </w:pPr>
      <w:r>
        <w:t xml:space="preserve">[56] Huminic, G., Huminic, A. Application of nanofluids in heat exchangers: a review. Renewable and Sustainable Energy Reviews, vol. 16, no. 8, pp. 5625-5638, 2012.</w:t>
      </w:r>
    </w:p>
    <w:p>
      <w:pPr>
        <w:pStyle w:val="References"/>
      </w:pPr>
      <w:r>
        <w:t xml:space="preserve">[57] Saidur, R., Leong, K.Y., Mohammad, H.A. A review on applications and challenges of nanofluids. Renewable and Sustainable Energy Reviews, vol. 15, no. 3, pp. 1646-1668, 2011.</w:t>
      </w:r>
    </w:p>
    <w:p>
      <w:pPr>
        <w:pStyle w:val="References"/>
      </w:pPr>
      <w:r>
        <w:t xml:space="preserve">[58] Sheikholeslami, M., Ganji, D.D. Heat transfer of Cu-water nanofluid flow between parallel plates. Powder Technology, vol. 235, pp. 873-879, 2013.</w:t>
      </w:r>
    </w:p>
    <w:p>
      <w:pPr>
        <w:pStyle w:val="References"/>
      </w:pPr>
      <w:r>
        <w:t xml:space="preserve">[59] Versteeg, H.K., Malalasekera, W. An Introduction to Computational Fluid Dynamics: The Finite Volume Method. Pearson Education, Harlow, 2007.</w:t>
      </w:r>
    </w:p>
    <w:p>
      <w:pPr>
        <w:pStyle w:val="References"/>
      </w:pPr>
      <w:r>
        <w:t xml:space="preserve">[60] Anderson, J.D. Computational Fluid Dynamics: The Basics with Applications. McGraw-Hill, New York, 1995.</w:t>
      </w:r>
    </w:p>
    <w:p>
      <w:pPr>
        <w:pStyle w:val="References"/>
      </w:pPr>
      <w:r>
        <w:t xml:space="preserve">[61] Wilcox, D.C. Turbulence Modeling for CFD. DCW Industries, La Canada, CA, 2006.</w:t>
      </w:r>
    </w:p>
    <w:p>
      <w:pPr>
        <w:pStyle w:val="References"/>
      </w:pPr>
      <w:r>
        <w:t xml:space="preserve">[62] Pope, S.B. Turbulent Flows. Cambridge University Press, Cambridge, 2000.</w:t>
      </w:r>
    </w:p>
    <w:p>
      <w:pPr>
        <w:pStyle w:val="References"/>
      </w:pPr>
      <w:r>
        <w:t xml:space="preserve">[63] Bianco, V., Manca, O., Nardini, S., Vafai, K. Heat Transfer Enhancement with Nanofluids. CRC Press, Boca Raton, FL, 2015.</w:t>
      </w:r>
    </w:p>
    <w:p>
      <w:pPr>
        <w:pStyle w:val="References"/>
      </w:pPr>
      <w:r>
        <w:t xml:space="preserve">[64] Kalteh, M., Abbassi, A., Saffar-Avval, M., Harting, J. Eulerian-Eulerian two-phase numerical simulation of nanofluid laminar forced convection. International Journal of Heat and Fluid Flow, vol. 32, no. 1, pp. 107-116, 2011.</w:t>
      </w:r>
    </w:p>
    <w:p>
      <w:pPr>
        <w:pStyle w:val="References"/>
      </w:pPr>
      <w:r>
        <w:t xml:space="preserve">[65] Akbari, M., Galanis, N., Behzadmehr, A. Comparative analysis of single and two-phase models for CFD studies of nanofluid heat transfer. International Journal of Thermal Sciences, vol. 50, no. 8, pp. 1343-1354, 2011.</w:t>
      </w:r>
    </w:p>
    <w:p>
      <w:pPr>
        <w:pStyle w:val="References"/>
      </w:pPr>
      <w:r>
        <w:t xml:space="preserve">[66] Moraveji, M.K., Ardehali, R.M. CFD modeling of nanofluid convective heat transfer in a mini-channel heat sink. International Communications in Heat and Mass Transfer, vol. 44, pp. 157-164, 2013.</w:t>
      </w:r>
    </w:p>
    <w:p>
      <w:pPr>
        <w:pStyle w:val="References"/>
      </w:pPr>
      <w:r>
        <w:t xml:space="preserve">[67] Roache, P.J. Verification and Validation in Computational Science and Engineering. Hermosa Publishers, Albuquerque, NM, 1998.</w:t>
      </w:r>
    </w:p>
    <w:p>
      <w:pPr>
        <w:pStyle w:val="References"/>
      </w:pPr>
      <w:r>
        <w:t xml:space="preserve">[68] Celik, I.B., Ghia, U., Roache, P.J., et al. Procedure for estimation and reporting of uncertainty due to discretization in CFD applications. Journal of Fluids Engineering, vol. 130, no. 7, Article 078001, 2008.</w:t>
      </w:r>
    </w:p>
    <w:p>
      <w:pPr>
        <w:pStyle w:val="References"/>
      </w:pPr>
      <w:r>
        <w:t xml:space="preserve">[69] Ferziger, J.H., Peric, M. Computational Methods for Fluid Dynamics. Springer, Berlin, 2002.</w:t>
      </w:r>
    </w:p>
    <w:p>
      <w:pPr>
        <w:pStyle w:val="References"/>
      </w:pPr>
      <w:r>
        <w:t xml:space="preserve">[70] Oberkampf, W.L., Trucano, T.G. Verification and validation in computational fluid dynamics. Progress in Aerospace Sciences, vol. 38, no. 3, pp. 209-272, 2002.</w:t>
      </w:r>
    </w:p>
    <w:p>
      <w:pPr>
        <w:pStyle w:val="References"/>
      </w:pPr>
      <w:r>
        <w:t xml:space="preserve">[71] Bianco, V., Chiacchio, F., Manca, O., Nardini, S. Numerical investigation of nanofluids forced convection in circular tubes. Applied Thermal Engineering, vol. 29, no. 17-18, pp. 3632-3642, 2009.</w:t>
      </w:r>
    </w:p>
    <w:p>
      <w:pPr>
        <w:pStyle w:val="References"/>
      </w:pPr>
      <w:r>
        <w:t xml:space="preserve">[72] Namburu, P.K., Das, D.K., Tanguturi, K.M., Vajjha, R.S. Numerical study of turbulent flow and heat transfer characteristics of nanofluids. International Journal of Thermal Sciences, vol. 48, no. 2, pp. 290-302, 2009.</w:t>
      </w:r>
    </w:p>
    <w:p>
      <w:pPr>
        <w:pStyle w:val="References"/>
      </w:pPr>
      <w:r>
        <w:t xml:space="preserve">[73] Russell, S.J., Norvig, P. Artificial Intelligence: A Modern Approach. Pearson, Hoboken, NJ, 2021.</w:t>
      </w:r>
    </w:p>
    <w:p>
      <w:pPr>
        <w:pStyle w:val="References"/>
      </w:pPr>
      <w:r>
        <w:t xml:space="preserve">[74] Goodfellow, I., Bengio, Y., Courville, A. Deep Learning. MIT Press, Cambridge, MA, 2016.</w:t>
      </w:r>
    </w:p>
    <w:p>
      <w:pPr>
        <w:pStyle w:val="References"/>
      </w:pPr>
      <w:r>
        <w:t xml:space="preserve">[75] Bishop, C.M. Pattern Recognition and Machine Learning. Springer, New York, 2006.</w:t>
      </w:r>
    </w:p>
    <w:p>
      <w:pPr>
        <w:pStyle w:val="References"/>
      </w:pPr>
      <w:r>
        <w:t xml:space="preserve">[76] Hastie, T., Tibshirani, R., Friedman, J. The Elements of Statistical Learning. Springer, New York, 2009.</w:t>
      </w:r>
    </w:p>
    <w:p>
      <w:pPr>
        <w:pStyle w:val="References"/>
      </w:pPr>
      <w:r>
        <w:t xml:space="preserve">[77] Haykin, S. Neural Networks and Learning Machines. Pearson, Upper Saddle River, NJ, 2009.</w:t>
      </w:r>
    </w:p>
    <w:p>
      <w:pPr>
        <w:pStyle w:val="References"/>
      </w:pPr>
      <w:r>
        <w:t xml:space="preserve">[78] Vapnik, V.N. The Nature of Statistical Learning Theory. Springer, New York, 1995.</w:t>
      </w:r>
    </w:p>
    <w:p>
      <w:pPr>
        <w:pStyle w:val="References"/>
      </w:pPr>
      <w:r>
        <w:t xml:space="preserve">[79] Chen, T., Guestrin, C. XGBoost: a scalable tree boosting system. Proceedings of the 22nd ACM SIGKDD International Conference on Knowledge Discovery and Data Mining, pp. 785-794, 2016.</w:t>
      </w:r>
    </w:p>
    <w:p>
      <w:pPr>
        <w:pStyle w:val="References"/>
      </w:pPr>
      <w:r>
        <w:t xml:space="preserve">[80] Goldberg, D.E. Genetic Algorithms in Search, Optimization, and Machine Learning. Addison-Wesley, Reading, MA, 1989.</w:t>
      </w:r>
    </w:p>
    <w:p>
      <w:pPr>
        <w:pStyle w:val="References"/>
      </w:pPr>
      <w:r>
        <w:t xml:space="preserve">[81] Rasmussen, C.E., Williams, C.K.I. Gaussian Processes for Machine Learning. MIT Press, Cambridge, MA, 2006.</w:t>
      </w:r>
    </w:p>
    <w:p>
      <w:pPr>
        <w:pStyle w:val="References"/>
      </w:pPr>
      <w:r>
        <w:t xml:space="preserve">[82] Ahmadi, M.H., Baghban, A., Sadeghzadeh, M., et al. Evaluation of artificial intelligence approaches in prediction of thermophysical properties of nanofluids. Physica A, vol. 546, Article 124233, 2020.</w:t>
      </w:r>
    </w:p>
    <w:p>
      <w:pPr>
        <w:pStyle w:val="References"/>
      </w:pPr>
      <w:r>
        <w:t xml:space="preserve">[83] Hemmat Esfe, M., Bahiraei, M., Hajmohammad, M.H., Afrand, M. Rheological characteristics of nanofluids: application of artificial intelligence. Powder Technology, vol. 322, pp. 105-116, 2017.</w:t>
      </w:r>
    </w:p>
    <w:p>
      <w:pPr>
        <w:pStyle w:val="References"/>
      </w:pPr>
      <w:r>
        <w:t xml:space="preserve">[84] Karniadakis, G.E., Kevrekidis, I.G., Lu, L., et al. Physics-informed machine learning. Nature Reviews Physics, vol. 3, no. 6, pp. 422-440, 2021.</w:t>
      </w:r>
    </w:p>
    <w:p>
      <w:pPr>
        <w:pStyle w:val="References"/>
      </w:pPr>
      <w:r>
        <w:t xml:space="preserve">[85] Brunton, S.L., Noack, B.R., Koumoutsakos, P. Machine learning for fluid mechanics. Annual Review of Fluid Mechanics, vol. 52, pp. 477-508, 2020.</w:t>
      </w:r>
    </w:p>
    <w:p>
      <w:pPr>
        <w:pStyle w:val="References"/>
      </w:pPr>
      <w:r>
        <w:t xml:space="preserve">[86] Kalogirou, S.A. Artificial intelligence for the modeling and control of combustion processes: a review. Progress in Energy and Combustion Science, vol. 29, no. 6, pp. 515-566, 2003.</w:t>
      </w:r>
    </w:p>
    <w:p>
      <w:pPr>
        <w:pStyle w:val="References"/>
      </w:pPr>
      <w:r>
        <w:t xml:space="preserve">[87] Mitchell, T.M. Machine Learning. McGraw-Hill, New York, 1997.</w:t>
      </w:r>
    </w:p>
    <w:p>
      <w:pPr>
        <w:pStyle w:val="References"/>
      </w:pPr>
      <w:r>
        <w:t xml:space="preserve">[88] Murphy, K.P. Machine Learning: A Probabilistic Perspective. MIT Press, Cambridge, MA, 2012.</w:t>
      </w:r>
    </w:p>
    <w:p>
      <w:pPr>
        <w:pStyle w:val="References"/>
      </w:pPr>
      <w:r>
        <w:t xml:space="preserve">[89] Jain, A.K. Data clustering: 50 years beyond K-means. Pattern Recognition Letters, vol. 31, no. 8, pp. 651-666, 2010.</w:t>
      </w:r>
    </w:p>
    <w:p>
      <w:pPr>
        <w:pStyle w:val="References"/>
      </w:pPr>
      <w:r>
        <w:t xml:space="preserve">[90] Sutton, R.S., Barto, A.G. Reinforcement Learning: An Introduction. MIT Press, Cambridge, MA, 2018.</w:t>
      </w:r>
    </w:p>
    <w:p>
      <w:pPr>
        <w:pStyle w:val="References"/>
      </w:pPr>
      <w:r>
        <w:t xml:space="preserve">[91] Kotsiantis, S.B., Kanellopoulos, D., Pintelas, P.E. Data preprocessing for supervised learning. International Journal of Computer Science, vol. 1, no. 2, pp. 111-117, 2006.</w:t>
      </w:r>
    </w:p>
    <w:p>
      <w:pPr>
        <w:pStyle w:val="References"/>
      </w:pPr>
      <w:r>
        <w:t xml:space="preserve">[92] Garcia, S., Luengo, J., Herrera, F. Data Preprocessing in Data Mining. Springer, Cham, 2015.</w:t>
      </w:r>
    </w:p>
    <w:p>
      <w:pPr>
        <w:pStyle w:val="References"/>
      </w:pPr>
      <w:r>
        <w:t xml:space="preserve">[93] Guyon, I., Elisseeff, A. An introduction to variable and feature selection. Journal of Machine Learning Research, vol. 3, pp. 1157-1182, 2003.</w:t>
      </w:r>
    </w:p>
    <w:p>
      <w:pPr>
        <w:pStyle w:val="References"/>
      </w:pPr>
      <w:r>
        <w:t xml:space="preserve">[94] Breiman, L. Random forests. Machine Learning, vol. 45, no. 1, pp. 5-32, 2001.</w:t>
      </w:r>
    </w:p>
    <w:p>
      <w:pPr>
        <w:pStyle w:val="References"/>
      </w:pPr>
      <w:r>
        <w:t xml:space="preserve">[95] Bergstra, J., Bengio, Y. Random search for hyper-parameter optimization. Journal of Machine Learning Research, vol. 13, pp. 281-305, 2012.</w:t>
      </w:r>
    </w:p>
    <w:p>
      <w:pPr>
        <w:pStyle w:val="References"/>
      </w:pPr>
      <w:r>
        <w:t xml:space="preserve">[96] Kohavi, R. A study of cross-validation and bootstrap for accuracy estimation and model selection. Proceedings of IJCAI, vol. 14, no. 2, pp. 1137-1145, 1995.</w:t>
      </w:r>
    </w:p>
    <w:p>
      <w:pPr>
        <w:pStyle w:val="References"/>
      </w:pPr>
      <w:r>
        <w:t xml:space="preserve">[97] Arlot, S., Celisse, A. A survey of cross-validation procedures for model selection. Statistics Surveys, vol. 4, pp. 40-79, 2010.</w:t>
      </w:r>
    </w:p>
    <w:p>
      <w:pPr>
        <w:pStyle w:val="References"/>
      </w:pPr>
      <w:r>
        <w:t xml:space="preserve">[98] Willmott, C.J., Matsuura, K. Advantages of the mean absolute error over the root mean square error in assessing average model performance. Climate Research, vol. 30, no. 1, pp. 79-82, 2005.</w:t>
      </w:r>
    </w:p>
    <w:p>
      <w:pPr>
        <w:pStyle w:val="References"/>
      </w:pPr>
      <w:r>
        <w:t xml:space="preserve">[99] Chai, T., Draxler, R.R. Root mean square error or mean absolute error? Geoscientific Model Development, vol. 7, no. 3, pp. 1247-1250, 2014.</w:t>
      </w:r>
    </w:p>
    <w:p>
      <w:pPr>
        <w:pStyle w:val="References"/>
      </w:pPr>
      <w:r>
        <w:t xml:space="preserve">[100] Domingos, P. A few useful things to know about machine learning. Communications of the ACM, vol. 55, no. 10, pp. 78-87, 2012.</w:t>
      </w:r>
    </w:p>
    <w:p>
      <w:pPr>
        <w:pStyle w:val="References"/>
      </w:pPr>
      <w:r>
        <w:t xml:space="preserve">[101] Hemmat Esfe, M., Saedodin, S., Bahiraei, M., et al. Thermal conductivity modeling of MgO/EG nanofluids using experimental data and artificial neural network. Journal of Thermal Analysis and Calorimetry, vol. 118, no. 1, pp. 287-294, 2014.</w:t>
      </w:r>
    </w:p>
    <w:p>
      <w:pPr>
        <w:pStyle w:val="References"/>
      </w:pPr>
      <w:r>
        <w:t xml:space="preserve">[102] Longo, G.A., Zilio, C., Ceseracciu, E., Reggiani, M. Application of artificial neural network for the prediction of nanofluid thermal conductivity. International Journal of Refrigeration, vol. 35, no. 5, pp. 1360-1367, 2012.</w:t>
      </w:r>
    </w:p>
    <w:p>
      <w:pPr>
        <w:pStyle w:val="References"/>
      </w:pPr>
      <w:r>
        <w:t xml:space="preserve">[103] Ariana, M.A., Vaferi, B., Karimi, G. Prediction of thermal conductivity of alumina water-based nanofluids by artificial neural networks. Powder Technology, vol. 278, pp. 1-10, 2015.</w:t>
      </w:r>
    </w:p>
    <w:p>
      <w:pPr>
        <w:pStyle w:val="References"/>
      </w:pPr>
      <w:r>
        <w:t xml:space="preserve">[104] Aminian, A. Predicting the effective thermal conductivity of nanofluids for intensification of heat transfer using artificial neural network. Powder Technology, vol. 301, pp. 288-309, 2016.</w:t>
      </w:r>
    </w:p>
    <w:p>
      <w:pPr>
        <w:pStyle w:val="References"/>
      </w:pPr>
      <w:r>
        <w:t xml:space="preserve">[105] Hemmat Esfe, M., Afrand, M., Wongwises, S., et al. Applications of feedforward multilayer perceptron artificial neural networks to predict the viscosity of nanofluids. International Communications in Heat and Mass Transfer, vol. 66, pp. 100-104, 2015.</w:t>
      </w:r>
    </w:p>
    <w:p>
      <w:pPr>
        <w:pStyle w:val="References"/>
      </w:pPr>
      <w:r>
        <w:t xml:space="preserve">[106] Meybodi, M.K., Naseri, S., Shokrollahi, A., Daryasafar, A. Prediction of viscosity of water-based nanofluids by a soft computing approach. Journal of the Taiwan Institute of Chemical Engineers, vol. 58, pp. 19-27, 2016.</w:t>
      </w:r>
    </w:p>
    <w:p>
      <w:pPr>
        <w:pStyle w:val="References"/>
      </w:pPr>
      <w:r>
        <w:t xml:space="preserve">[107] Vaferi, B., Samimi, F., Pakgohar, E., Mowla, D. Artificial neural network approach for prediction of thermal behavior of nanofluids flowing through circular tubes. Powder Technology, vol. 267, pp. 1-10, 2014.</w:t>
      </w:r>
    </w:p>
    <w:p>
      <w:pPr>
        <w:pStyle w:val="References"/>
      </w:pPr>
      <w:r>
        <w:t xml:space="preserve">[108] Barati-Harooni, A., Najafi-Marghmaleki, A. An accurate RBF-NN model for estimation of viscosity of nanofluids. Journal of Molecular Liquids, vol. 224, pp. 580-588, 2016.</w:t>
      </w:r>
    </w:p>
    <w:p>
      <w:pPr>
        <w:pStyle w:val="References"/>
      </w:pPr>
      <w:r>
        <w:t xml:space="preserve">[109] Ilyas, S.U., Pendyala, R., Marneni, N. Preparation, sedimentation, and agglomeration of nanofluids. Chemical Engineering &amp; Technology, vol. 37, no. 12, pp. 2011-2021, 2014.</w:t>
      </w:r>
    </w:p>
    <w:p>
      <w:pPr>
        <w:pStyle w:val="References"/>
      </w:pPr>
      <w:r>
        <w:t xml:space="preserve">[110] Sadeghi, R., Etemad, S.G., Keshavarzi, E., Haghshenasfard, M. Investigation of alumina nanofluid stability by UV-vis spectrum. Microfluidics and Nanofluidics, vol. 18, no. 5-6, pp. 1023-1030, 2015.</w:t>
      </w:r>
    </w:p>
    <w:p>
      <w:pPr>
        <w:pStyle w:val="References"/>
      </w:pPr>
      <w:r>
        <w:t xml:space="preserve">[111] Alade, I.O., Rahman, M.A.A., Saleh, T.A. Predicting the specific heat capacity of alumina/ethylene glycol nanofluids using support vector regression optimized by Bayesian algorithm. Solar Energy, vol. 197, pp. 485-490, 2020.</w:t>
      </w:r>
    </w:p>
    <w:p>
      <w:pPr>
        <w:pStyle w:val="References"/>
      </w:pPr>
      <w:r>
        <w:t xml:space="preserve">[112] Bahiraei, M., Heshmatian, S., Moayedi, H. Artificial intelligence in the field of nanofluids: a review on applications and potential future directions. Powder Technology, vol. 353, pp. 276-301, 2019.</w:t>
      </w:r>
    </w:p>
    <w:p>
      <w:pPr>
        <w:pStyle w:val="References"/>
      </w:pPr>
      <w:r>
        <w:t xml:space="preserve">[113] Ramezanizadeh, M., Ahmadi, M.A., Ahmadi, M.H., Nazari, M.A. Modeling thermal conductivity of Ag/water nanofluid by applying a mathematical correlation and artificial neural network. International Journal of Low-Carbon Technologies, vol. 14, no. 4, pp. 468-474, 2019.</w:t>
      </w:r>
    </w:p>
    <w:p>
      <w:pPr>
        <w:pStyle w:val="References"/>
      </w:pPr>
      <w:r>
        <w:t xml:space="preserve">[114] Baghban, A., Kahani, M., Nazari, M.A., et al. Sensitivity analysis and application of machine learning methods to predict the heat transfer performance of nanofluids. International Journal of Heat and Mass Transfer, vol. 128, pp. 825-835, 2019.</w:t>
      </w:r>
    </w:p>
    <w:p>
      <w:pPr>
        <w:pStyle w:val="References"/>
      </w:pPr>
      <w:r>
        <w:t xml:space="preserve">[115] Ahmadi, M.H., Mohseni-Gharyehsafa, B., Ghazvini, M., et al. Comparison of machine learning methods for estimating Nusselt number of nanofluids. Engineering Applications of Computational Fluid Mechanics, vol. 13, no. 1, pp. 220-236, 2019.</w:t>
      </w:r>
    </w:p>
    <w:p>
      <w:pPr>
        <w:pStyle w:val="References"/>
      </w:pPr>
      <w:r>
        <w:t xml:space="preserve">[116] Kahani, M., Ahmadi, M.H., Tatar, A., Sadeghzadeh, M. Development of MLP and ANFIS models to predict Nusselt number and pressure drop of nanofluids. International Communications in Heat and Mass Transfer, vol. 97, pp. 143-151, 2018.</w:t>
      </w:r>
    </w:p>
    <w:p>
      <w:pPr>
        <w:pStyle w:val="References"/>
      </w:pPr>
      <w:r>
        <w:t xml:space="preserve">[117] Hojjat, M. Nanofluids as coolant in a shell and tube heat exchanger: ANN modeling and multi-objective optimization. Applied Mathematics and Computation, vol. 365, Article 124710, 2020.</w:t>
      </w:r>
    </w:p>
    <w:p>
      <w:pPr>
        <w:pStyle w:val="References"/>
      </w:pPr>
      <w:r>
        <w:t xml:space="preserve">[118] Alizadeh, R., Abad, J.M.N., Ameri, A., et al. A machine learning approach to predicting the heat convection and thermodynamics of an external flow of hybrid nanofluid. Journal of Energy Resources Technology, vol. 143, no. 7, Article 070902, 2021.</w:t>
      </w:r>
    </w:p>
    <w:p>
      <w:pPr>
        <w:pStyle w:val="References"/>
      </w:pPr>
      <w:r>
        <w:t xml:space="preserve">[119] Bhattad, A., Sarkar, J., Ghosh, P. Discrete phase numerical model and experimental study of hybrid nanofluid heat transfer. International Communications in Heat and Mass Transfer, vol. 91, pp. 262-273, 2018.</w:t>
      </w:r>
    </w:p>
    <w:p>
      <w:pPr>
        <w:pStyle w:val="References"/>
      </w:pPr>
      <w:r>
        <w:t xml:space="preserve">[120] Maddah, H., Aghayari, R., Ahmadi, M.H., et al. Prediction and modeling of MWCNT/carbon nanofluid heat transfer using artificial neural network. Journal of Thermal Analysis and Calorimetry, vol. 132, no. 2, pp. 1191-1206, 2018.</w:t>
      </w:r>
    </w:p>
    <w:p>
      <w:pPr>
        <w:pStyle w:val="References"/>
      </w:pPr>
      <w:r>
        <w:t xml:space="preserve">[121] Colangelo, G., Favale, E., Milanese, M., et al. Cooling of electronic devices: nanofluids contribution. Applied Thermal Engineering, vol. 127, pp. 421-435, 2017.</w:t>
      </w:r>
    </w:p>
    <w:p>
      <w:pPr>
        <w:pStyle w:val="References"/>
      </w:pPr>
      <w:r>
        <w:t xml:space="preserve">[122] Bahiraei, M., Heshmatian, S. Application of a novel biological nanofluid in a liquid block heat sink: performance analysis via machine learning. Energy Conversion and Management, vol. 196, pp. 1222-1235, 2019.</w:t>
      </w:r>
    </w:p>
    <w:p>
      <w:pPr>
        <w:pStyle w:val="References"/>
      </w:pPr>
      <w:r>
        <w:t xml:space="preserve">[123] Zhao, N., Li, Z. Experiment and artificial neural network prediction of thermal conductivity and viscosity for alumina-water nanofluids. Materials, vol. 10, no. 5, p. 552, 2017.</w:t>
      </w:r>
    </w:p>
    <w:p>
      <w:pPr>
        <w:pStyle w:val="References"/>
      </w:pPr>
      <w:r>
        <w:t xml:space="preserve">[124] Shahsavar, A., Bahiraei, M. Experimental investigation and modeling of thermal conductivity and viscosity for non-Newtonian hybrid nanofluid. Powder Technology, vol. 318, pp. 441-450, 2017.</w:t>
      </w:r>
    </w:p>
    <w:p>
      <w:pPr>
        <w:pStyle w:val="References"/>
      </w:pPr>
      <w:r>
        <w:t xml:space="preserve">[125] Sundar, L.S., Sharma, K.V., Singh, M.K., Sousa, A.C.M. Hybrid nanofluids preparation, thermal properties, heat transfer and friction factor: a review. Renewable and Sustainable Energy Reviews, vol. 68, pp. 185-198, 2017.</w:t>
      </w:r>
    </w:p>
    <w:p>
      <w:pPr>
        <w:pStyle w:val="References"/>
      </w:pPr>
      <w:r>
        <w:t xml:space="preserve">[126] Nazari, M.A., Ahmadi, M.H., Ghasempour, R., et al. A review on using nanofluids in heat pipes. Journal of Thermal Analysis and Calorimetry, vol. 137, no. 6, pp. 1847-1855, 2019.</w:t>
      </w:r>
    </w:p>
    <w:p>
      <w:pPr>
        <w:pStyle w:val="References"/>
      </w:pPr>
      <w:r>
        <w:t xml:space="preserve">[127] Cai, S., Mao, Z., Wang, Z., et al. Physics-informed neural networks for heat transfer problems. Journal of Heat Transfer, vol. 143, no. 6, Article 060801, 2021.</w:t>
      </w:r>
    </w:p>
    <w:p>
      <w:pPr>
        <w:pStyle w:val="References"/>
      </w:pPr>
      <w:r>
        <w:t xml:space="preserve">[128] Kutz, J.N. Deep learning in fluid dynamics. Journal of Fluid Mechanics, vol. 814, pp. 1-4, 2017.</w:t>
      </w:r>
    </w:p>
    <w:p>
      <w:pPr>
        <w:pStyle w:val="References"/>
      </w:pPr>
      <w:r>
        <w:t xml:space="preserve">[129] Deb, K. Multi-Objective Optimization Using Evolutionary Algorithms. John Wiley &amp; Sons, Chichester, 2001.</w:t>
      </w:r>
    </w:p>
    <w:p>
      <w:pPr>
        <w:pStyle w:val="References"/>
      </w:pPr>
      <w:r>
        <w:t xml:space="preserve">[130] Bahiraei, M., Heshmatian, S. Electronics cooling with nanofluids: a critical review. Energy Conversion and Management, vol. 172, pp. 438-456, 2018.</w:t>
      </w:r>
    </w:p>
    <w:sectPr>
      <w:pgSz w:w="12240" w:h="15840"/>
      <w:pgMar w:top="1440" w:right="1440" w:bottom="1440" w:left="1440" w:header="720" w:footer="720" w:gutter="0"/>
    </w:sectPr>
  </w:body>
</w:document>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after="120" w:line="360" w:lineRule="auto"/>
      </w:pPr>
    </w:pPrDefault>
  </w:docDefaults>
  <w:style w:type="paragraph" w:styleId="Normal" w:default="1">
    <w:name w:val="Normal"/>
    <w:pPr>
      <w:jc w:val="both"/>
    </w:pPr>
  </w:style>
  <w:style w:type="paragraph" w:styleId="Title">
    <w:name w:val="Title"/>
    <w:basedOn w:val="Normal"/>
    <w:pPr>
      <w:jc w:val="center"/>
      <w:spacing w:before="240" w:after="240"/>
      <w:keepNext/>
    </w:pPr>
    <w:rPr>
      <w:b/>
      <w:sz w:val="34"/>
      <w:szCs w:val="34"/>
    </w:rPr>
  </w:style>
  <w:style w:type="paragraph" w:styleId="Heading1">
    <w:name w:val="heading 1"/>
    <w:basedOn w:val="Normal"/>
    <w:pPr>
      <w:spacing w:before="360" w:after="140"/>
      <w:jc w:val="left"/>
      <w:keepNext/>
    </w:pPr>
    <w:rPr>
      <w:b/>
      <w:sz w:val="30"/>
      <w:szCs w:val="30"/>
    </w:rPr>
  </w:style>
  <w:style w:type="paragraph" w:styleId="Heading2">
    <w:name w:val="heading 2"/>
    <w:basedOn w:val="Normal"/>
    <w:pPr>
      <w:spacing w:before="260" w:after="120"/>
      <w:jc w:val="left"/>
      <w:keepNext/>
    </w:pPr>
    <w:rPr>
      <w:b/>
      <w:sz w:val="26"/>
      <w:szCs w:val="26"/>
    </w:rPr>
  </w:style>
  <w:style w:type="paragraph" w:styleId="Abstract">
    <w:name w:val="Abstract"/>
    <w:basedOn w:val="Normal"/>
    <w:pPr>
      <w:ind w:left="720" w:right="720"/>
    </w:pPr>
    <w:rPr>
      <w:i/>
      <w:sz w:val="22"/>
      <w:szCs w:val="22"/>
    </w:rPr>
  </w:style>
  <w:style w:type="paragraph" w:styleId="References">
    <w:name w:val="References"/>
    <w:basedOn w:val="Normal"/>
    <w:pPr>
      <w:ind w:left="480" w:hanging="480"/>
      <w:spacing w:after="60"/>
      <w:jc w:val="left"/>
    </w:pPr>
    <w:rPr>
      <w:sz w:val="22"/>
      <w:szCs w:val="22"/>
    </w:rPr>
  </w:style>
  <w:style w:type="paragraph" w:styleId="FigureCaption">
    <w:name w:val="Figure Caption"/>
    <w:basedOn w:val="Normal"/>
    <w:pPr>
      <w:jc w:val="center"/>
      <w:spacing w:before="80" w:after="240"/>
      <w:keepLines/>
    </w:pPr>
    <w:rPr>
      <w:i/>
      <w:sz w:val="21"/>
      <w:szCs w:val="21"/>
    </w:rPr>
  </w:style>
  <w:style w:type="paragraph" w:styleId="FigureImage">
    <w:name w:val="Figure Image"/>
    <w:basedOn w:val="Normal"/>
    <w:pPr>
      <w:jc w:val="center"/>
      <w:spacing w:before="200" w:after="40"/>
      <w:keepNext/>
    </w:pPr>
  </w:style>
  <w:style w:type="paragraph" w:styleId="TableCaption">
    <w:name w:val="Table Caption"/>
    <w:basedOn w:val="Normal"/>
    <w:pPr>
      <w:spacing w:before="200" w:after="80"/>
      <w:jc w:val="left"/>
      <w:keepNext/>
    </w:pPr>
    <w:rPr>
      <w:b/>
      <w:sz w:val="22"/>
      <w:szCs w:val="22"/>
    </w:r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 Type="http://schemas.openxmlformats.org/officeDocument/2006/relationships/numbering" Target="numbering.xml"/>
<Relationship Id="rId1000" Type="http://schemas.openxmlformats.org/officeDocument/2006/relationships/image" Target="media/Fig01_heat_transfer_modes.png"/>
<Relationship Id="rId1001" Type="http://schemas.openxmlformats.org/officeDocument/2006/relationships/image" Target="media/Fig02_hx_classification.png"/>
<Relationship Id="rId1002" Type="http://schemas.openxmlformats.org/officeDocument/2006/relationships/image" Target="media/Fig03_effectiveness_ntu.png"/>
<Relationship Id="rId1003" Type="http://schemas.openxmlformats.org/officeDocument/2006/relationships/image" Target="media/Fig04_nanofluid_preparation.png"/>
<Relationship Id="rId1004" Type="http://schemas.openxmlformats.org/officeDocument/2006/relationships/image" Target="media/Fig05_k_enhancement.png"/>
<Relationship Id="rId1005" Type="http://schemas.openxmlformats.org/officeDocument/2006/relationships/image" Target="media/Fig06_viscosity_temp.png"/>
<Relationship Id="rId1006" Type="http://schemas.openxmlformats.org/officeDocument/2006/relationships/image" Target="media/Fig07_zeta_pH.png"/>
<Relationship Id="rId1007" Type="http://schemas.openxmlformats.org/officeDocument/2006/relationships/image" Target="media/Fig08_nu_re.png"/>
<Relationship Id="rId1008" Type="http://schemas.openxmlformats.org/officeDocument/2006/relationships/image" Target="media/Fig09_shape_effect.png"/>
<Relationship Id="rId1009" Type="http://schemas.openxmlformats.org/officeDocument/2006/relationships/image" Target="media/Fig10_pressure_drop.png"/>
<Relationship Id="rId1010" Type="http://schemas.openxmlformats.org/officeDocument/2006/relationships/image" Target="media/Fig11_design_workflow.png"/>
<Relationship Id="rId1011" Type="http://schemas.openxmlformats.org/officeDocument/2006/relationships/image" Target="media/Fig12_energy_exergy.png"/>
<Relationship Id="rId1012" Type="http://schemas.openxmlformats.org/officeDocument/2006/relationships/image" Target="media/Fig13_entropy_gen.png"/>
<Relationship Id="rId1013" Type="http://schemas.openxmlformats.org/officeDocument/2006/relationships/image" Target="media/Fig14_cfd_workflow.png"/>
<Relationship Id="rId1014" Type="http://schemas.openxmlformats.org/officeDocument/2006/relationships/image" Target="media/Fig15_mesh_independence.png"/>
<Relationship Id="rId1015" Type="http://schemas.openxmlformats.org/officeDocument/2006/relationships/image" Target="media/Fig16_ai_evolution.png"/>
<Relationship Id="rId1016" Type="http://schemas.openxmlformats.org/officeDocument/2006/relationships/image" Target="media/Fig17_ml_paradigms.png"/>
<Relationship Id="rId1017" Type="http://schemas.openxmlformats.org/officeDocument/2006/relationships/image" Target="media/Fig18_ml_pipeline.png"/>
<Relationship Id="rId1018" Type="http://schemas.openxmlformats.org/officeDocument/2006/relationships/image" Target="media/Fig19_parity_k.png"/>
<Relationship Id="rId1019" Type="http://schemas.openxmlformats.org/officeDocument/2006/relationships/image" Target="media/Fig20_model_comparison.png"/>
</Relationships>
</file>