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5: Results and Discussion</w:t>
      </w:r>
    </w:p>
    <w:p>
      <w:pPr>
        <w:pStyle w:val="Heading1"/>
      </w:pPr>
      <w:r>
        <w:t xml:space="preserve">5.1. Characterization of the Physicochemical and Thermophysical Properties of the SAW Fluxes</w:t>
      </w:r>
    </w:p>
    <w:p>
      <w:pPr>
        <w:pStyle w:val="Heading2"/>
      </w:pPr>
      <w:r>
        <w:t xml:space="preserve">5.1.1. Rationale and Analytical Framework</w:t>
      </w:r>
    </w:p>
    <w:p>
      <w:pPr>
        <w:pStyle w:val="Normal"/>
      </w:pPr>
      <w:r>
        <w:t xml:space="preserve">The present investigation examined twenty-five submerged arc welding (SAW) fluxes formulated within the SiO₂–TiO₂–CaF₂–BaO–MnO system at a fixed CaO content, the compositions being generated through a Design of Experiments (DoE) scheme. This formulation strategy extends the flux-design methodology established for shielded metal arc welding (SMAW) coatings by Kumar and Chhibber [1] and Kumar et al. [2], who demonstrated that coupled regression and artificial-neural-network models can predict the physicochemical and thermophysical responses of formulated fluxes with considerable accuracy. Bulk density, thermal properties, and phase constitution were therefore treated as dependent responses of the oxide fractions, an approach consistent with the multi-component flux frameworks reported by Sharma and Chhibber [3, 4]. Thermal, structural, and phase behaviour were resolved jointly by X-ray diffraction (XRD) and Fourier-transform infrared (FTIR) spectroscopy, following the combined structural-characterization protocol applied by Kim et al. [5] to the TiO₂–MnO–SiO₂–Al₂O₃ system.</w:t>
      </w:r>
    </w:p>
    <w:p>
      <w:pPr>
        <w:pStyle w:val="Normal"/>
      </w:pPr>
      <w:r>
        <w:t xml:space="preserve">Notwithstanding the established role of SAW in marine and offshore fabrication, the published body of work is dominated by conventional CaO–SiO₂–CaF₂ and Al₂O₃-based systems [6, 7, 8]. Studies that integrate BaO- and MnO-bearing multi-component fluxes with a simultaneous correlation of thermophysical properties, crystalline-phase chemistry, and molecular structure remain scarce [5, 9], and the use of sustainable red ochre as an arc-stabilizing additive has not previously been documented [10]. Accordingly, the objective of this chapter is to establish a coherent structure–property–performance relationship for the twenty-five fluxes developed in the SiO₂–TiO₂–CaF₂–BaO system, thereby addressing gaps that persist in the SAW literature.</w:t>
      </w:r>
    </w:p>
    <w:p>
      <w:pPr>
        <w:pStyle w:val="Heading2"/>
      </w:pPr>
      <w:r>
        <w:t xml:space="preserve">5.1.2. Physicochemical and Thermophysical Behaviour of the Twenty-Five Laboratory-Developed Fluxes</w:t>
      </w:r>
    </w:p>
    <w:p>
      <w:pPr>
        <w:pStyle w:val="Heading3"/>
      </w:pPr>
      <w:r>
        <w:t xml:space="preserve">5.1.2.1. Density, Thermal Conductivity, Thermal Diffusivity, and Specific Heat</w:t>
      </w:r>
    </w:p>
    <w:p>
      <w:pPr>
        <w:pStyle w:val="Normal"/>
      </w:pPr>
      <w:r>
        <w:t xml:space="preserve">The bulk densities of the twenty-five formulations spanned 1.40–1.54 g/cm³ (Figure 5.1a), a range that agrees closely with values reported for comparable multi-component fluxes. Sharma and Chhibber [3] recorded 1.35–1.58 g/cm³ for TiO₂–SiO₂–MgO and SiO₂–MgO–Al₂O₃ fluxes, and Sharma, Kumar, and Chhibber [11] obtained 1.42–1.56 g/cm³ for MgO–TiO₂–SiO₂ systems; the correspondence indicates that the agglomeration route and binder fraction adopted here yielded compaction characteristics equivalent to those of established formulations. The highest densities, exhibited by Flux 14–Flux 16 and Flux 23–Flux 25, coincided with additions of the dense oxides BaO (ρ = 5.72 g/cm³) and MnO (ρ = 5.03 g/cm³), consistent with the rule-of-mixtures behaviour described for agglomerated fluxes by Houldcroft [12] and Davis and Coe [13]. Conversely, the silica- and fluorspar-rich compositions (Flux 1–Flux 6) displayed the lowest densities, a trend that reproduces the composition–density relationship reported by Singh, Khan, and Siddiquee [14]. The mean density of 1.48 ± 0.04 g/cm³ lies squarely within the 1.4–1.6 g/cm³ window that Kanjilal, Pal, and Majumdar [15] associated with stable arc coverage and favourable slag detachability, while the low coefficient of variation (2.7%) implies limited porosity and high batch reproducibility—an outcome attributed by Bang, Park, Jung, and Lee [16] to uniform binder distribution during agglomeration.</w:t>
      </w:r>
    </w:p>
    <w:p>
      <w:pPr>
        <w:pStyle w:val="Normal"/>
      </w:pPr>
      <w:r>
        <w:t xml:space="preserve">Thermal conductivity varied from 0.34 to 0.52 W/m·K (Figure 5.1b) and exhibited a pronounced compositional dependence, in accordance with the structure–property relationships reported by Kumar et al. [2]. The measured values are consistent with the 0.31–0.48 W/m·K reported by Sharma and Chhibber [3] for agglomerated composites and the 0.38–0.55 W/m·K reported by Kanjilal et al. [15] for TiO₂–SiO₂ fluxes. A strong positive association between density and conductivity was observed, reflecting the heat-transfer behaviour of heterogeneous oxide assemblages described by Kumar and Chhibber [17]: dense fluxes rich in MnO, BaO, and TiO₂ achieved conductivity enhancements of up to 53% relative to silicate-based formulations, an effect attributable to the superior phonon transport of crystalline metallic-oxide phases compared with amorphous silicate networks [18]. The silica-rich fluxes (Flux 1–Flux 6), by contrast, behaved as thermal insulators, their low conductivity mirroring the intrinsically low conductivity of amorphous SiO₂ (0.1–0.2 W/m·K) noted by the same authors and echoing the melt-conductivity trends reported by Jung and Min [19] and Jung, Kim, Sohn, and Min [20] as the CaO/SiO₂ ratio falls below unity.</w:t>
      </w:r>
    </w:p>
    <w:p>
      <w:pPr>
        <w:pStyle w:val="FigureCaption"/>
      </w:pPr>
      <w:r>
        <w:t xml:space="preserve">Figure 5.1. Variation of the thermophysical properties with flux number: (a) density, (b) thermal conductivity, (c) specific heat, and (d) thermal diffusivity.</w:t>
      </w:r>
    </w:p>
    <w:p>
      <w:pPr>
        <w:pStyle w:val="Normal"/>
      </w:pPr>
      <w:r>
        <w:t xml:space="preserve">Volumetric specific heat ranged from 0.902 to 1.192 MJ/m³·K (Figure 5.1c), the maximum being recorded for Flux 25 at the highest CaF₂ and MnO content, in agreement with the trends of Kanjilal et al. [15] and Sharma and Chhibber [3]. A high specific heat is metallurgically advantageous in SAW because it enables greater thermal-energy storage before a temperature rise, thereby promoting arc stability and controlled cooling [21]. Thermal diffusivity spanned 0.202–0.351 mm²/s (Figure 5.1d); the lowest values (0.202–0.215 mm²/s), obtained for the silica- and fluorspar-rich fluxes, confer the thermal insulation required for effective weld-pool protection [17] and align with the 0.18–0.23 mm²/s reported by Sharma and Chhibber [4] for silicate-dominated fluxes. The BaO- and MnO-rich compositions (Flux 8 and Flux 20) exhibited the highest diffusivities (0.335–0.351 mm²/s). As Kou [22] observed, elevated diffusivity retards weld-metal cooling and favours ductility, whereas low diffusivity accelerates cooling and refines the grain structure.</w:t>
      </w:r>
    </w:p>
    <w:p>
      <w:pPr>
        <w:pStyle w:val="Heading3"/>
      </w:pPr>
      <w:r>
        <w:t xml:space="preserve">5.1.2.2. Phase Constitution</w:t>
      </w:r>
    </w:p>
    <w:p>
      <w:pPr>
        <w:pStyle w:val="Normal"/>
      </w:pPr>
      <w:r>
        <w:t xml:space="preserve">XRD analysis of four representative fluxes disclosed distinct crystalline-phase assemblages that illuminate both thermal behaviour and metallurgical workability (Figure 5.2). Flux 2, containing 35% CaF₂ and 25% MnO, exhibited sharp fluorite reflections at 2θ = 28.3°, 32.2°, and 47.0°, indexed to the (111), (200), and (220) planes; the high intensities and narrow full width at half maximum denote high crystallinity and coarse crystallites, a signature that Schwemer, Olson, and Williamson [23] associated with controlled flux processing. In Flux 20, the reduced CaF₂ content (31.3%) attenuated the fluorite reflections and introduced MnO peaks at 30.1° and 50.5°; the inverse fluorite–MnO intensity relationship indicates competitive crystallization consistent with the slag-phase interactions reported by Chai and Eagar [24]. Flux 12 presented an intermediate assemblage combining strong fluorite reflections, well-defined rutile peaks at 27.4°, 36.1°, and 54.4°, and discrete MnO signatures; its elevated rutile/fluorite intensity ratio signifies greater retention of crystalline titania, which Beidokhti, Koukabi, and Dolati [25] linked to enhanced arc stabilization.</w:t>
      </w:r>
    </w:p>
    <w:p>
      <w:pPr>
        <w:pStyle w:val="FigureCaption"/>
      </w:pPr>
      <w:r>
        <w:t xml:space="preserve">Figure 5.2. X-ray diffraction patterns of the flux samples, showing intensity (arbitrary units) versus 2θ (degrees): (a) Flux 2, (b) Flux 12, (c) Flux 16, and (d) Flux 20.</w:t>
      </w:r>
    </w:p>
    <w:p>
      <w:pPr>
        <w:pStyle w:val="Heading3"/>
      </w:pPr>
      <w:r>
        <w:t xml:space="preserve">5.1.2.3. Structural Behaviour</w:t>
      </w:r>
    </w:p>
    <w:p>
      <w:pPr>
        <w:pStyle w:val="Heading4"/>
      </w:pPr>
      <w:r>
        <w:t xml:space="preserve">5.1.2.3.1. Structure–Property Correlations</w:t>
      </w:r>
    </w:p>
    <w:p>
      <w:pPr>
        <w:pStyle w:val="Normal"/>
      </w:pPr>
      <w:r>
        <w:t xml:space="preserve">The diffraction data correlate directly with the thermophysical responses reported in Section 5.1.2.1. The high fluorite crystallinity of Flux 2 and Flux 16 corresponded to comparatively low thermal diffusivity (0.215–0.245 mm²/s), whereas the MnO-rich Flux 20 attained 0.335 mm²/s. This contrast is consistent with phonon scattering in fluorite-structured compounds, in which fluorine-site vacancies impede heat-carrying phonons [18], while the higher diffusivity of the MnO-rich compositions reflects the partially metallic character of MnO and its attendant electronic contribution to conduction, in agreement with the slag-conductivity observations of North, Bell, Nowicki, and Craig [26]. The qualitative crystallinity inferred from peak sharpness varied inversely with the basicity index: higher-basicity fluxes (Flux 2, Flux 13) produced sharper, more intense reflections, whereas lower-basicity fluxes (Flux 11, Flux 18) yielded broader, weaker peaks indicative of greater amorphous content. This behaviour is mechanistically consistent with the network-forming role of SiO₂ and the network-modifying, crystallization-promoting role of the basic oxides and CaF₂ described by Baune, Bonnet, and Liu [27] and Jindal, Chhibber, and Mehta [28].</w:t>
      </w:r>
    </w:p>
    <w:p>
      <w:pPr>
        <w:pStyle w:val="Heading4"/>
      </w:pPr>
      <w:r>
        <w:t xml:space="preserve">5.1.2.3.2. FTIR Interpretation and Network Depolymerization</w:t>
      </w:r>
    </w:p>
    <w:p>
      <w:pPr>
        <w:pStyle w:val="Normal"/>
      </w:pPr>
      <w:r>
        <w:t xml:space="preserve">The FTIR spectra of eight fluxes (Figure 5.3) were interpreted within the framework applied to oxide-based welding fluxes by Kim et al. [5]. All spectra exhibited absorption features attributable to silicate-network vibrations, hydroxyl groups, and metal–oxygen bonds. The dominant band near 1100 cm⁻¹, assigned to asymmetric Si–O–Si stretching, shifted systematically to lower wavenumbers for Flux 14, 19, 21, and 25 (set B; mean 1085 cm⁻¹) relative to Flux 1, 6, 7, and 11 (set A; mean 1105 cm⁻¹). Because the stretching frequency scales with the degree of polymerization, this red shift signifies increased network depolymerization in set B, driven by the higher concentration of non-bridging oxygens introduced by the basic modifiers BaO, MnO, and CaO [5, 27]. The shoulder near 950 cm⁻¹, attributed to non-bridging Si–O stretching, was correspondingly more intense in set B, and the semi-quantitative depolymerization index I₉₅₀/I₁₁₀₀ increased from 0.15–0.25 (set A) to 0.30–0.45 (set B), corroborating the structural trend reported by Kim et al. [5].</w:t>
      </w:r>
    </w:p>
    <w:p>
      <w:pPr>
        <w:pStyle w:val="Heading4"/>
      </w:pPr>
      <w:r>
        <w:t xml:space="preserve">5.1.2.3.3. Correlation with Thermal and Anticipated Slag Behaviour</w:t>
      </w:r>
    </w:p>
    <w:p>
      <w:pPr>
        <w:pStyle w:val="Normal"/>
      </w:pPr>
      <w:r>
        <w:t xml:space="preserve">The FTIR depolymerization index correlated positively with the volumetric specific-heat values of Section 5.1.2.1: set B (higher I₉₅₀/I₁₁₀₀) exhibited 1.05–1.19 MJ/m³·K, whereas set A ranged from 0.90 to 0.98 MJ/m³·K. The correlation is mechanistically defensible, as depolymerized silicate networks possess more vibrational modes and higher configurational entropy than polymerized networks and therefore absorb heat more effectively [18].</w:t>
      </w:r>
    </w:p>
    <w:p>
      <w:pPr>
        <w:pStyle w:val="FigureCaption"/>
      </w:pPr>
      <w:r>
        <w:t xml:space="preserve">Figure 5.3. FTIR spectra of Flux 1, 6, 7, and 11 (set A) and Flux 14, 19, 21, and 25 (set B), showing percent transmittance versus wavenumber (4000–500 cm⁻¹).</w:t>
      </w:r>
    </w:p>
    <w:p>
      <w:pPr>
        <w:pStyle w:val="Normal"/>
      </w:pPr>
      <w:r>
        <w:t xml:space="preserve">The dependence of slag behaviour on network depolymerization is well established [24, 26]: increasing depolymerization lowers both slag viscosity and melting temperature. The present FTIR evidence therefore supports the inference that the set B formulations—particularly Flux 21 and Flux 25—would exhibit greater fluidity and lower viscosity than set A. It must be emphasized, however, that high-temperature viscosity and thermal-analysis measurements were not undertaken, so these remain structurally grounded inferences rather than measured process outcomes [9].</w:t>
      </w:r>
    </w:p>
    <w:p>
      <w:pPr>
        <w:pStyle w:val="Heading4"/>
      </w:pPr>
      <w:r>
        <w:t xml:space="preserve">5.1.2.3.4. Hydroxyl and Carbonate Species</w:t>
      </w:r>
    </w:p>
    <w:p>
      <w:pPr>
        <w:pStyle w:val="Normal"/>
      </w:pPr>
      <w:r>
        <w:t xml:space="preserve">Broad O–H stretching bands centred near 3400 cm⁻¹ were present in every spectrum, their intensities varying between samples (Figure 5.3). These features originate from surface moisture and from structural water in the potassium-silicate binder, both of which can elevate the diffusible-hydrogen content of the weld metal [29]. The stronger hydroxyl absorption of set A implies greater moisture retention and a correspondingly higher susceptibility to hydrogen-induced cracking, in keeping with the flux-chemistry–hydrogen relationships reported by Plessis, Toit, and Pistorius [30] and Sharma and Chhibber [29]. The Si–O–Si bending complexes between 400 and 600 cm⁻¹ provide a further measure of network connectivity and modifier content [5], while the TiO₂ lattice bands varied in intensity with titania content. The additional lattice modes introduced by MnO in the 700–400 cm⁻¹ region, which overlapped the Ti–O and Si–O–Si bands and intensified with MnO content, signalled changes in oxidation state; as Jindal, Chhibber, and Mehta [31] noted, MnO liberates free oxygen ions that modify the silicate network and influence both thermal and hydrogen-dissolution behaviour.</w:t>
      </w:r>
    </w:p>
    <w:p>
      <w:pPr>
        <w:pStyle w:val="Heading4"/>
      </w:pPr>
      <w:r>
        <w:t xml:space="preserve">5.1.2.3.5. Scope and Limitations of the Characterization</w:t>
      </w:r>
    </w:p>
    <w:p>
      <w:pPr>
        <w:pStyle w:val="Normal"/>
      </w:pPr>
      <w:r>
        <w:t xml:space="preserve">The DoE approach adopted here yielded quantitative composition–property relationships for bulk density, thermal conductivity, specific heat, and diffusivity, consistent with the modelling philosophy of Kumar and Chhibber [1] and Kumar et al. [2]. The XRD and FTIR evidence—most notably the I₉₅₀/I₁₁₀₀ ratio and fluorite crystallinity—furnishes a defensible basis for hypothesizing the fluidity and thermal transport of the resulting slags. Slag viscosity, melting temperature, and detachability were not, however, measured directly; consequently, any assertion of improved fluidity, reduced melting temperature, or enhanced arc stability is an inference from thermophysical and structural data rather than a validated process result [9]. Future work should therefore encompass high-temperature viscosity measurement, differential thermal analysis of melting behaviour, slag-detachment-force testing, weld-metal hydrogen analysis [29], and in-situ arc monitoring.</w:t>
      </w:r>
    </w:p>
    <w:p>
      <w:pPr>
        <w:pStyle w:val="Heading1"/>
      </w:pPr>
      <w:r>
        <w:t xml:space="preserve">5.2. Multi-Pass Bead-on-Plate Experimentation for the Twenty-Five Laboratory-Developed Fluxes</w:t>
      </w:r>
    </w:p>
    <w:p>
      <w:pPr>
        <w:pStyle w:val="Heading2"/>
      </w:pPr>
      <w:r>
        <w:t xml:space="preserve">5.2.1. Bead-Profile Analysis</w:t>
      </w:r>
    </w:p>
    <w:p>
      <w:pPr>
        <w:pStyle w:val="Normal"/>
      </w:pPr>
      <w:r>
        <w:t xml:space="preserve">Following multi-pass bead-on-plate deposition, the twenty-five beads were examined visually for morphology, porosity, and slag detachability (Figure 5.4). Flux composition exerted a marked influence on bead geometry, surface quality, and slag detachment, in agreement with the findings of Datta, Bandyopadhyay, and Pal [32] and Paniagua-Mercado, Lopez-Hirata, and Saucedo-Munoz [33]: higher-basicity fluxes produced smoother beads with superior detachability, whereas lower-basicity fluxes yielded rougher surfaces bearing adherent slag, reproducing the basicity–detachability relationship reported by Sharma and Chhibber [6]. Formulations F4, F6, F10, F20, and F22 achieved the most favourable combination of smooth, uniform morphology, negligible porosity, and satisfactory detachability and were therefore retained for further study.</w:t>
      </w:r>
    </w:p>
    <w:p>
      <w:pPr>
        <w:pStyle w:val="FigureCaption"/>
      </w:pPr>
      <w:r>
        <w:t xml:space="preserve">Figure 5.4. Twenty-five multi-pass SAW beads illustrating bead-profile variation across the flux compositions.</w:t>
      </w:r>
    </w:p>
    <w:p>
      <w:pPr>
        <w:pStyle w:val="Heading2"/>
      </w:pPr>
      <w:r>
        <w:t xml:space="preserve">5.2.2. Optimization of Bead Chemistry and Microhardness During Multi-Pass Deposition</w:t>
      </w:r>
    </w:p>
    <w:p>
      <w:pPr>
        <w:pStyle w:val="Heading3"/>
      </w:pPr>
      <w:r>
        <w:t xml:space="preserve">5.2.2.1. Chemical Composition and Microhardness of the Twenty-Five Weld Beads</w:t>
      </w:r>
    </w:p>
    <w:p>
      <w:pPr>
        <w:pStyle w:val="Normal"/>
      </w:pPr>
      <w:r>
        <w:t xml:space="preserve">The composition of the twenty-five multi-pass weld beads was determined by atomic absorption spectroscopy (Table 5.1). Weld-metal carbon ranged from 0.032 to 0.050% (base metal, 0.058%), microhardness from 175 to 226 HV, and carbon equivalent (CE) from 0.19 to 0.31—ranges consistent with the element-transfer and microhardness behaviour reported for formulated SAW and SMAW fluxes by Kumar and Chhibber [9, 17] and Kanjilal, Pal, and Majumdar [34]. The optimized flux F4 produced a fine acicular-ferrite microstructure with 220 HV and CE 0.29 at a low weld-metal titanium level (9–30 ppm), whereas F22 yielded the lowest values (175 HV, CE 0.21). The formation of acicular ferrite at such low titanium content accords with the nucleation behaviour documented by Beidokhti et al. [25] and Kanjilal, Majumdar, and Pal [35].</w:t>
      </w:r>
    </w:p>
    <w:p>
      <w:pPr>
        <w:pStyle w:val="TableCaption"/>
      </w:pPr>
      <w:r>
        <w:t xml:space="preserve">Table 5.1</w:t>
      </w:r>
    </w:p>
    <w:p>
      <w:pPr>
        <w:pStyle w:val="Normal"/>
      </w:pPr>
      <w:r>
        <w:rPr>
          <w:i/>
        </w:rPr>
        <w:t xml:space="preserve">Chemical and microhardness analysis of the multi-pass beads (selected representative fluxes)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shd w:val="clear" w:color="auto" w:fill="D9E2F3"/>
          </w:tcPr>
          <w:p>
            <w:pPr>
              <w:jc w:val="center"/>
            </w:pPr>
            <w:r>
              <w:rPr>
                <w:b/>
              </w:rPr>
              <w:t xml:space="preserve">Flux</w:t>
            </w:r>
          </w:p>
        </w:tc>
        <w:tc>
          <w:tcPr>
            <w:shd w:val="clear" w:color="auto" w:fill="D9E2F3"/>
          </w:tcPr>
          <w:p>
            <w:pPr>
              <w:jc w:val="center"/>
            </w:pPr>
            <w:r>
              <w:rPr>
                <w:b/>
              </w:rPr>
              <w:t xml:space="preserve">C</w:t>
            </w:r>
          </w:p>
        </w:tc>
        <w:tc>
          <w:tcPr>
            <w:shd w:val="clear" w:color="auto" w:fill="D9E2F3"/>
          </w:tcPr>
          <w:p>
            <w:pPr>
              <w:jc w:val="center"/>
            </w:pPr>
            <w:r>
              <w:rPr>
                <w:b/>
              </w:rPr>
              <w:t xml:space="preserve">Si</w:t>
            </w:r>
          </w:p>
        </w:tc>
        <w:tc>
          <w:tcPr>
            <w:shd w:val="clear" w:color="auto" w:fill="D9E2F3"/>
          </w:tcPr>
          <w:p>
            <w:pPr>
              <w:jc w:val="center"/>
            </w:pPr>
            <w:r>
              <w:rPr>
                <w:b/>
              </w:rPr>
              <w:t xml:space="preserve">Mn</w:t>
            </w:r>
          </w:p>
        </w:tc>
        <w:tc>
          <w:tcPr>
            <w:shd w:val="clear" w:color="auto" w:fill="D9E2F3"/>
          </w:tcPr>
          <w:p>
            <w:pPr>
              <w:jc w:val="center"/>
            </w:pPr>
            <w:r>
              <w:rPr>
                <w:b/>
              </w:rPr>
              <w:t xml:space="preserve">Mo</w:t>
            </w:r>
          </w:p>
        </w:tc>
        <w:tc>
          <w:tcPr>
            <w:shd w:val="clear" w:color="auto" w:fill="D9E2F3"/>
          </w:tcPr>
          <w:p>
            <w:pPr>
              <w:jc w:val="center"/>
            </w:pPr>
            <w:r>
              <w:rPr>
                <w:b/>
              </w:rPr>
              <w:t xml:space="preserve">Ti</w:t>
            </w:r>
          </w:p>
        </w:tc>
        <w:tc>
          <w:tcPr>
            <w:shd w:val="clear" w:color="auto" w:fill="D9E2F3"/>
          </w:tcPr>
          <w:p>
            <w:pPr>
              <w:jc w:val="center"/>
            </w:pPr>
            <w:r>
              <w:rPr>
                <w:b/>
              </w:rPr>
              <w:t xml:space="preserve">MH (HV)</w:t>
            </w:r>
          </w:p>
        </w:tc>
        <w:tc>
          <w:tcPr>
            <w:shd w:val="clear" w:color="auto" w:fill="D9E2F3"/>
          </w:tcPr>
          <w:p>
            <w:pPr>
              <w:jc w:val="center"/>
            </w:pPr>
            <w:r>
              <w:rPr>
                <w:b/>
              </w:rPr>
              <w:t xml:space="preserve">CE</w:t>
            </w:r>
          </w:p>
        </w:tc>
      </w:tr>
      <w:tr>
        <w:tc>
          <w:p>
            <w:pPr>
              <w:jc w:val="center"/>
              <w:spacing w:after="40"/>
            </w:pPr>
            <w:r>
              <w:t xml:space="preserve">F4</w:t>
            </w:r>
          </w:p>
        </w:tc>
        <w:tc>
          <w:p>
            <w:pPr>
              <w:jc w:val="center"/>
              <w:spacing w:after="40"/>
            </w:pPr>
            <w:r>
              <w:t xml:space="preserve">0.0401</w:t>
            </w:r>
          </w:p>
        </w:tc>
        <w:tc>
          <w:p>
            <w:pPr>
              <w:jc w:val="center"/>
              <w:spacing w:after="40"/>
            </w:pPr>
            <w:r>
              <w:t xml:space="preserve">0.1839</w:t>
            </w:r>
          </w:p>
        </w:tc>
        <w:tc>
          <w:p>
            <w:pPr>
              <w:jc w:val="center"/>
              <w:spacing w:after="40"/>
            </w:pPr>
            <w:r>
              <w:t xml:space="preserve">0.5241</w:t>
            </w:r>
          </w:p>
        </w:tc>
        <w:tc>
          <w:p>
            <w:pPr>
              <w:jc w:val="center"/>
              <w:spacing w:after="40"/>
            </w:pPr>
            <w:r>
              <w:t xml:space="preserve">0.2711</w:t>
            </w:r>
          </w:p>
        </w:tc>
        <w:tc>
          <w:p>
            <w:pPr>
              <w:jc w:val="center"/>
              <w:spacing w:after="40"/>
            </w:pPr>
            <w:r>
              <w:t xml:space="preserve">0.0021</w:t>
            </w:r>
          </w:p>
        </w:tc>
        <w:tc>
          <w:p>
            <w:pPr>
              <w:jc w:val="center"/>
              <w:spacing w:after="40"/>
            </w:pPr>
            <w:r>
              <w:t xml:space="preserve">220</w:t>
            </w:r>
          </w:p>
        </w:tc>
        <w:tc>
          <w:p>
            <w:pPr>
              <w:jc w:val="center"/>
              <w:spacing w:after="40"/>
            </w:pPr>
            <w:r>
              <w:t xml:space="preserve">0.29</w:t>
            </w:r>
          </w:p>
        </w:tc>
      </w:tr>
      <w:tr>
        <w:tc>
          <w:p>
            <w:pPr>
              <w:jc w:val="center"/>
              <w:spacing w:after="40"/>
            </w:pPr>
            <w:r>
              <w:t xml:space="preserve">F6</w:t>
            </w:r>
          </w:p>
        </w:tc>
        <w:tc>
          <w:p>
            <w:pPr>
              <w:jc w:val="center"/>
              <w:spacing w:after="40"/>
            </w:pPr>
            <w:r>
              <w:t xml:space="preserve">0.0503</w:t>
            </w:r>
          </w:p>
        </w:tc>
        <w:tc>
          <w:p>
            <w:pPr>
              <w:jc w:val="center"/>
              <w:spacing w:after="40"/>
            </w:pPr>
            <w:r>
              <w:t xml:space="preserve">0.1745</w:t>
            </w:r>
          </w:p>
        </w:tc>
        <w:tc>
          <w:p>
            <w:pPr>
              <w:jc w:val="center"/>
              <w:spacing w:after="40"/>
            </w:pPr>
            <w:r>
              <w:t xml:space="preserve">0.6641</w:t>
            </w:r>
          </w:p>
        </w:tc>
        <w:tc>
          <w:p>
            <w:pPr>
              <w:jc w:val="center"/>
              <w:spacing w:after="40"/>
            </w:pPr>
            <w:r>
              <w:t xml:space="preserve">0.2456</w:t>
            </w:r>
          </w:p>
        </w:tc>
        <w:tc>
          <w:p>
            <w:pPr>
              <w:jc w:val="center"/>
              <w:spacing w:after="40"/>
            </w:pPr>
            <w:r>
              <w:t xml:space="preserve">0.0030</w:t>
            </w:r>
          </w:p>
        </w:tc>
        <w:tc>
          <w:p>
            <w:pPr>
              <w:jc w:val="center"/>
              <w:spacing w:after="40"/>
            </w:pPr>
            <w:r>
              <w:t xml:space="preserve">178</w:t>
            </w:r>
          </w:p>
        </w:tc>
        <w:tc>
          <w:p>
            <w:pPr>
              <w:jc w:val="center"/>
              <w:spacing w:after="40"/>
            </w:pPr>
            <w:r>
              <w:t xml:space="preserve">0.19</w:t>
            </w:r>
          </w:p>
        </w:tc>
      </w:tr>
      <w:tr>
        <w:tc>
          <w:p>
            <w:pPr>
              <w:jc w:val="center"/>
              <w:spacing w:after="40"/>
            </w:pPr>
            <w:r>
              <w:t xml:space="preserve">F10</w:t>
            </w:r>
          </w:p>
        </w:tc>
        <w:tc>
          <w:p>
            <w:pPr>
              <w:jc w:val="center"/>
              <w:spacing w:after="40"/>
            </w:pPr>
            <w:r>
              <w:t xml:space="preserve">0.0445</w:t>
            </w:r>
          </w:p>
        </w:tc>
        <w:tc>
          <w:p>
            <w:pPr>
              <w:jc w:val="center"/>
              <w:spacing w:after="40"/>
            </w:pPr>
            <w:r>
              <w:t xml:space="preserve">0.1692</w:t>
            </w:r>
          </w:p>
        </w:tc>
        <w:tc>
          <w:p>
            <w:pPr>
              <w:jc w:val="center"/>
              <w:spacing w:after="40"/>
            </w:pPr>
            <w:r>
              <w:t xml:space="preserve">0.7556</w:t>
            </w:r>
          </w:p>
        </w:tc>
        <w:tc>
          <w:p>
            <w:pPr>
              <w:jc w:val="center"/>
              <w:spacing w:after="40"/>
            </w:pPr>
            <w:r>
              <w:t xml:space="preserve">0.2970</w:t>
            </w:r>
          </w:p>
        </w:tc>
        <w:tc>
          <w:p>
            <w:pPr>
              <w:jc w:val="center"/>
              <w:spacing w:after="40"/>
            </w:pPr>
            <w:r>
              <w:t xml:space="preserve">0.0012</w:t>
            </w:r>
          </w:p>
        </w:tc>
        <w:tc>
          <w:p>
            <w:pPr>
              <w:jc w:val="center"/>
              <w:spacing w:after="40"/>
            </w:pPr>
            <w:r>
              <w:t xml:space="preserve">215</w:t>
            </w:r>
          </w:p>
        </w:tc>
        <w:tc>
          <w:p>
            <w:pPr>
              <w:jc w:val="center"/>
              <w:spacing w:after="40"/>
            </w:pPr>
            <w:r>
              <w:t xml:space="preserve">0.29</w:t>
            </w:r>
          </w:p>
        </w:tc>
      </w:tr>
      <w:tr>
        <w:tc>
          <w:p>
            <w:pPr>
              <w:jc w:val="center"/>
              <w:spacing w:after="40"/>
            </w:pPr>
            <w:r>
              <w:t xml:space="preserve">F15</w:t>
            </w:r>
          </w:p>
        </w:tc>
        <w:tc>
          <w:p>
            <w:pPr>
              <w:jc w:val="center"/>
              <w:spacing w:after="40"/>
            </w:pPr>
            <w:r>
              <w:t xml:space="preserve">0.0462</w:t>
            </w:r>
          </w:p>
        </w:tc>
        <w:tc>
          <w:p>
            <w:pPr>
              <w:jc w:val="center"/>
              <w:spacing w:after="40"/>
            </w:pPr>
            <w:r>
              <w:t xml:space="preserve">0.1362</w:t>
            </w:r>
          </w:p>
        </w:tc>
        <w:tc>
          <w:p>
            <w:pPr>
              <w:jc w:val="center"/>
              <w:spacing w:after="40"/>
            </w:pPr>
            <w:r>
              <w:t xml:space="preserve">0.6887</w:t>
            </w:r>
          </w:p>
        </w:tc>
        <w:tc>
          <w:p>
            <w:pPr>
              <w:jc w:val="center"/>
              <w:spacing w:after="40"/>
            </w:pPr>
            <w:r>
              <w:t xml:space="preserve">0.2182</w:t>
            </w:r>
          </w:p>
        </w:tc>
        <w:tc>
          <w:p>
            <w:pPr>
              <w:jc w:val="center"/>
              <w:spacing w:after="40"/>
            </w:pPr>
            <w:r>
              <w:t xml:space="preserve">0.0026</w:t>
            </w:r>
          </w:p>
        </w:tc>
        <w:tc>
          <w:p>
            <w:pPr>
              <w:jc w:val="center"/>
              <w:spacing w:after="40"/>
            </w:pPr>
            <w:r>
              <w:t xml:space="preserve">226</w:t>
            </w:r>
          </w:p>
        </w:tc>
        <w:tc>
          <w:p>
            <w:pPr>
              <w:jc w:val="center"/>
              <w:spacing w:after="40"/>
            </w:pPr>
            <w:r>
              <w:t xml:space="preserve">0.31</w:t>
            </w:r>
          </w:p>
        </w:tc>
      </w:tr>
      <w:tr>
        <w:tc>
          <w:p>
            <w:pPr>
              <w:jc w:val="center"/>
              <w:spacing w:after="40"/>
            </w:pPr>
            <w:r>
              <w:t xml:space="preserve">F20</w:t>
            </w:r>
          </w:p>
        </w:tc>
        <w:tc>
          <w:p>
            <w:pPr>
              <w:jc w:val="center"/>
              <w:spacing w:after="40"/>
            </w:pPr>
            <w:r>
              <w:t xml:space="preserve">0.0471</w:t>
            </w:r>
          </w:p>
        </w:tc>
        <w:tc>
          <w:p>
            <w:pPr>
              <w:jc w:val="center"/>
              <w:spacing w:after="40"/>
            </w:pPr>
            <w:r>
              <w:t xml:space="preserve">0.1480</w:t>
            </w:r>
          </w:p>
        </w:tc>
        <w:tc>
          <w:p>
            <w:pPr>
              <w:jc w:val="center"/>
              <w:spacing w:after="40"/>
            </w:pPr>
            <w:r>
              <w:t xml:space="preserve">0.7590</w:t>
            </w:r>
          </w:p>
        </w:tc>
        <w:tc>
          <w:p>
            <w:pPr>
              <w:jc w:val="center"/>
              <w:spacing w:after="40"/>
            </w:pPr>
            <w:r>
              <w:t xml:space="preserve">0.2610</w:t>
            </w:r>
          </w:p>
        </w:tc>
        <w:tc>
          <w:p>
            <w:pPr>
              <w:jc w:val="center"/>
              <w:spacing w:after="40"/>
            </w:pPr>
            <w:r>
              <w:t xml:space="preserve">0.0024</w:t>
            </w:r>
          </w:p>
        </w:tc>
        <w:tc>
          <w:p>
            <w:pPr>
              <w:jc w:val="center"/>
              <w:spacing w:after="40"/>
            </w:pPr>
            <w:r>
              <w:t xml:space="preserve">184</w:t>
            </w:r>
          </w:p>
        </w:tc>
        <w:tc>
          <w:p>
            <w:pPr>
              <w:jc w:val="center"/>
              <w:spacing w:after="40"/>
            </w:pPr>
            <w:r>
              <w:t xml:space="preserve">0.22</w:t>
            </w:r>
          </w:p>
        </w:tc>
      </w:tr>
      <w:tr>
        <w:tc>
          <w:p>
            <w:pPr>
              <w:jc w:val="center"/>
              <w:spacing w:after="40"/>
            </w:pPr>
            <w:r>
              <w:t xml:space="preserve">F22</w:t>
            </w:r>
          </w:p>
        </w:tc>
        <w:tc>
          <w:p>
            <w:pPr>
              <w:jc w:val="center"/>
              <w:spacing w:after="40"/>
            </w:pPr>
            <w:r>
              <w:t xml:space="preserve">0.0476</w:t>
            </w:r>
          </w:p>
        </w:tc>
        <w:tc>
          <w:p>
            <w:pPr>
              <w:jc w:val="center"/>
              <w:spacing w:after="40"/>
            </w:pPr>
            <w:r>
              <w:t xml:space="preserve">0.1231</w:t>
            </w:r>
          </w:p>
        </w:tc>
        <w:tc>
          <w:p>
            <w:pPr>
              <w:jc w:val="center"/>
              <w:spacing w:after="40"/>
            </w:pPr>
            <w:r>
              <w:t xml:space="preserve">0.6487</w:t>
            </w:r>
          </w:p>
        </w:tc>
        <w:tc>
          <w:p>
            <w:pPr>
              <w:jc w:val="center"/>
              <w:spacing w:after="40"/>
            </w:pPr>
            <w:r>
              <w:t xml:space="preserve">0.2125</w:t>
            </w:r>
          </w:p>
        </w:tc>
        <w:tc>
          <w:p>
            <w:pPr>
              <w:jc w:val="center"/>
              <w:spacing w:after="40"/>
            </w:pPr>
            <w:r>
              <w:t xml:space="preserve">0.0025</w:t>
            </w:r>
          </w:p>
        </w:tc>
        <w:tc>
          <w:p>
            <w:pPr>
              <w:jc w:val="center"/>
              <w:spacing w:after="40"/>
            </w:pPr>
            <w:r>
              <w:t xml:space="preserve">175</w:t>
            </w:r>
          </w:p>
        </w:tc>
        <w:tc>
          <w:p>
            <w:pPr>
              <w:jc w:val="center"/>
              <w:spacing w:after="40"/>
            </w:pPr>
            <w:r>
              <w:t xml:space="preserve">0.21</w:t>
            </w:r>
          </w:p>
        </w:tc>
      </w:tr>
    </w:tbl>
    <w:p/>
    <w:p>
      <w:pPr>
        <w:pStyle w:val="Heading4"/>
      </w:pPr>
      <w:r>
        <w:t xml:space="preserve">5.2.2.1.1. Regression Modelling of Weld-Metal Chemistry and Microhardness</w:t>
      </w:r>
    </w:p>
    <w:p>
      <w:pPr>
        <w:pStyle w:val="Normal"/>
      </w:pPr>
      <w:r>
        <w:t xml:space="preserve">Least-squares regression models were derived for each weld-metal constituent using the mixture-design methodology of Cornell [36] and Adeyeye and Oyawale [37]. Second-order and special-cubic models incorporating linear, binary, and ternary interaction terms were employed to capture the individual and synergistic effects of TiO₂, SiO₂, CaF₂, BaO, CaO, and MnO, in keeping with the response-surface framework of Myers, Montgomery, and Anderson-Cook [38]. Because mixture components are subject to the summation constraint Σtᵢ = 85 wt% (Equation 5.1), where tᵢ denotes the weight fraction of each oxide, the variables are not independent; Scheffé canonical mixture models were therefore adopted, in which the intercept is absorbed into the linear terms [36]. The general model forms applied were as follows:</w:t>
      </w:r>
    </w:p>
    <w:p>
      <w:pPr>
        <w:pStyle w:val="ListBullet"/>
      </w:pPr>
      <w:r>
        <w:t xml:space="preserve">•  Linear: ŷ = Σβᵢtᵢ</w:t>
      </w:r>
    </w:p>
    <w:p>
      <w:pPr>
        <w:pStyle w:val="ListBullet"/>
      </w:pPr>
      <w:r>
        <w:t xml:space="preserve">•  Quadratic: ŷ = Σβᵢtᵢ + Σβᵢⱼtᵢtⱼ</w:t>
      </w:r>
    </w:p>
    <w:p>
      <w:pPr>
        <w:pStyle w:val="ListBullet"/>
      </w:pPr>
      <w:r>
        <w:t xml:space="preserve">•  Special cubic: ŷ = Σβᵢtᵢ + Σβᵢⱼtᵢtⱼ + Σβᵢⱼₖtᵢtⱼtₖ</w:t>
      </w:r>
    </w:p>
    <w:p>
      <w:pPr>
        <w:pStyle w:val="Normal"/>
      </w:pPr>
      <w:r>
        <w:t xml:space="preserve">The coefficient vector was obtained as β = (XᵀX)⁻¹Xᵀy (Equation 5.2) from the design matrix X and the response vector y [39]. The resulting equations permit direct prediction of weld-metal composition, microhardness, and carbon equivalent from flux composition, obviating trial-and-error experimentation [40].</w:t>
      </w:r>
    </w:p>
    <w:p>
      <w:pPr>
        <w:pStyle w:val="Equation"/>
      </w:pPr>
      <w:r>
        <w:rPr>
          <w:rFonts w:ascii="Consolas" w:hAnsi="Consolas" w:cs="Consolas"/>
          <w:sz w:val="20"/>
          <w:szCs w:val="20"/>
        </w:rPr>
        <w:t xml:space="preserve">C = 0.0050540·TiO₂ + 0.016457·SiO₂ + 0.00928578·CaF₂ + 0.15137·BaO</w:t>
        <w:br/>
        <w:t xml:space="preserve">    − 0.000352356(BaO·SiO₂) − 0.000115676(MnO·CaF₂) − 0.00216130(CaO·MnO)</w:t>
        <w:br/>
        <w:t xml:space="preserve">    − 0.000524373(SiO₂·TiO₂) − 0.00486033(SiO₂·CaO) − 0.00316605(CaF₂·MnO)</w:t>
        <w:br/>
        <w:t xml:space="preserve">    − 0.00000805615(BaO·SiO₂·CaF₂) + 0.0000733020(TiO₂·SiO₂·MnO)</w:t>
        <w:br/>
        <w:t xml:space="preserve">    + 0.0000310802(MnO·CaF₂·CaO) + 0.0000629696(CaF₂·MnO·CaO)               (9)</w:t>
      </w:r>
    </w:p>
    <w:p>
      <w:pPr>
        <w:pStyle w:val="Equation"/>
      </w:pPr>
      <w:r>
        <w:rPr>
          <w:rFonts w:ascii="Consolas" w:hAnsi="Consolas" w:cs="Consolas"/>
          <w:sz w:val="20"/>
          <w:szCs w:val="20"/>
        </w:rPr>
        <w:t xml:space="preserve">Si = −0.044149·TiO₂ − 0.023404·SiO₂ − 0.00965500·CaF₂ − 0.15227·MnO</w:t>
        <w:br/>
        <w:t xml:space="preserve">     + 0.000251194(TiO₂·SiO₂) + 0.000447053(MnO·CaF₂) + 0.00397103(CaO·BaO)</w:t>
        <w:br/>
        <w:t xml:space="preserve">     + 0.000555893(BaO·CaF₂) + 0.00755423(SiO₂·BaO) + 0.00320824(CaF₂·SiO₂)   (10)</w:t>
      </w:r>
    </w:p>
    <w:p>
      <w:pPr>
        <w:pStyle w:val="Equation"/>
      </w:pPr>
      <w:r>
        <w:rPr>
          <w:rFonts w:ascii="Consolas" w:hAnsi="Consolas" w:cs="Consolas"/>
          <w:sz w:val="20"/>
          <w:szCs w:val="20"/>
        </w:rPr>
        <w:t xml:space="preserve">Mn = 0.32448·CaO + 0.23349·SiO₂ + 0.34037·CaF₂ + 3.11349·BaO</w:t>
        <w:br/>
        <w:t xml:space="preserve">     − 0.00287518(CaO·SiO₂) − 0.024682(BaO·CaF₂) − 0.025656(CaO·TiO₂)</w:t>
        <w:br/>
        <w:t xml:space="preserve">     − 0.0234809(SiO₂·CaF₂) − 0.035868(SiO₂·BaO) − 0.066558(CaF₂·TiO₂)</w:t>
        <w:br/>
        <w:t xml:space="preserve">     − 0.00235843(CaO·SiO₂·CaF₂) + 0.000434188(CaO·SiO₂·MnO)</w:t>
        <w:br/>
        <w:t xml:space="preserve">     + 0.00346205(CaO·CaF₂·BaO) + 0.00246136(SiO₂·CaF₂·MnO)                   (11)</w:t>
      </w:r>
    </w:p>
    <w:p>
      <w:pPr>
        <w:pStyle w:val="Equation"/>
      </w:pPr>
      <w:r>
        <w:rPr>
          <w:rFonts w:ascii="Consolas" w:hAnsi="Consolas" w:cs="Consolas"/>
          <w:sz w:val="20"/>
          <w:szCs w:val="20"/>
        </w:rPr>
        <w:t xml:space="preserve">P = 0.00157943·CaO + 0.00423221·SiO₂ + 0.00280411·CaF₂ − 0.025027·BaO</w:t>
        <w:br/>
        <w:t xml:space="preserve">    − 0.000154113(CaO·SiO₂) − 0.000143295(CaO·CaF₂) + 0.000381462(CaO·BaO)</w:t>
        <w:br/>
        <w:t xml:space="preserve">    − 0.000273396(MnO·CaF₂) + 0.000406569(SiO₂·TiO₂) + 0.000532063(CaF₂·TiO₂)</w:t>
        <w:br/>
        <w:t xml:space="preserve">    + 0.00000902175(CaO·SiO₂·CaF₂) − 0.00000323337(CaO·SiO₂·BaO)</w:t>
        <w:br/>
        <w:t xml:space="preserve">    − 0.00000311754(CaO·CaF₂·MnO) − 0.00000459141(SiO₂·CaF₂·TiO₂)             (12)</w:t>
      </w:r>
    </w:p>
    <w:p>
      <w:pPr>
        <w:pStyle w:val="Equation"/>
      </w:pPr>
      <w:r>
        <w:rPr>
          <w:rFonts w:ascii="Consolas" w:hAnsi="Consolas" w:cs="Consolas"/>
          <w:sz w:val="20"/>
          <w:szCs w:val="20"/>
        </w:rPr>
        <w:t xml:space="preserve">S = −1.21323E-003·CaO − 1.23533E-003·SiO₂ − 1.01455E-003·CaF₂ − 0.024334·BaO</w:t>
        <w:br/>
        <w:t xml:space="preserve">    + 6.60234E-005·CaO·SiO₂ + 3.24165E-003·MnO·CaF₂ + 4.04521E-003·TiO₂·MnO</w:t>
        <w:br/>
        <w:t xml:space="preserve">    + 3.45005E-003·SiO₂·TiO₂ + 2.34551E-003·SiO₂·MnO + 1.32456E-003·CaF₂·TiO₂ (13)</w:t>
      </w:r>
    </w:p>
    <w:p>
      <w:pPr>
        <w:pStyle w:val="Equation"/>
      </w:pPr>
      <w:r>
        <w:rPr>
          <w:rFonts w:ascii="Consolas" w:hAnsi="Consolas" w:cs="Consolas"/>
          <w:sz w:val="20"/>
          <w:szCs w:val="20"/>
        </w:rPr>
        <w:t xml:space="preserve">Mo = 0.023513·CaO + 0.036105·SiO₂ − 0.23425·CaF₂ − 0.34562·BaO</w:t>
        <w:br/>
        <w:t xml:space="preserve">     + 4.54704E-003·TiO₂·CaF₂ + 0.020513·CaO·BaO + 0.025076·CaF₂·MnO</w:t>
        <w:br/>
        <w:t xml:space="preserve">     − 3.13439E-003·SiO₂·CaF₂·MnO·BaO                                        (14)</w:t>
      </w:r>
    </w:p>
    <w:p>
      <w:pPr>
        <w:pStyle w:val="Equation"/>
      </w:pPr>
      <w:r>
        <w:rPr>
          <w:rFonts w:ascii="Consolas" w:hAnsi="Consolas" w:cs="Consolas"/>
          <w:sz w:val="20"/>
          <w:szCs w:val="20"/>
        </w:rPr>
        <w:t xml:space="preserve">Ni = −0.020137·BaO − 0.023459·SiO₂ − 0.068326·CaF₂ + 0.35525·CaO</w:t>
        <w:br/>
        <w:t xml:space="preserve">     + 7.18723E-004·TiO₂·SiO₂ + 3.74142E-003·BaO·CaF₂ − 4.34451E-003·MnO·BaO</w:t>
        <w:br/>
        <w:t xml:space="preserve">     + 3.22424E-003·SiO₂·BaO − 0.030508·TiO₂·MnO − 0.34550E-003·MnO·SiO₂·CaF₂</w:t>
        <w:br/>
        <w:t xml:space="preserve">     + 3.45436E-003·BaO·SiO₂·CaF₂                                            (15)</w:t>
      </w:r>
    </w:p>
    <w:p>
      <w:pPr>
        <w:pStyle w:val="Equation"/>
      </w:pPr>
      <w:r>
        <w:rPr>
          <w:rFonts w:ascii="Consolas" w:hAnsi="Consolas" w:cs="Consolas"/>
          <w:sz w:val="20"/>
          <w:szCs w:val="20"/>
        </w:rPr>
        <w:t xml:space="preserve">Cr = 5.42123E-003·BaO + 4.34531E-003·SiO₂ + 0.064260·CaF₂ + 5.46136E-003·MnO</w:t>
        <w:br/>
        <w:t xml:space="preserve">     − 0.34213E-003·BaO·SiO₂ − 0.23161E-003·CaO·CaF₂ + 3.45563E-003·SiO₂·TiO₂</w:t>
        <w:br/>
        <w:t xml:space="preserve">     − 0.46207E-003·TiO₂·CaF₂ + 7.45640E-003·BaO·MnO − 4.35612E-003·CaF₂·CaO</w:t>
        <w:br/>
        <w:t xml:space="preserve">     + 3.66203E-003·CaO·SiO₂·CaF₂ − 3.41314E-003·BaO·SiO₂·MnO</w:t>
        <w:br/>
        <w:t xml:space="preserve">     + 4.25451E-003·SiO₂·CaF₂·TiO₂                                           (16)</w:t>
      </w:r>
    </w:p>
    <w:p>
      <w:pPr>
        <w:pStyle w:val="Equation"/>
      </w:pPr>
      <w:r>
        <w:rPr>
          <w:rFonts w:ascii="Consolas" w:hAnsi="Consolas" w:cs="Consolas"/>
          <w:sz w:val="20"/>
          <w:szCs w:val="20"/>
        </w:rPr>
        <w:t xml:space="preserve">MH = −0.014637·CaO − 0.014439·SiO₂ − 0.091126·CaF₂ + 0.63325·CaO</w:t>
        <w:br/>
        <w:t xml:space="preserve">     + 8.04223E-004·TiO₂·SiO₂ + 4.61622E-003·BaO·CaF₂ − 5.41151E-003·MnO·BaO</w:t>
        <w:br/>
        <w:t xml:space="preserve">     + 4.11434E-003·SiO₂·BaO − 0.024208·TiO₂·MnO − 0.13350E-003·MnO·SiO₂·CaF₂</w:t>
        <w:br/>
        <w:t xml:space="preserve">     + 1.62536E-003·BaO·SiO₂·CaF₂                                            (17)</w:t>
      </w:r>
    </w:p>
    <w:p>
      <w:pPr>
        <w:pStyle w:val="Equation"/>
      </w:pPr>
      <w:r>
        <w:rPr>
          <w:rFonts w:ascii="Consolas" w:hAnsi="Consolas" w:cs="Consolas"/>
          <w:sz w:val="20"/>
          <w:szCs w:val="20"/>
        </w:rPr>
        <w:t xml:space="preserve">CE = 0.133313·CaO + 0.024405·SiO₂ − 0.51315·CaF₂ − 0.41142·BaO</w:t>
        <w:br/>
        <w:t xml:space="preserve">     + 6.21604E-003·TiO₂·CaF₂ + 0.051673·CaO·BaO + 0.062146·CaF₂·MnO</w:t>
        <w:br/>
        <w:t xml:space="preserve">     − 5.21649E-003·SiO₂·CaF₂·MnO·BaO                                        (18)</w:t>
      </w:r>
    </w:p>
    <w:p>
      <w:pPr>
        <w:pStyle w:val="Heading4"/>
      </w:pPr>
      <w:r>
        <w:t xml:space="preserve">5.2.2.1.2. Analysis of Variance</w:t>
      </w:r>
    </w:p>
    <w:p>
      <w:pPr>
        <w:pStyle w:val="Normal"/>
      </w:pPr>
      <w:r>
        <w:t xml:space="preserve">The adequacy of the models was evaluated by analysis of variance (ANOVA) at the 95% confidence level, with linear, quadratic, and cubic terms assessed in turn (Table 5.2), following the validation methodology of Montgomery [39] and Myers et al. [38].</w:t>
      </w:r>
    </w:p>
    <w:p>
      <w:pPr>
        <w:pStyle w:val="TableCaption"/>
      </w:pPr>
      <w:r>
        <w:t xml:space="preserve">Table 5.2</w:t>
      </w:r>
    </w:p>
    <w:p>
      <w:pPr>
        <w:pStyle w:val="Normal"/>
      </w:pPr>
      <w:r>
        <w:rPr>
          <w:i/>
        </w:rPr>
        <w:t xml:space="preserve">Summary of ANOVA results for the regression models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shd w:val="clear" w:color="auto" w:fill="D9E2F3"/>
          </w:tcPr>
          <w:p>
            <w:pPr>
              <w:jc w:val="center"/>
            </w:pPr>
            <w:r>
              <w:rPr>
                <w:b/>
              </w:rPr>
              <w:t xml:space="preserve">Property</w:t>
            </w:r>
          </w:p>
        </w:tc>
        <w:tc>
          <w:tcPr>
            <w:shd w:val="clear" w:color="auto" w:fill="D9E2F3"/>
          </w:tcPr>
          <w:p>
            <w:pPr>
              <w:jc w:val="center"/>
            </w:pPr>
            <w:r>
              <w:rPr>
                <w:b/>
              </w:rPr>
              <w:t xml:space="preserve">Model R²</w:t>
            </w:r>
          </w:p>
        </w:tc>
        <w:tc>
          <w:tcPr>
            <w:shd w:val="clear" w:color="auto" w:fill="D9E2F3"/>
          </w:tcPr>
          <w:p>
            <w:pPr>
              <w:jc w:val="center"/>
            </w:pPr>
            <w:r>
              <w:rPr>
                <w:b/>
              </w:rPr>
              <w:t xml:space="preserve">F-value</w:t>
            </w:r>
          </w:p>
        </w:tc>
        <w:tc>
          <w:tcPr>
            <w:shd w:val="clear" w:color="auto" w:fill="D9E2F3"/>
          </w:tcPr>
          <w:p>
            <w:pPr>
              <w:jc w:val="center"/>
            </w:pPr>
            <w:r>
              <w:rPr>
                <w:b/>
              </w:rPr>
              <w:t xml:space="preserve">p-value</w:t>
            </w:r>
          </w:p>
        </w:tc>
        <w:tc>
          <w:tcPr>
            <w:shd w:val="clear" w:color="auto" w:fill="D9E2F3"/>
          </w:tcPr>
          <w:p>
            <w:pPr>
              <w:jc w:val="center"/>
            </w:pPr>
            <w:r>
              <w:rPr>
                <w:b/>
              </w:rPr>
              <w:t xml:space="preserve">Significant</w:t>
            </w:r>
          </w:p>
        </w:tc>
      </w:tr>
      <w:tr>
        <w:tc>
          <w:p>
            <w:pPr>
              <w:jc w:val="center"/>
              <w:spacing w:after="40"/>
            </w:pPr>
            <w:r>
              <w:t xml:space="preserve">Carbon (C)</w:t>
            </w:r>
          </w:p>
        </w:tc>
        <w:tc>
          <w:p>
            <w:pPr>
              <w:jc w:val="center"/>
              <w:spacing w:after="40"/>
            </w:pPr>
            <w:r>
              <w:t xml:space="preserve">0.88</w:t>
            </w:r>
          </w:p>
        </w:tc>
        <w:tc>
          <w:p>
            <w:pPr>
              <w:jc w:val="center"/>
              <w:spacing w:after="40"/>
            </w:pPr>
            <w:r>
              <w:t xml:space="preserve">2.02</w:t>
            </w:r>
          </w:p>
        </w:tc>
        <w:tc>
          <w:p>
            <w:pPr>
              <w:jc w:val="center"/>
              <w:spacing w:after="40"/>
            </w:pPr>
            <w:r>
              <w:t xml:space="preserve">0.0318</w:t>
            </w:r>
          </w:p>
        </w:tc>
        <w:tc>
          <w:p>
            <w:pPr>
              <w:jc w:val="center"/>
              <w:spacing w:after="40"/>
            </w:pPr>
            <w:r>
              <w:t xml:space="preserve">Yes</w:t>
            </w:r>
          </w:p>
        </w:tc>
      </w:tr>
      <w:tr>
        <w:tc>
          <w:p>
            <w:pPr>
              <w:jc w:val="center"/>
              <w:spacing w:after="40"/>
            </w:pPr>
            <w:r>
              <w:t xml:space="preserve">Silicon (Si)</w:t>
            </w:r>
          </w:p>
        </w:tc>
        <w:tc>
          <w:p>
            <w:pPr>
              <w:jc w:val="center"/>
              <w:spacing w:after="40"/>
            </w:pPr>
            <w:r>
              <w:t xml:space="preserve">0.81</w:t>
            </w:r>
          </w:p>
        </w:tc>
        <w:tc>
          <w:p>
            <w:pPr>
              <w:jc w:val="center"/>
              <w:spacing w:after="40"/>
            </w:pPr>
            <w:r>
              <w:t xml:space="preserve">2.32</w:t>
            </w:r>
          </w:p>
        </w:tc>
        <w:tc>
          <w:p>
            <w:pPr>
              <w:jc w:val="center"/>
              <w:spacing w:after="40"/>
            </w:pPr>
            <w:r>
              <w:t xml:space="preserve">0.0050</w:t>
            </w:r>
          </w:p>
        </w:tc>
        <w:tc>
          <w:p>
            <w:pPr>
              <w:jc w:val="center"/>
              <w:spacing w:after="40"/>
            </w:pPr>
            <w:r>
              <w:t xml:space="preserve">Yes</w:t>
            </w:r>
          </w:p>
        </w:tc>
      </w:tr>
      <w:tr>
        <w:tc>
          <w:p>
            <w:pPr>
              <w:jc w:val="center"/>
              <w:spacing w:after="40"/>
            </w:pPr>
            <w:r>
              <w:t xml:space="preserve">Manganese (Mn)</w:t>
            </w:r>
          </w:p>
        </w:tc>
        <w:tc>
          <w:p>
            <w:pPr>
              <w:jc w:val="center"/>
              <w:spacing w:after="40"/>
            </w:pPr>
            <w:r>
              <w:t xml:space="preserve">0.90</w:t>
            </w:r>
          </w:p>
        </w:tc>
        <w:tc>
          <w:p>
            <w:pPr>
              <w:jc w:val="center"/>
              <w:spacing w:after="40"/>
            </w:pPr>
            <w:r>
              <w:t xml:space="preserve">3.63</w:t>
            </w:r>
          </w:p>
        </w:tc>
        <w:tc>
          <w:p>
            <w:pPr>
              <w:jc w:val="center"/>
              <w:spacing w:after="40"/>
            </w:pPr>
            <w:r>
              <w:t xml:space="preserve">0.0228</w:t>
            </w:r>
          </w:p>
        </w:tc>
        <w:tc>
          <w:p>
            <w:pPr>
              <w:jc w:val="center"/>
              <w:spacing w:after="40"/>
            </w:pPr>
            <w:r>
              <w:t xml:space="preserve">Yes</w:t>
            </w:r>
          </w:p>
        </w:tc>
      </w:tr>
      <w:tr>
        <w:tc>
          <w:p>
            <w:pPr>
              <w:jc w:val="center"/>
              <w:spacing w:after="40"/>
            </w:pPr>
            <w:r>
              <w:t xml:space="preserve">Phosphorus (P)</w:t>
            </w:r>
          </w:p>
        </w:tc>
        <w:tc>
          <w:p>
            <w:pPr>
              <w:jc w:val="center"/>
              <w:spacing w:after="40"/>
            </w:pPr>
            <w:r>
              <w:t xml:space="preserve">0.94</w:t>
            </w:r>
          </w:p>
        </w:tc>
        <w:tc>
          <w:p>
            <w:pPr>
              <w:jc w:val="center"/>
              <w:spacing w:after="40"/>
            </w:pPr>
            <w:r>
              <w:t xml:space="preserve">1.23</w:t>
            </w:r>
          </w:p>
        </w:tc>
        <w:tc>
          <w:p>
            <w:pPr>
              <w:jc w:val="center"/>
              <w:spacing w:after="40"/>
            </w:pPr>
            <w:r>
              <w:t xml:space="preserve">0.0123</w:t>
            </w:r>
          </w:p>
        </w:tc>
        <w:tc>
          <w:p>
            <w:pPr>
              <w:jc w:val="center"/>
              <w:spacing w:after="40"/>
            </w:pPr>
            <w:r>
              <w:t xml:space="preserve">Yes</w:t>
            </w:r>
          </w:p>
        </w:tc>
      </w:tr>
      <w:tr>
        <w:tc>
          <w:p>
            <w:pPr>
              <w:jc w:val="center"/>
              <w:spacing w:after="40"/>
            </w:pPr>
            <w:r>
              <w:t xml:space="preserve">Sulfur (S)</w:t>
            </w:r>
          </w:p>
        </w:tc>
        <w:tc>
          <w:p>
            <w:pPr>
              <w:jc w:val="center"/>
              <w:spacing w:after="40"/>
            </w:pPr>
            <w:r>
              <w:t xml:space="preserve">0.76</w:t>
            </w:r>
          </w:p>
        </w:tc>
        <w:tc>
          <w:p>
            <w:pPr>
              <w:jc w:val="center"/>
              <w:spacing w:after="40"/>
            </w:pPr>
            <w:r>
              <w:t xml:space="preserve">2.22</w:t>
            </w:r>
          </w:p>
        </w:tc>
        <w:tc>
          <w:p>
            <w:pPr>
              <w:jc w:val="center"/>
              <w:spacing w:after="40"/>
            </w:pPr>
            <w:r>
              <w:t xml:space="preserve">0.0310</w:t>
            </w:r>
          </w:p>
        </w:tc>
        <w:tc>
          <w:p>
            <w:pPr>
              <w:jc w:val="center"/>
              <w:spacing w:after="40"/>
            </w:pPr>
            <w:r>
              <w:t xml:space="preserve">Yes</w:t>
            </w:r>
          </w:p>
        </w:tc>
      </w:tr>
      <w:tr>
        <w:tc>
          <w:p>
            <w:pPr>
              <w:jc w:val="center"/>
              <w:spacing w:after="40"/>
            </w:pPr>
            <w:r>
              <w:t xml:space="preserve">Molybdenum (Mo)</w:t>
            </w:r>
          </w:p>
        </w:tc>
        <w:tc>
          <w:p>
            <w:pPr>
              <w:jc w:val="center"/>
              <w:spacing w:after="40"/>
            </w:pPr>
            <w:r>
              <w:t xml:space="preserve">0.95</w:t>
            </w:r>
          </w:p>
        </w:tc>
        <w:tc>
          <w:p>
            <w:pPr>
              <w:jc w:val="center"/>
              <w:spacing w:after="40"/>
            </w:pPr>
            <w:r>
              <w:t xml:space="preserve">3.10</w:t>
            </w:r>
          </w:p>
        </w:tc>
        <w:tc>
          <w:p>
            <w:pPr>
              <w:jc w:val="center"/>
              <w:spacing w:after="40"/>
            </w:pPr>
            <w:r>
              <w:t xml:space="preserve">0.0030</w:t>
            </w:r>
          </w:p>
        </w:tc>
        <w:tc>
          <w:p>
            <w:pPr>
              <w:jc w:val="center"/>
              <w:spacing w:after="40"/>
            </w:pPr>
            <w:r>
              <w:t xml:space="preserve">Yes</w:t>
            </w:r>
          </w:p>
        </w:tc>
      </w:tr>
      <w:tr>
        <w:tc>
          <w:p>
            <w:pPr>
              <w:jc w:val="center"/>
              <w:spacing w:after="40"/>
            </w:pPr>
            <w:r>
              <w:t xml:space="preserve">Nickel (Ni)</w:t>
            </w:r>
          </w:p>
        </w:tc>
        <w:tc>
          <w:p>
            <w:pPr>
              <w:jc w:val="center"/>
              <w:spacing w:after="40"/>
            </w:pPr>
            <w:r>
              <w:t xml:space="preserve">0.82</w:t>
            </w:r>
          </w:p>
        </w:tc>
        <w:tc>
          <w:p>
            <w:pPr>
              <w:jc w:val="center"/>
              <w:spacing w:after="40"/>
            </w:pPr>
            <w:r>
              <w:t xml:space="preserve">2.28</w:t>
            </w:r>
          </w:p>
        </w:tc>
        <w:tc>
          <w:p>
            <w:pPr>
              <w:jc w:val="center"/>
              <w:spacing w:after="40"/>
            </w:pPr>
            <w:r>
              <w:t xml:space="preserve">0.0230</w:t>
            </w:r>
          </w:p>
        </w:tc>
        <w:tc>
          <w:p>
            <w:pPr>
              <w:jc w:val="center"/>
              <w:spacing w:after="40"/>
            </w:pPr>
            <w:r>
              <w:t xml:space="preserve">Yes</w:t>
            </w:r>
          </w:p>
        </w:tc>
      </w:tr>
      <w:tr>
        <w:tc>
          <w:p>
            <w:pPr>
              <w:jc w:val="center"/>
              <w:spacing w:after="40"/>
            </w:pPr>
            <w:r>
              <w:t xml:space="preserve">Chromium (Cr)</w:t>
            </w:r>
          </w:p>
        </w:tc>
        <w:tc>
          <w:p>
            <w:pPr>
              <w:jc w:val="center"/>
              <w:spacing w:after="40"/>
            </w:pPr>
            <w:r>
              <w:t xml:space="preserve">0.91</w:t>
            </w:r>
          </w:p>
        </w:tc>
        <w:tc>
          <w:p>
            <w:pPr>
              <w:jc w:val="center"/>
              <w:spacing w:after="40"/>
            </w:pPr>
            <w:r>
              <w:t xml:space="preserve">2.63</w:t>
            </w:r>
          </w:p>
        </w:tc>
        <w:tc>
          <w:p>
            <w:pPr>
              <w:jc w:val="center"/>
              <w:spacing w:after="40"/>
            </w:pPr>
            <w:r>
              <w:t xml:space="preserve">0.0444</w:t>
            </w:r>
          </w:p>
        </w:tc>
        <w:tc>
          <w:p>
            <w:pPr>
              <w:jc w:val="center"/>
              <w:spacing w:after="40"/>
            </w:pPr>
            <w:r>
              <w:t xml:space="preserve">Yes</w:t>
            </w:r>
          </w:p>
        </w:tc>
      </w:tr>
      <w:tr>
        <w:tc>
          <w:p>
            <w:pPr>
              <w:jc w:val="center"/>
              <w:spacing w:after="40"/>
            </w:pPr>
            <w:r>
              <w:t xml:space="preserve">Microhardness (MH)</w:t>
            </w:r>
          </w:p>
        </w:tc>
        <w:tc>
          <w:p>
            <w:pPr>
              <w:jc w:val="center"/>
              <w:spacing w:after="40"/>
            </w:pPr>
            <w:r>
              <w:t xml:space="preserve">0.92</w:t>
            </w:r>
          </w:p>
        </w:tc>
        <w:tc>
          <w:p>
            <w:pPr>
              <w:jc w:val="center"/>
              <w:spacing w:after="40"/>
            </w:pPr>
            <w:r>
              <w:t xml:space="preserve">2.36</w:t>
            </w:r>
          </w:p>
        </w:tc>
        <w:tc>
          <w:p>
            <w:pPr>
              <w:jc w:val="center"/>
              <w:spacing w:after="40"/>
            </w:pPr>
            <w:r>
              <w:t xml:space="preserve">0.0452</w:t>
            </w:r>
          </w:p>
        </w:tc>
        <w:tc>
          <w:p>
            <w:pPr>
              <w:jc w:val="center"/>
              <w:spacing w:after="40"/>
            </w:pPr>
            <w:r>
              <w:t xml:space="preserve">Yes</w:t>
            </w:r>
          </w:p>
        </w:tc>
      </w:tr>
      <w:tr>
        <w:tc>
          <w:p>
            <w:pPr>
              <w:jc w:val="center"/>
              <w:spacing w:after="40"/>
            </w:pPr>
            <w:r>
              <w:t xml:space="preserve">Carbon Equivalent (CE)</w:t>
            </w:r>
          </w:p>
        </w:tc>
        <w:tc>
          <w:p>
            <w:pPr>
              <w:jc w:val="center"/>
              <w:spacing w:after="40"/>
            </w:pPr>
            <w:r>
              <w:t xml:space="preserve">0.89</w:t>
            </w:r>
          </w:p>
        </w:tc>
        <w:tc>
          <w:p>
            <w:pPr>
              <w:jc w:val="center"/>
              <w:spacing w:after="40"/>
            </w:pPr>
            <w:r>
              <w:t xml:space="preserve">2.20</w:t>
            </w:r>
          </w:p>
        </w:tc>
        <w:tc>
          <w:p>
            <w:pPr>
              <w:jc w:val="center"/>
              <w:spacing w:after="40"/>
            </w:pPr>
            <w:r>
              <w:t xml:space="preserve">0.0318</w:t>
            </w:r>
          </w:p>
        </w:tc>
        <w:tc>
          <w:p>
            <w:pPr>
              <w:jc w:val="center"/>
              <w:spacing w:after="40"/>
            </w:pPr>
            <w:r>
              <w:t xml:space="preserve">Yes</w:t>
            </w:r>
          </w:p>
        </w:tc>
      </w:tr>
    </w:tbl>
    <w:p/>
    <w:p>
      <w:pPr>
        <w:pStyle w:val="Normal"/>
      </w:pPr>
      <w:r>
        <w:t xml:space="preserve">The elemental-transfer models (R² = 0.76–0.95, p &lt; 0.05) and the property models (R² = 0.82–0.92, p &lt; 0.05) were all statistically significant. Non-significant terms (p ≥ 0.05) were eliminated by backward selection, and model adequacy was confirmed through R², F-tests, lack-of-fit tests, and predicted-versus-actual plots (Figure 5.5), in accordance with the diagnostics recommended by Montgomery [39] and Fisher [41].</w:t>
      </w:r>
    </w:p>
    <w:p>
      <w:pPr>
        <w:pStyle w:val="FigureCaption"/>
      </w:pPr>
      <w:r>
        <w:t xml:space="preserve">Figure 5.5. Predicted versus actual values for (a) C, (b) Si, (c) P, (d) S, (e) Mn, (f) Ni, (g) Cr, (h) Mo, (i) microhardness, and (j) carbon equivalent.</w:t>
      </w:r>
    </w:p>
    <w:p>
      <w:pPr>
        <w:pStyle w:val="Heading4"/>
      </w:pPr>
      <w:r>
        <w:t xml:space="preserve">5.2.2.1.3. Interpretation of Flux-Component Effects</w:t>
      </w:r>
    </w:p>
    <w:p>
      <w:pPr>
        <w:pStyle w:val="Normal"/>
      </w:pPr>
      <w:r>
        <w:t xml:space="preserve">The flux constituents exerted strong synergistic effects on weld-metal chemistry through slag–metal reactions, in which free oxygen ions (O²⁻) govern element transfer and the interfacial oxygen potential [26, 42]. The basic oxides CaO, BaO, and MnO dissociate in the molten slag to release O²⁻ ions that modify the interfacial oxygen chemical potential, as expressed by the following slag–metal equilibria [24, 34]:</w:t>
      </w:r>
    </w:p>
    <w:p>
      <w:pPr>
        <w:pStyle w:val="Equation"/>
      </w:pPr>
      <w:r>
        <w:rPr>
          <w:rFonts w:ascii="Consolas" w:hAnsi="Consolas" w:cs="Consolas"/>
          <w:sz w:val="20"/>
          <w:szCs w:val="20"/>
        </w:rPr>
        <w:t xml:space="preserve">SiO₂ (slag) ⇌ [Si] (metal) + 2[O] (metal)                                   (19)</w:t>
        <w:br/>
        <w:t xml:space="preserve">MnO (slag) ⇌ [Mn] (metal) + [O] (metal)                                     (20)</w:t>
        <w:br/>
        <w:t xml:space="preserve">[S] (metal) + O²⁻ (slag) ⇌ S²⁻ (slag) + [O] (metal)                         (21)</w:t>
        <w:br/>
        <w:t xml:space="preserve">CO (gas) + O²⁻ (slag) ⇌ CO₃²⁻ (slag)                                        (22)</w:t>
      </w:r>
    </w:p>
    <w:p>
      <w:pPr>
        <w:pStyle w:val="Normal"/>
      </w:pPr>
      <w:r>
        <w:t xml:space="preserve">Consistent with the high-basicity slag behaviour reported by Fox, Eakes, and Franke [43] and Dallam, Liu, and Olson [44], the main-effect coefficients of the basic oxides were positive, most conspicuously for CaO in the Mn and Cr models. The negative CaO·CaF₂ and BaO·SiO₂ interaction terms, by contrast, indicate the formation of stable slag complexes that suppress alloy transfer, in agreement with Baune et al. [27], while the strongly negative primary coefficients of the sulfur model reflect the well-documented desulfurizing action of the basic oxides [6]. MnO displayed dual behaviour, being retained at intermediate concentrations yet forming stable MnO·CaF₂ and TiO₂·MnO complexes—manifested as strongly negative interaction terms—in fluoride-rich or highly oxidizing slags, as previously reported for SAW by Kanjilal et al. [34] and Quintana et al. [45].</w:t>
      </w:r>
    </w:p>
    <w:p>
      <w:pPr>
        <w:pStyle w:val="Normal"/>
      </w:pPr>
      <w:r>
        <w:t xml:space="preserve">The Piepel trace plots of Figure 5.6 quantify the sensitivity of each response to the individual flux constituents [46]. CaO exhibited the steepest positive slope for microhardness, identifying it as the most potent single component for hardness enhancement, principally through the promotion of Mn and Mo recovery in the weld pool [28]. BaO followed a moderately positive trend at small deviations that plateaued and then reversed at larger deviations, reflecting the negative BaO·SiO₂ interaction, whereas CaF₂ maintained a consistently negative slope, indicative of stable-slag-complex formation that curtails alloy recovery and hardenability [24, 31].</w:t>
      </w:r>
    </w:p>
    <w:p>
      <w:pPr>
        <w:pStyle w:val="FigureCaption"/>
      </w:pPr>
      <w:r>
        <w:t xml:space="preserve">Figure 5.6. Piepel trace plots showing the effect of deviation of the individual mixture components from the reference blend on the predicted responses for (a) C, (b) Si, (c) P, (d) S, (e) Mn, (f) Ni, (g) Cr, (h) Mo, (i) microhardness, and (j) carbon equivalent.</w:t>
      </w:r>
    </w:p>
    <w:p>
      <w:pPr>
        <w:pStyle w:val="Heading4"/>
      </w:pPr>
      <w:r>
        <w:t xml:space="preserve">5.2.2.1.4. Response-Surface and Contour Analysis</w:t>
      </w:r>
    </w:p>
    <w:p>
      <w:pPr>
        <w:pStyle w:val="Normal"/>
      </w:pPr>
      <w:r>
        <w:t xml:space="preserve">The multivariable relationships are consolidated in the three-dimensional response surfaces of Figure 5.7. Combining the microhardness and carbon-equivalent models afforded a more coherent description of the chemical and mechanical responses than single-response treatments [38]. Both measured and predicted values responded consistently to variations in the alloy-pickup constituents CaO, MnO, and TiO₂: increasing CaO and MnO within an optimal window raised Mn, Mo, and Cr and, through enhanced hardenability, increased carbon equivalent and microhardness, in accordance with the behaviour of HSLA pipeline welds reported by Kanjilal et al. [35] and Beidokhti et al. [25]. TiO₂ acted more subtly, modifying inclusion chemistry and refining acicular ferrite so as to raise hardness with only a modest reduction in carbon equivalent [25], whereas increasing CaF₂ and SiO₂ depressed Mn and Mo and thereby lowered microhardness and carbon equivalent, in agreement with Sharma and Chhibber [6] and Paniagua-Mercado et al. [33].</w:t>
      </w:r>
    </w:p>
    <w:p>
      <w:pPr>
        <w:pStyle w:val="FigureCaption"/>
      </w:pPr>
      <w:r>
        <w:t xml:space="preserve">Figure 5.7. Three-dimensional mixture-surface and contour plots showing the effect of components A (SiO₂), B (TiO₂), and C (CaF₂) on the predicted responses for (a) C, (b) Si, (c) P, (d) S, (e) Mn, (f) Ni, (g) Cr, (h) Mo, (i) microhardness, and (j) carbon equivalent.</w:t>
      </w:r>
    </w:p>
    <w:p>
      <w:pPr>
        <w:pStyle w:val="Normal"/>
      </w:pPr>
      <w:r>
        <w:t xml:space="preserve">The response surfaces of Figure 5.7i–j exhibit sharper curvature and well-defined interior extrema than the largely monotonic trends reported for simpler polynomial blend models [40], attesting to a stronger capacity to capture the non-linear composition–property relationships that govern the final weld properties. Within the design space the optimum composition was Flux F4 (SiO₂ 7.94%, TiO₂ 15.42%, CaF₂ 30.09%, BaO 6.55%, MnO 25%, CaO 8%), which yielded 180–220 HV, CE 0.20–0.31, and well-developed acicular ferrite. Notably, F4 produced a fine acicular-ferrite microstructure (220 HV, CE 0.29) at a low weld-metal titanium level (9–30 ppm), whereas many commercial fluxes require higher titanium additions (0.02–0.08%) to attain comparable microstructures [25, 35].</w:t>
      </w:r>
    </w:p>
    <w:p>
      <w:pPr>
        <w:pStyle w:val="Heading1"/>
      </w:pPr>
      <w:r>
        <w:t xml:space="preserve">5.3. Corrosion Behaviour</w:t>
      </w:r>
    </w:p>
    <w:p>
      <w:pPr>
        <w:pStyle w:val="Normal"/>
      </w:pPr>
      <w:r>
        <w:t xml:space="preserve">The electrochemical corrosion behaviour of the API X70 SAW weldments was investigated to establish the influence of flux chemistry on the corrosion resistance of the weld metal and heat-affected zone (HAZ) under simulated marine conditions [29, 47]. Potentiodynamic polarization tests were conducted in 3.5 wt.% NaCl (sea water) at room temperature using a three-electrode cell, so as to reproduce the aggressive marine and offshore service environment to which pipeline weldments are exposed [47]; the corrosion potential (E_corr), corrosion current density (i_corr), and corrosion rate were obtained by Tafel extrapolation. The corrosion response was governed principally by weld-metal chemistry—specifically the Mn, Mo, Cr, and Si transferred from the flux through slag–metal reactions [26, 34]—a dependence that Sharma and Chhibber [47] attributed to the control that flux composition exerts over weld-metal chemistry and inclusion morphology. Four flux-dependent mechanisms accounted for the observed corrosion-resistance hierarchy.</w:t>
      </w:r>
    </w:p>
    <w:p>
      <w:pPr>
        <w:pStyle w:val="Normal"/>
      </w:pPr>
      <w:r>
        <w:t xml:space="preserve">First, the transfer of chromium and molybdenum promotes the stable passive films (Cr₂O₃ and MoO₃) that resist breakdown in chloride environments. The laboratory fluxes transferred appreciable molybdenum to the weld metal (F6B, 0.392%; F20B, 0.401%; F22B, 0.355%), thereby enhancing pitting resistance relative to molybdenum-free fluxes, consistent with the alloy-transfer–corrosion relationships reported by Sharma and Chhibber [47] and Quintana et al. [45]. Second, the removal of sulfur and phosphorus by the high-CaF₂, high-CaO basic fluxes, effected through the ionic exchange [S]_metal + (O²⁻)_slag ⇌ (S²⁻)_slag + [O]_metal [24], reduced weld-metal sulfur markedly (F6B, 0.0024%; F20B, 0.0019%; F22B, 0.0011%) relative to the commercial flux (CF, 0.0070%), thereby limiting the grain-boundary MnS inclusions that serve as preferential pit-initiation sites [6]. Third, flux basicity governs oxygen potential and hence the size, shape, and distribution of oxide inclusions [42]; the fine, dispersed inclusions characteristic of high-basicity fluxes present a lower corrosion risk than the coarse, angular, or clustered inclusions of low-basicity fluxes, which may dissolve preferentially to nucleate micro-pits [26]. Fourth, microstructural uniformity favours uniform corrosion: the fine, randomly oriented grains of the acicular-ferrite-dominated microstructures promoted by basic fluxes such as F6B minimize galvanic potential differences, whereas coarse grain-boundary or Widmanstätten ferrite promotes preferential attack along interphase boundaries [48, 49].</w:t>
      </w:r>
    </w:p>
    <w:p>
      <w:pPr>
        <w:pStyle w:val="Normal"/>
      </w:pPr>
      <w:r>
        <w:t xml:space="preserve">The polarization measurements in sea water established a clear corrosion-resistance hierarchy, </w:t>
      </w:r>
      <w:r>
        <w:rPr>
          <w:b/>
        </w:rPr>
        <w:t xml:space="preserve">F6B &gt; CF &gt; F20B &gt; F22B</w:t>
      </w:r>
      <w:r>
        <w:t xml:space="preserve"> (Figure 5.7a). The F6B weldment, combining low sulfur (0.0024%), appreciable molybdenum (0.392%), and a predominantly acicular-ferrite microstructure, exhibited the most noble E_corr and the lowest i_corr among the laboratory fluxes, in agreement with Sharma and Chhibber [47]. Although the commercial flux possessed the highest molybdenum content (0.412%), its elevated sulfur level (0.0070%) partly offset that alloying benefit and placed it immediately below F6B. Fluxes F20B and F22B, despite their very low sulfur (0.0019% and 0.0011%, respectively), contained slightly less manganese, which diminished passive-film stability and yielded the more active potentials and higher current densities that rank them below CF [6]. Where regions of differing electrochemical potential coexist—HAZ, weld metal, and base metal—galvanic cells can drive localized deterioration [29]; because flux composition dictates both weld-metal chemistry and microstructure, it is a decisive factor in minimizing such galvanic differences. Collectively, the laboratory-developed basic fluxes produced weldments whose corrosion resistance equalled or exceeded that of the commercial flux, thereby supporting the systematic flux-design strategy advanced for marine and offshore pipeline applications [47].</w:t>
      </w:r>
    </w:p>
    <w:p>
      <w:pPr>
        <w:pStyle w:val="FigureCaption"/>
      </w:pPr>
      <w:r>
        <w:t xml:space="preserve">Figure 5.7a. Potentiodynamic polarization curves of the F6B, F20B, F22B, and CF weldments in sea water (3.5 wt.% NaCl). Corrosion-resistance trend: F6B &gt; CF &gt; F20B &gt; F22B.</w:t>
      </w:r>
    </w:p>
    <w:p>
      <w:pPr>
        <w:pStyle w:val="Heading1"/>
      </w:pPr>
      <w:r>
        <w:t xml:space="preserve">5.4. Selection and Evaluation of the Final Fluxes</w:t>
      </w:r>
    </w:p>
    <w:p>
      <w:pPr>
        <w:pStyle w:val="Heading2"/>
      </w:pPr>
      <w:r>
        <w:t xml:space="preserve">5.4.1. Flux Selection</w:t>
      </w:r>
    </w:p>
    <w:p>
      <w:pPr>
        <w:pStyle w:val="Normal"/>
      </w:pPr>
      <w:r>
        <w:t xml:space="preserve">The fluxes for final weld-joint fabrication were chosen through a multi-criteria evaluation [32]. Following multi-pass bead-on-plate deposition, the twenty-five beads were inspected for morphology, porosity, and slag detachability (Figure 5.8), and three basic-system fluxes exhibiting good morphology, minimal porosity, and satisfactory detachability were retained. Accordingly, fluxes F6B, F20B, and F22B were selected for the final butt-weld joints and compared against a commercial flux (C.F.). The compositions were developed by the extreme-vertices mixture-design methodology [36, 46] and guided by the ternary equilibrium phase diagrams SiO₂–CaO–CaF₂, SiO₂–TiO₂–MnO, and SiO₂–BaO–B₂O₃ (Figure 5.9). The fluxes were prepared from silica, titania, calcium fluoride, barium oxide, manganese oxide, and calcium oxide powders, and API X70 base plates were machined into a single-V butt configuration (60° included angle, 2 mm root gap; Figure 5.10). All welds were deposited under direct-current electrode-positive polarity at 440 A, 28 V, and a travel speed of 13 in/min, with a nozzle-to-tip distance of 20 mm, following the SAW procedures reported by Sharma and Chhibber [7] and Kanjilal et al. [15].</w:t>
      </w:r>
    </w:p>
    <w:p>
      <w:pPr>
        <w:pStyle w:val="Heading2"/>
      </w:pPr>
      <w:r>
        <w:t xml:space="preserve">5.4.2. Chemical Analysis of the Weld Specimens</w:t>
      </w:r>
    </w:p>
    <w:p>
      <w:pPr>
        <w:pStyle w:val="Normal"/>
      </w:pPr>
      <w:r>
        <w:t xml:space="preserve">Table 5.3 reports the compositions of the API X70 base metal, the EA2TiB filler wire, and the weld metals produced with fluxes F6B, F20B, F22B, and C.F. API X70 is a low-carbon (0.059 wt.%) steel micro-alloyed with Mn, Mo, Ti, Cr, Nb, and Ni [29]. Relative to the base metal, the weld metals showed reduced Ni and Nb and increased contents of the carbide-forming elements Ti, B, Cu, and Cr, contributed by the parent and fusion metals; such carbide formers promote low-temperature phase transformations [50, 51]. Sulfur was substantially lower in all weld joints than in the base metal, filler wire, and commercial flux, reflecting the desulfurizing action of the O²⁻-rich basic laboratory fluxes [6, 24]. The maximum carbon equivalent (0.38 wt.%) was recorded for the commercial-flux weld, whereas F6B approached the base metal (0.31 versus 0.33) and F20B (0.28) and F22B (0.27) were lower still. The reduction of carbon equivalent in the fusion zone relative to the parent metal lowers the volume fraction of low-temperature transformation products, a trend that Kou [22] and Lancaster [52] associated with the development of finer, tougher microstructures.</w:t>
      </w:r>
    </w:p>
    <w:p>
      <w:pPr>
        <w:pStyle w:val="Heading2"/>
      </w:pPr>
      <w:r>
        <w:t xml:space="preserve">5.4.3. Impact-Toughness Analysis</w:t>
      </w:r>
    </w:p>
    <w:p>
      <w:pPr>
        <w:pStyle w:val="Normal"/>
      </w:pPr>
      <w:r>
        <w:t xml:space="preserve">The room-temperature and −55 °C Charpy toughness values for the parent metal and weld joints are presented in Table 5.4. Flux type—acidic, basic, or neutral—strongly conditions weld-metal oxygen content and, in turn, toughness [3]: high weld-metal oxygen arising from acidic constituents such as SiO₂ and Al₂O₃, or from atmospheric contamination, degrades toughness, whereas basic fluxes lower oxygen and improve it [43, 44].</w:t>
      </w:r>
    </w:p>
    <w:p>
      <w:pPr>
        <w:pStyle w:val="TableCaption"/>
      </w:pPr>
      <w:r>
        <w:t xml:space="preserve">Table 5.4</w:t>
      </w:r>
    </w:p>
    <w:p>
      <w:pPr>
        <w:pStyle w:val="Normal"/>
      </w:pPr>
      <w:r>
        <w:rPr>
          <w:i/>
        </w:rPr>
        <w:t xml:space="preserve">Impact-toughness values of the weld joints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shd w:val="clear" w:color="auto" w:fill="D9E2F3"/>
          </w:tcPr>
          <w:p>
            <w:pPr>
              <w:jc w:val="center"/>
            </w:pPr>
            <w:r>
              <w:rPr>
                <w:b/>
              </w:rPr>
              <w:t xml:space="preserve">S. No.</w:t>
            </w:r>
          </w:p>
        </w:tc>
        <w:tc>
          <w:tcPr>
            <w:shd w:val="clear" w:color="auto" w:fill="D9E2F3"/>
          </w:tcPr>
          <w:p>
            <w:pPr>
              <w:jc w:val="center"/>
            </w:pPr>
            <w:r>
              <w:rPr>
                <w:b/>
              </w:rPr>
              <w:t xml:space="preserve">Specimen</w:t>
            </w:r>
          </w:p>
        </w:tc>
        <w:tc>
          <w:tcPr>
            <w:shd w:val="clear" w:color="auto" w:fill="D9E2F3"/>
          </w:tcPr>
          <w:p>
            <w:pPr>
              <w:jc w:val="center"/>
            </w:pPr>
            <w:r>
              <w:rPr>
                <w:b/>
              </w:rPr>
              <w:t xml:space="preserve">Weld Metal, RT (J)</w:t>
            </w:r>
          </w:p>
        </w:tc>
        <w:tc>
          <w:tcPr>
            <w:shd w:val="clear" w:color="auto" w:fill="D9E2F3"/>
          </w:tcPr>
          <w:p>
            <w:pPr>
              <w:jc w:val="center"/>
            </w:pPr>
            <w:r>
              <w:rPr>
                <w:b/>
              </w:rPr>
              <w:t xml:space="preserve">Weld Metal, −55 °C (J)</w:t>
            </w:r>
          </w:p>
        </w:tc>
        <w:tc>
          <w:tcPr>
            <w:shd w:val="clear" w:color="auto" w:fill="D9E2F3"/>
          </w:tcPr>
          <w:p>
            <w:pPr>
              <w:jc w:val="center"/>
            </w:pPr>
            <w:r>
              <w:rPr>
                <w:b/>
              </w:rPr>
              <w:t xml:space="preserve">HAZ, RT (J)</w:t>
            </w:r>
          </w:p>
        </w:tc>
        <w:tc>
          <w:tcPr>
            <w:shd w:val="clear" w:color="auto" w:fill="D9E2F3"/>
          </w:tcPr>
          <w:p>
            <w:pPr>
              <w:jc w:val="center"/>
            </w:pPr>
            <w:r>
              <w:rPr>
                <w:b/>
              </w:rPr>
              <w:t xml:space="preserve">HAZ, −55 °C (J)</w:t>
            </w:r>
          </w:p>
        </w:tc>
      </w:tr>
      <w:tr>
        <w:tc>
          <w:p>
            <w:pPr>
              <w:jc w:val="center"/>
              <w:spacing w:after="40"/>
            </w:pPr>
            <w:r>
              <w:t xml:space="preserve">1</w:t>
            </w:r>
          </w:p>
        </w:tc>
        <w:tc>
          <w:p>
            <w:pPr>
              <w:jc w:val="center"/>
              <w:spacing w:after="40"/>
            </w:pPr>
            <w:r>
              <w:t xml:space="preserve">Parent metal</w:t>
            </w:r>
          </w:p>
        </w:tc>
        <w:tc>
          <w:p>
            <w:pPr>
              <w:jc w:val="center"/>
              <w:spacing w:after="40"/>
            </w:pPr>
            <w:r>
              <w:t xml:space="preserve">350</w:t>
            </w:r>
          </w:p>
        </w:tc>
        <w:tc>
          <w:p>
            <w:pPr>
              <w:jc w:val="center"/>
              <w:spacing w:after="40"/>
            </w:pPr>
            <w:r>
              <w:t xml:space="preserve">35</w:t>
            </w:r>
          </w:p>
        </w:tc>
        <w:tc>
          <w:p>
            <w:pPr>
              <w:jc w:val="center"/>
              <w:spacing w:after="40"/>
            </w:pPr>
            <w:r>
              <w:t xml:space="preserve">—</w:t>
            </w:r>
          </w:p>
        </w:tc>
        <w:tc>
          <w:p>
            <w:pPr>
              <w:jc w:val="center"/>
              <w:spacing w:after="40"/>
            </w:pPr>
            <w:r>
              <w:t xml:space="preserve">—</w:t>
            </w:r>
          </w:p>
        </w:tc>
      </w:tr>
      <w:tr>
        <w:tc>
          <w:p>
            <w:pPr>
              <w:jc w:val="center"/>
              <w:spacing w:after="40"/>
            </w:pPr>
            <w:r>
              <w:t xml:space="preserve">2</w:t>
            </w:r>
          </w:p>
        </w:tc>
        <w:tc>
          <w:p>
            <w:pPr>
              <w:jc w:val="center"/>
              <w:spacing w:after="40"/>
            </w:pPr>
            <w:r>
              <w:t xml:space="preserve">F6B</w:t>
            </w:r>
          </w:p>
        </w:tc>
        <w:tc>
          <w:p>
            <w:pPr>
              <w:jc w:val="center"/>
              <w:spacing w:after="40"/>
            </w:pPr>
            <w:r>
              <w:t xml:space="preserve">171</w:t>
            </w:r>
          </w:p>
        </w:tc>
        <w:tc>
          <w:p>
            <w:pPr>
              <w:jc w:val="center"/>
              <w:spacing w:after="40"/>
            </w:pPr>
            <w:r>
              <w:t xml:space="preserve">21</w:t>
            </w:r>
          </w:p>
        </w:tc>
        <w:tc>
          <w:p>
            <w:pPr>
              <w:jc w:val="center"/>
              <w:spacing w:after="40"/>
            </w:pPr>
            <w:r>
              <w:t xml:space="preserve">385</w:t>
            </w:r>
          </w:p>
        </w:tc>
        <w:tc>
          <w:p>
            <w:pPr>
              <w:jc w:val="center"/>
              <w:spacing w:after="40"/>
            </w:pPr>
            <w:r>
              <w:t xml:space="preserve">28</w:t>
            </w:r>
          </w:p>
        </w:tc>
      </w:tr>
      <w:tr>
        <w:tc>
          <w:p>
            <w:pPr>
              <w:jc w:val="center"/>
              <w:spacing w:after="40"/>
            </w:pPr>
            <w:r>
              <w:t xml:space="preserve">3</w:t>
            </w:r>
          </w:p>
        </w:tc>
        <w:tc>
          <w:p>
            <w:pPr>
              <w:jc w:val="center"/>
              <w:spacing w:after="40"/>
            </w:pPr>
            <w:r>
              <w:t xml:space="preserve">F20B</w:t>
            </w:r>
          </w:p>
        </w:tc>
        <w:tc>
          <w:p>
            <w:pPr>
              <w:jc w:val="center"/>
              <w:spacing w:after="40"/>
            </w:pPr>
            <w:r>
              <w:t xml:space="preserve">125</w:t>
            </w:r>
          </w:p>
        </w:tc>
        <w:tc>
          <w:p>
            <w:pPr>
              <w:jc w:val="center"/>
              <w:spacing w:after="40"/>
            </w:pPr>
            <w:r>
              <w:t xml:space="preserve">11</w:t>
            </w:r>
          </w:p>
        </w:tc>
        <w:tc>
          <w:p>
            <w:pPr>
              <w:jc w:val="center"/>
              <w:spacing w:after="40"/>
            </w:pPr>
            <w:r>
              <w:t xml:space="preserve">355</w:t>
            </w:r>
          </w:p>
        </w:tc>
        <w:tc>
          <w:p>
            <w:pPr>
              <w:jc w:val="center"/>
              <w:spacing w:after="40"/>
            </w:pPr>
            <w:r>
              <w:t xml:space="preserve">19</w:t>
            </w:r>
          </w:p>
        </w:tc>
      </w:tr>
      <w:tr>
        <w:tc>
          <w:p>
            <w:pPr>
              <w:jc w:val="center"/>
              <w:spacing w:after="40"/>
            </w:pPr>
            <w:r>
              <w:t xml:space="preserve">4</w:t>
            </w:r>
          </w:p>
        </w:tc>
        <w:tc>
          <w:p>
            <w:pPr>
              <w:jc w:val="center"/>
              <w:spacing w:after="40"/>
            </w:pPr>
            <w:r>
              <w:t xml:space="preserve">F22B</w:t>
            </w:r>
          </w:p>
        </w:tc>
        <w:tc>
          <w:p>
            <w:pPr>
              <w:jc w:val="center"/>
              <w:spacing w:after="40"/>
            </w:pPr>
            <w:r>
              <w:t xml:space="preserve">131</w:t>
            </w:r>
          </w:p>
        </w:tc>
        <w:tc>
          <w:p>
            <w:pPr>
              <w:jc w:val="center"/>
              <w:spacing w:after="40"/>
            </w:pPr>
            <w:r>
              <w:t xml:space="preserve">14</w:t>
            </w:r>
          </w:p>
        </w:tc>
        <w:tc>
          <w:p>
            <w:pPr>
              <w:jc w:val="center"/>
              <w:spacing w:after="40"/>
            </w:pPr>
            <w:r>
              <w:t xml:space="preserve">360</w:t>
            </w:r>
          </w:p>
        </w:tc>
        <w:tc>
          <w:p>
            <w:pPr>
              <w:jc w:val="center"/>
              <w:spacing w:after="40"/>
            </w:pPr>
            <w:r>
              <w:t xml:space="preserve">20</w:t>
            </w:r>
          </w:p>
        </w:tc>
      </w:tr>
      <w:tr>
        <w:tc>
          <w:p>
            <w:pPr>
              <w:jc w:val="center"/>
              <w:spacing w:after="40"/>
            </w:pPr>
            <w:r>
              <w:t xml:space="preserve">5</w:t>
            </w:r>
          </w:p>
        </w:tc>
        <w:tc>
          <w:p>
            <w:pPr>
              <w:jc w:val="center"/>
              <w:spacing w:after="40"/>
            </w:pPr>
            <w:r>
              <w:t xml:space="preserve">CF</w:t>
            </w:r>
          </w:p>
        </w:tc>
        <w:tc>
          <w:p>
            <w:pPr>
              <w:jc w:val="center"/>
              <w:spacing w:after="40"/>
            </w:pPr>
            <w:r>
              <w:t xml:space="preserve">159</w:t>
            </w:r>
          </w:p>
        </w:tc>
        <w:tc>
          <w:p>
            <w:pPr>
              <w:jc w:val="center"/>
              <w:spacing w:after="40"/>
            </w:pPr>
            <w:r>
              <w:t xml:space="preserve">18</w:t>
            </w:r>
          </w:p>
        </w:tc>
        <w:tc>
          <w:p>
            <w:pPr>
              <w:jc w:val="center"/>
              <w:spacing w:after="40"/>
            </w:pPr>
            <w:r>
              <w:t xml:space="preserve">390</w:t>
            </w:r>
          </w:p>
        </w:tc>
        <w:tc>
          <w:p>
            <w:pPr>
              <w:jc w:val="center"/>
              <w:spacing w:after="40"/>
            </w:pPr>
            <w:r>
              <w:t xml:space="preserve">30</w:t>
            </w:r>
          </w:p>
        </w:tc>
      </w:tr>
    </w:tbl>
    <w:p/>
    <w:p>
      <w:pPr>
        <w:pStyle w:val="Normal"/>
      </w:pPr>
      <w:r>
        <w:t xml:space="preserve">The F6B weld exhibited the highest weld-metal toughness (171 J at room temperature; 21 J at −55 °C), surpassing the commercial flux (159 J; 18 J), while the parent metal retained the highest toughness overall (350 J; 35 J). Fluxes F20B and F22B gave moderate values below both the parent metal and CF. In the HAZ, all specimens were broadly comparable, with F6B highest at room temperature (385 J) and 28 J at −55 °C. The superior toughness of the laboratory basic fluxes is consistent with reduced oxygen pick-up, finer inclusions, and enhanced acicular-ferrite formation, which together sustain toughness to sub-zero temperatures [35, 49]. The temperature dependence of the impact energy is shown in Figure 5.11. The strong performance of F6B, arising from its basic character, is corroborated by Fox et al. [43], who demonstrated that optimized basic fluxes—particularly those containing TiO₂—maximize Charpy energy through increased acicular-ferrite formation and inclusion control; Dallam et al. [44] likewise reported that acidic constituents such as Al₂O₃ depress toughness, though balancing the remaining ingredients can restore it. HAZ grain-boundary character and inclusion morphology exert a further influence on low-temperature behaviour, as reported for high-manganese and cryogenic steels by Arora, Pandu, Shajan, Pathak, and Shome [53].</w:t>
      </w:r>
    </w:p>
    <w:p>
      <w:pPr>
        <w:pStyle w:val="FigureCaption"/>
      </w:pPr>
      <w:r>
        <w:t xml:space="preserve">Figure 5.11. Impact-toughness values for the various fluxes at room temperature and −55 °C for the weld metal and HAZ (RT = room temperature).</w:t>
      </w:r>
    </w:p>
    <w:p>
      <w:pPr>
        <w:pStyle w:val="Heading2"/>
      </w:pPr>
      <w:r>
        <w:t xml:space="preserve">5.4.4. Fractography of the Impact Specimens</w:t>
      </w:r>
    </w:p>
    <w:p>
      <w:pPr>
        <w:pStyle w:val="Normal"/>
      </w:pPr>
      <w:r>
        <w:t xml:space="preserve">Fractographic examination of the impact-tested API X70 SAW weldments revealed the interplay among flux chemistry, microstructure, and fracture mechanism across the parent metal, HAZ, and fusion zone, each region exhibiting a distinct failure mode dictated by its microstructure and the flux employed [50, 52]. The parent metal, which possessed the highest toughness (350 J at room temperature; Figure 5.12a), displayed a well-developed dimpled surface indicative of microvoid coalescence and ductile fracture [18]. The fusion zone displayed the most complex fractography and the lowest toughness: the basic flux F6B (Figure 5.12b) and the commercial flux CF (Figure 5.12h) performed well at room temperature (171 J and 159 J) with predominantly ductile features, transitioning to brittle fracture with faceted regions at −55 °C (Figures 5.12c, 5.12i), whereas F20B and F22B produced larger cleavage facets and smaller shear lips at both temperatures (Figures 5.12d–g), signifying lower fracture resistance in accordance with the microstructure–toughness relationship of Thewlis [49].</w:t>
      </w:r>
    </w:p>
    <w:p>
      <w:pPr>
        <w:pStyle w:val="Normal"/>
      </w:pPr>
      <w:r>
        <w:t xml:space="preserve">The HAZ exhibited transitional behaviour between the parent metal and fusion zone. The coarse-grained HAZ adjacent to the fusion line was the most brittle, containing martensite–austenite (M–A) constituents and coarse prior-austenite grains [53, 54]. HAZ specimens from the basic flux F6B (Figures 5.12j–k) and CF (Figures 5.12l–m) showed an enlarged ductile-fracture area relative to the other fluxes, F6B delivering 385 J at room temperature and 28 J at −55 °C with intense microvoid coalescence. Inclusion morphology strongly conditioned HAZ fracture: fine, well-dispersed inclusions pinned grain boundaries and refined the microstructure to favour ductile fracture, whereas large, clustered inclusions coarsened the structure and promoted cleavage [25, 42].</w:t>
      </w:r>
    </w:p>
    <w:p>
      <w:pPr>
        <w:pStyle w:val="FigureCaption"/>
      </w:pPr>
      <w:r>
        <w:t xml:space="preserve">Figure 5.12. Fractographs of the API X70 SAW weldments in the parent, fusion-zone, and HAZ regions: (a) parent metal; (b) F6B FZ (RT); (c) F6B FZ (−55 °C); (d) F20B FZ (RT); (e) F20B FZ (−55 °C); (f) F22B FZ (RT); (g) F22B FZ (−55 °C); (h) CF FZ (RT); (i) CF FZ (−55 °C); (j) F6B HAZ (RT); (k) F6B HAZ (−55 °C); (l) CF HAZ (RT); (m) CF HAZ (−55 °C). (CF = commercial flux; F6B = basic flux no. 6; F20B = basic flux no. 20; F22B = basic flux no. 22.)</w:t>
      </w:r>
    </w:p>
    <w:p>
      <w:pPr>
        <w:pStyle w:val="Heading2"/>
      </w:pPr>
      <w:r>
        <w:t xml:space="preserve">5.4.5. Microhardness and Microstructure</w:t>
      </w:r>
    </w:p>
    <w:p>
      <w:pPr>
        <w:pStyle w:val="Normal"/>
      </w:pPr>
      <w:r>
        <w:t xml:space="preserve">The microhardness of the API X70 SAW joints reflects the interaction among flux basicity, weld-metal composition, and the thermally induced microstructural change imposed on the parent metal, weld metal, and HAZ [22, 50]. The fusion-zone and HAZ values are reported in Table 5.5.</w:t>
      </w:r>
    </w:p>
    <w:p>
      <w:pPr>
        <w:pStyle w:val="TableCaption"/>
      </w:pPr>
      <w:r>
        <w:t xml:space="preserve">Table 5.5</w:t>
      </w:r>
    </w:p>
    <w:p>
      <w:pPr>
        <w:pStyle w:val="Normal"/>
      </w:pPr>
      <w:r>
        <w:rPr>
          <w:i/>
        </w:rPr>
        <w:t xml:space="preserve">Microhardness of the SAW weldments in the fusion-zone and HAZ regions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shd w:val="clear" w:color="auto" w:fill="D9E2F3"/>
          </w:tcPr>
          <w:p>
            <w:pPr>
              <w:jc w:val="center"/>
            </w:pPr>
            <w:r>
              <w:rPr>
                <w:b/>
              </w:rPr>
              <w:t xml:space="preserve">Flux</w:t>
            </w:r>
          </w:p>
        </w:tc>
        <w:tc>
          <w:tcPr>
            <w:shd w:val="clear" w:color="auto" w:fill="D9E2F3"/>
          </w:tcPr>
          <w:p>
            <w:pPr>
              <w:jc w:val="center"/>
            </w:pPr>
            <w:r>
              <w:rPr>
                <w:b/>
              </w:rPr>
              <w:t xml:space="preserve">Max. FZ (HV)</w:t>
            </w:r>
          </w:p>
        </w:tc>
        <w:tc>
          <w:tcPr>
            <w:shd w:val="clear" w:color="auto" w:fill="D9E2F3"/>
          </w:tcPr>
          <w:p>
            <w:pPr>
              <w:jc w:val="center"/>
            </w:pPr>
            <w:r>
              <w:rPr>
                <w:b/>
              </w:rPr>
              <w:t xml:space="preserve">Min. FZ (HV)</w:t>
            </w:r>
          </w:p>
        </w:tc>
        <w:tc>
          <w:tcPr>
            <w:shd w:val="clear" w:color="auto" w:fill="D9E2F3"/>
          </w:tcPr>
          <w:p>
            <w:pPr>
              <w:jc w:val="center"/>
            </w:pPr>
            <w:r>
              <w:rPr>
                <w:b/>
              </w:rPr>
              <w:t xml:space="preserve">Max. HAZ (HV)</w:t>
            </w:r>
          </w:p>
        </w:tc>
        <w:tc>
          <w:tcPr>
            <w:shd w:val="clear" w:color="auto" w:fill="D9E2F3"/>
          </w:tcPr>
          <w:p>
            <w:pPr>
              <w:jc w:val="center"/>
            </w:pPr>
            <w:r>
              <w:rPr>
                <w:b/>
              </w:rPr>
              <w:t xml:space="preserve">Min. HAZ (HV)</w:t>
            </w:r>
          </w:p>
        </w:tc>
      </w:tr>
      <w:tr>
        <w:tc>
          <w:p>
            <w:pPr>
              <w:jc w:val="center"/>
              <w:spacing w:after="40"/>
            </w:pPr>
            <w:r>
              <w:t xml:space="preserve">F6B</w:t>
            </w:r>
          </w:p>
        </w:tc>
        <w:tc>
          <w:p>
            <w:pPr>
              <w:jc w:val="center"/>
              <w:spacing w:after="40"/>
            </w:pPr>
            <w:r>
              <w:t xml:space="preserve">224</w:t>
            </w:r>
          </w:p>
        </w:tc>
        <w:tc>
          <w:p>
            <w:pPr>
              <w:jc w:val="center"/>
              <w:spacing w:after="40"/>
            </w:pPr>
            <w:r>
              <w:t xml:space="preserve">205</w:t>
            </w:r>
          </w:p>
        </w:tc>
        <w:tc>
          <w:p>
            <w:pPr>
              <w:jc w:val="center"/>
              <w:spacing w:after="40"/>
            </w:pPr>
            <w:r>
              <w:t xml:space="preserve">251</w:t>
            </w:r>
          </w:p>
        </w:tc>
        <w:tc>
          <w:p>
            <w:pPr>
              <w:jc w:val="center"/>
              <w:spacing w:after="40"/>
            </w:pPr>
            <w:r>
              <w:t xml:space="preserve">208</w:t>
            </w:r>
          </w:p>
        </w:tc>
      </w:tr>
      <w:tr>
        <w:tc>
          <w:p>
            <w:pPr>
              <w:jc w:val="center"/>
              <w:spacing w:after="40"/>
            </w:pPr>
            <w:r>
              <w:t xml:space="preserve">F20B</w:t>
            </w:r>
          </w:p>
        </w:tc>
        <w:tc>
          <w:p>
            <w:pPr>
              <w:jc w:val="center"/>
              <w:spacing w:after="40"/>
            </w:pPr>
            <w:r>
              <w:t xml:space="preserve">215</w:t>
            </w:r>
          </w:p>
        </w:tc>
        <w:tc>
          <w:p>
            <w:pPr>
              <w:jc w:val="center"/>
              <w:spacing w:after="40"/>
            </w:pPr>
            <w:r>
              <w:t xml:space="preserve">195</w:t>
            </w:r>
          </w:p>
        </w:tc>
        <w:tc>
          <w:p>
            <w:pPr>
              <w:jc w:val="center"/>
              <w:spacing w:after="40"/>
            </w:pPr>
            <w:r>
              <w:t xml:space="preserve">229</w:t>
            </w:r>
          </w:p>
        </w:tc>
        <w:tc>
          <w:p>
            <w:pPr>
              <w:jc w:val="center"/>
              <w:spacing w:after="40"/>
            </w:pPr>
            <w:r>
              <w:t xml:space="preserve">201</w:t>
            </w:r>
          </w:p>
        </w:tc>
      </w:tr>
      <w:tr>
        <w:tc>
          <w:p>
            <w:pPr>
              <w:jc w:val="center"/>
              <w:spacing w:after="40"/>
            </w:pPr>
            <w:r>
              <w:t xml:space="preserve">F22B</w:t>
            </w:r>
          </w:p>
        </w:tc>
        <w:tc>
          <w:p>
            <w:pPr>
              <w:jc w:val="center"/>
              <w:spacing w:after="40"/>
            </w:pPr>
            <w:r>
              <w:t xml:space="preserve">202</w:t>
            </w:r>
          </w:p>
        </w:tc>
        <w:tc>
          <w:p>
            <w:pPr>
              <w:jc w:val="center"/>
              <w:spacing w:after="40"/>
            </w:pPr>
            <w:r>
              <w:t xml:space="preserve">184</w:t>
            </w:r>
          </w:p>
        </w:tc>
        <w:tc>
          <w:p>
            <w:pPr>
              <w:jc w:val="center"/>
              <w:spacing w:after="40"/>
            </w:pPr>
            <w:r>
              <w:t xml:space="preserve">225</w:t>
            </w:r>
          </w:p>
        </w:tc>
        <w:tc>
          <w:p>
            <w:pPr>
              <w:jc w:val="center"/>
              <w:spacing w:after="40"/>
            </w:pPr>
            <w:r>
              <w:t xml:space="preserve">205</w:t>
            </w:r>
          </w:p>
        </w:tc>
      </w:tr>
      <w:tr>
        <w:tc>
          <w:p>
            <w:pPr>
              <w:jc w:val="center"/>
              <w:spacing w:after="40"/>
            </w:pPr>
            <w:r>
              <w:t xml:space="preserve">CF</w:t>
            </w:r>
          </w:p>
        </w:tc>
        <w:tc>
          <w:p>
            <w:pPr>
              <w:jc w:val="center"/>
              <w:spacing w:after="40"/>
            </w:pPr>
            <w:r>
              <w:t xml:space="preserve">233</w:t>
            </w:r>
          </w:p>
        </w:tc>
        <w:tc>
          <w:p>
            <w:pPr>
              <w:jc w:val="center"/>
              <w:spacing w:after="40"/>
            </w:pPr>
            <w:r>
              <w:t xml:space="preserve">210</w:t>
            </w:r>
          </w:p>
        </w:tc>
        <w:tc>
          <w:p>
            <w:pPr>
              <w:jc w:val="center"/>
              <w:spacing w:after="40"/>
            </w:pPr>
            <w:r>
              <w:t xml:space="preserve">257</w:t>
            </w:r>
          </w:p>
        </w:tc>
        <w:tc>
          <w:p>
            <w:pPr>
              <w:jc w:val="center"/>
              <w:spacing w:after="40"/>
            </w:pPr>
            <w:r>
              <w:t xml:space="preserve">211</w:t>
            </w:r>
          </w:p>
        </w:tc>
      </w:tr>
    </w:tbl>
    <w:p/>
    <w:p>
      <w:pPr>
        <w:pStyle w:val="Normal"/>
      </w:pPr>
      <w:r>
        <w:t xml:space="preserve">The as-received API X70 steel possessed a fine ferrite–pearlite microstructure of 190–220 HV, affording the balanced strength–toughness required for high-pressure service [29]. Welding thermal cycles altered the phase fractions and grain morphology across the HAZ and weld metal, generating the characteristic hardness distributions [22]. The maximum fusion-zone hardness reached 224 HV for the laboratory fluxes and 233 HV for the commercial flux, and the maximum HAZ hardness reached 251 HV and 257 HV, respectively. The basic laboratory fluxes generated more basic welds with greater slag–metal interaction, lowering weld-metal oxygen and hydrogen, refining the microstructure, and suppressing coarse martensite and fresh bainite in the fusion zone [6, 30]. The F6B weld exhibited a moderate, uniform hardness (205–224 HV) attributable to predominant acicular ferrite with fine dispersed bainite (Figure 5.13b); as reported previously, higher basic-oxide content reduces weld-metal oxygen and oxide-inclusion density, thereby multiplying the nucleation sites for acicular ferrite [25, 35]. The more CaO/CaF₂-rich F20B (195–215 HV) and F22B (184–202 HV) showed lower mean hardness owing to enhanced deoxidation and refinement, whereas the commercial flux exhibited the highest fusion-zone (210–233 HV) and HAZ (211–257 HV) hardness of the set.</w:t>
      </w:r>
    </w:p>
    <w:p>
      <w:pPr>
        <w:pStyle w:val="Normal"/>
      </w:pPr>
      <w:r>
        <w:t xml:space="preserve">Flux basicity strongly conditioned the microstructural evolution of the weldments. High-basicity fluxes with a high ratio of basic oxides (CaO) to acidic oxides (SiO₂, TiO₂) produced a low-oxygen environment that reduced the oxide-inclusion fraction and generated fine, titanium-rich complex inclusions, which act as preferred nucleation sites for acicular ferrite—an interlocking, cleavage-resistant morphology (Figures 5.13a–i [25, 49, 55]). The fusion zones of the F6B, F20B, F22B, and CF welds accordingly comprised acicular ferrite with minor polygonal ferrite and bainite. Lower-basicity or lower-rutile fluxes, by contrast, raise weld-metal oxygen, coarsen the inclusions, and promote the less-desirable grain-boundary ferrite and Widmanstätten ferrite reported by Dallam et al. [44] and Thewlis [49]. The HAZ, which experiences a complex thermal cycle without melting, exhibited a comparable flux sensitivity through indirect mechanisms; its sub-regions—the coarse-grained HAZ, susceptible to austenite coarsening, and the fine-grained HAZ—developed predominantly bainite and acicular ferrite for all fluxes [53, 54]. The M–A constituents and fine bainite formed on rapid cooling near the fusion line accounted for the modest increase in coarse-grained-HAZ hardness [48]. It follows that acceptable hardness levels across the parent metal, weld metal, and HAZ can be maintained for both the basic laboratory fluxes and the commercial flux, provided the heat input, preheat, and post-weld thermal regimes are controlled so as to prevent the excessive hardening or localized softening that would otherwise compromise the in-service integrity of API X70 pipelines [22, 54].</w:t>
      </w:r>
    </w:p>
    <w:p>
      <w:pPr>
        <w:pStyle w:val="FigureCaption"/>
      </w:pPr>
      <w:r>
        <w:t xml:space="preserve">Figure 5.13. Microstructure of the API X70 SAW welds fabricated with different fluxes: (a) parent metal (ferrite and pearlite); (b) F6B FZ (acicular ferrite [AF], polygonal ferrite [PF], pearlite [P]); (c) F6B HAZ (grain-boundary ferrite [GBF], quenched polygonal ferrite [QPF], M/A); (d) F20B FZ (AF, Widmanstätten ferrite [WF], lower bainite [LB], M/A); (e) F20B HAZ (WF, LB, M/A); (f) F22B FZ (AF, PF, side-plate ferrite [SF], P); (g) F22B HAZ (GBF, WF, QPF); (h) CF FZ (PF, lath ferrite [LF], P); (i) CF HAZ (QPF, upper bainite [UB], WF, M/A).</w:t>
      </w:r>
    </w:p>
    <w:p>
      <w:pPr>
        <w:pStyle w:val="Normal"/>
      </w:pPr>
      <w:r>
        <w:t xml:space="preserve">In summary, microstructural examination confirmed that the basic laboratory fluxes—and F6B in particular—favoured the formation of acicular ferrite, the most desirable morphology for fusion-zone toughness, while the HAZ developed quenched polygonal ferrite, grain-boundary ferrite, and M/A phases. Mechanically, the F6B weldment achieved 171 J at room temperature and 21 J at −55 °C in the fusion zone, together with 385 J and 28 J in the HAZ, values comparable or superior to those of the commercial flux (159 J and 18 J in the fusion zone; approximately 385 J and 28 J in the HAZ). Hardness distributions were acceptable throughout, with neither excessive hardening nor deleterious softening detected. These findings establish the laboratory basic fluxes, and F6B foremost among them, as viable alternatives for pipeline welding and confirm the efficacy of coupling mixture design with ternary-phase-diagram guidance for the systematic development of flux systems for high-strength low-alloy steels [7, 40].</w:t>
      </w:r>
    </w:p>
    <w:p>
      <w:pPr>
        <w:pStyle w:val="FigureCaption"/>
      </w:pPr>
      <w:r>
        <w:t xml:space="preserve">Note.* F6B = basic flux no. 6; F20B = basic flux no. 20; F22B = basic flux no. 22; CF = commercial flux.</w:t>
      </w:r>
    </w:p>
    <w:p>
      <w:pPr>
        <w:pStyle w:val="Heading1"/>
      </w:pPr>
      <w:r>
        <w:t xml:space="preserve">References</w:t>
      </w:r>
    </w:p>
    <w:p>
      <w:pPr>
        <w:pStyle w:val="References"/>
      </w:pPr>
      <w:r>
        <w:t xml:space="preserve">[1] Kumar, A., &amp; Chhibber, R. (2022). Investigation of the wetting behavior of formulated SMAW electrode coating fluxes with regression and ANN model. </w:t>
      </w:r>
      <w:r>
        <w:rPr>
          <w:i/>
        </w:rPr>
        <w:t xml:space="preserve">Metallurgical and Materials Transactions B.</w:t>
      </w:r>
    </w:p>
    <w:p>
      <w:pPr>
        <w:pStyle w:val="References"/>
      </w:pPr>
      <w:r>
        <w:t xml:space="preserve">[2] Kumar, A., Sharma, L., &amp; Chhibber, R. (2023). Wettability studies of formulated SMAW electrode coating fluxes with regression analysis and neural network approach. </w:t>
      </w:r>
      <w:r>
        <w:rPr>
          <w:i/>
        </w:rPr>
        <w:t xml:space="preserve">Ceramics International, 49</w:t>
      </w:r>
      <w:r>
        <w:t xml:space="preserve">(7), 10224–10237.</w:t>
      </w:r>
    </w:p>
    <w:p>
      <w:pPr>
        <w:pStyle w:val="References"/>
      </w:pPr>
      <w:r>
        <w:t xml:space="preserve">[3] Sharma, L., &amp; Chhibber, R. (2019a). Investigating the physicochemical and thermophysical properties of submerged arc welding fluxes designed using TiO₂–SiO₂–MgO and SiO₂–MgO–Al₂O₃ flux systems for linepipe steels. </w:t>
      </w:r>
      <w:r>
        <w:rPr>
          <w:i/>
        </w:rPr>
        <w:t xml:space="preserve">Ceramics International, 45</w:t>
      </w:r>
      <w:r>
        <w:t xml:space="preserve">(2), 1569–1587.</w:t>
      </w:r>
    </w:p>
    <w:p>
      <w:pPr>
        <w:pStyle w:val="References"/>
      </w:pPr>
      <w:r>
        <w:t xml:space="preserve">[4] Sharma, L., &amp; Chhibber, R. (2019b). Design and development of submerged arc welding fluxes using TiO₂–SiO₂–CaO and SiO₂–CaO–Al₂O₃ flux systems. </w:t>
      </w:r>
      <w:r>
        <w:rPr>
          <w:i/>
        </w:rPr>
        <w:t xml:space="preserve">Proceedings of the Institution of Mechanical Engineers, Part E: Journal of Process Mechanical Engineering, 233</w:t>
      </w:r>
      <w:r>
        <w:t xml:space="preserve">(4), 739–762.</w:t>
      </w:r>
    </w:p>
    <w:p>
      <w:pPr>
        <w:pStyle w:val="References"/>
      </w:pPr>
      <w:r>
        <w:t xml:space="preserve">[5] Kim, J. B., Choi, J. K., Han, I. W., &amp; Sohn, I. (2015). High-temperature wettability and structure of the TiO₂–MnO–SiO₂–Al₂O₃ welding flux system. </w:t>
      </w:r>
      <w:r>
        <w:rPr>
          <w:i/>
        </w:rPr>
        <w:t xml:space="preserve">Journal of Non-Crystalline Solids.</w:t>
      </w:r>
    </w:p>
    <w:p>
      <w:pPr>
        <w:pStyle w:val="References"/>
      </w:pPr>
      <w:r>
        <w:t xml:space="preserve">[6] Sharma, L., &amp; Chhibber, R. (2019c). Design of CaO–SiO₂–CaF₂ and CaO–SiO₂–Al₂O₃ based submerged arc fluxes for a series of bead-on-plate pipeline steel welds: Effect on carbon and manganese content, grain size and microhardness. </w:t>
      </w:r>
      <w:r>
        <w:rPr>
          <w:i/>
        </w:rPr>
        <w:t xml:space="preserve">Journal of Pressure Vessel Technology, 141</w:t>
      </w:r>
      <w:r>
        <w:t xml:space="preserve">(1), 011404.</w:t>
      </w:r>
    </w:p>
    <w:p>
      <w:pPr>
        <w:pStyle w:val="References"/>
      </w:pPr>
      <w:r>
        <w:t xml:space="preserve">[7] Sharma, L., &amp; Chhibber, R. (2019d). Design and development of submerged arc welding slags using CaO–SiO₂–CaF₂ and CaO–SiO₂–Al₂O₃ systems. </w:t>
      </w:r>
      <w:r>
        <w:rPr>
          <w:i/>
        </w:rPr>
        <w:t xml:space="preserve">Silicon, 12</w:t>
      </w:r>
      <w:r>
        <w:t xml:space="preserve">(9), 2179–2190.</w:t>
      </w:r>
    </w:p>
    <w:p>
      <w:pPr>
        <w:pStyle w:val="References"/>
      </w:pPr>
      <w:r>
        <w:t xml:space="preserve">[8] Jackson, C. E. (1973). </w:t>
      </w:r>
      <w:r>
        <w:rPr>
          <w:i/>
        </w:rPr>
        <w:t xml:space="preserve">Fluxes and slags in welding</w:t>
      </w:r>
      <w:r>
        <w:t xml:space="preserve"> (Welding Research Council Bulletin No. 190). Welding Research Council.</w:t>
      </w:r>
    </w:p>
    <w:p>
      <w:pPr>
        <w:pStyle w:val="References"/>
      </w:pPr>
      <w:r>
        <w:t xml:space="preserve">[9] Kumar, A., &amp; Chhibber, R. (2024a). Thermal property characterization and modeling of SMAW electrode coating flux using ANN and regression analysis. </w:t>
      </w:r>
      <w:r>
        <w:rPr>
          <w:i/>
        </w:rPr>
        <w:t xml:space="preserve">Proceedings of the Institution of Mechanical Engineers, Part B: Journal of Engineering Manufacture.</w:t>
      </w:r>
    </w:p>
    <w:p>
      <w:pPr>
        <w:pStyle w:val="References"/>
      </w:pPr>
      <w:r>
        <w:t xml:space="preserve">[10] Zhang, J., Wang, X., Zhao, Y., &amp; Liu, C. (2022). A review on parallel development of flux design and welding metallurgy in submerged arc welding. </w:t>
      </w:r>
      <w:r>
        <w:rPr>
          <w:i/>
        </w:rPr>
        <w:t xml:space="preserve">Processes, 10</w:t>
      </w:r>
      <w:r>
        <w:t xml:space="preserve">(11), 2305. https://doi.org/10.3390/pr10112305</w:t>
      </w:r>
    </w:p>
    <w:p>
      <w:pPr>
        <w:pStyle w:val="References"/>
      </w:pPr>
      <w:r>
        <w:t xml:space="preserve">[11] Sharma, L., Kumar, J., &amp; Chhibber, R. (2019). Experimental investigation on high-temperature wettability and structural behaviour of SAW fluxes using MgO–TiO₂–SiO₂ and Al₂O₃–MgO–SiO₂ flux systems. </w:t>
      </w:r>
      <w:r>
        <w:rPr>
          <w:i/>
        </w:rPr>
        <w:t xml:space="preserve">Ceramics International, 45</w:t>
      </w:r>
      <w:r>
        <w:t xml:space="preserve">(17), 22142–22155.</w:t>
      </w:r>
    </w:p>
    <w:p>
      <w:pPr>
        <w:pStyle w:val="References"/>
      </w:pPr>
      <w:r>
        <w:t xml:space="preserve">[12] Houldcroft, P. T. (1989). </w:t>
      </w:r>
      <w:r>
        <w:rPr>
          <w:i/>
        </w:rPr>
        <w:t xml:space="preserve">Submerged-arc welding.</w:t>
      </w:r>
      <w:r>
        <w:t xml:space="preserve"> Abington Publishing.</w:t>
      </w:r>
    </w:p>
    <w:p>
      <w:pPr>
        <w:pStyle w:val="References"/>
      </w:pPr>
      <w:r>
        <w:t xml:space="preserve">[13] Davis, M. L. E., &amp; Coe, F. R. (1977). </w:t>
      </w:r>
      <w:r>
        <w:rPr>
          <w:i/>
        </w:rPr>
        <w:t xml:space="preserve">The chemistry of submerged arc welding fluxes</w:t>
      </w:r>
      <w:r>
        <w:t xml:space="preserve"> (Welding Institute Research Report No. 39/1977/M). The Welding Institute.</w:t>
      </w:r>
    </w:p>
    <w:p>
      <w:pPr>
        <w:pStyle w:val="References"/>
      </w:pPr>
      <w:r>
        <w:t xml:space="preserve">[14] Singh, B., Khan, Z. A., &amp; Siddiquee, A. N. (2013). Review on effect of flux composition on its behavior and bead geometry in submerged arc welding. </w:t>
      </w:r>
      <w:r>
        <w:rPr>
          <w:i/>
        </w:rPr>
        <w:t xml:space="preserve">Journal of Mechanical Engineering Research, 5</w:t>
      </w:r>
      <w:r>
        <w:t xml:space="preserve">(7), 123–127.</w:t>
      </w:r>
    </w:p>
    <w:p>
      <w:pPr>
        <w:pStyle w:val="References"/>
      </w:pPr>
      <w:r>
        <w:t xml:space="preserve">[15] Kanjilal, P., Pal, T. K., &amp; Majumdar, S. K. (2006). Combined effect of flux and welding parameters on chemical composition and mechanical properties of submerged arc weld metal. </w:t>
      </w:r>
      <w:r>
        <w:rPr>
          <w:i/>
        </w:rPr>
        <w:t xml:space="preserve">Journal of Materials Processing Technology, 171</w:t>
      </w:r>
      <w:r>
        <w:t xml:space="preserve">(2), 223–231.</w:t>
      </w:r>
    </w:p>
    <w:p>
      <w:pPr>
        <w:pStyle w:val="References"/>
      </w:pPr>
      <w:r>
        <w:t xml:space="preserve">[16] Bang, K., Park, C., Jung, H., &amp; Lee, J. (2009). Effects of flux composition on the element transfer and mechanical properties of weld metal in submerged arc welding. </w:t>
      </w:r>
      <w:r>
        <w:rPr>
          <w:i/>
        </w:rPr>
        <w:t xml:space="preserve">Metals and Materials International, 15</w:t>
      </w:r>
      <w:r>
        <w:t xml:space="preserve">(3), 471–477.</w:t>
      </w:r>
    </w:p>
    <w:p>
      <w:pPr>
        <w:pStyle w:val="References"/>
      </w:pPr>
      <w:r>
        <w:t xml:space="preserve">[17] Kumar, A., &amp; Chhibber, R. (2024b). Element transfer, microhardness and metallurgical analysis of weld-bead using CaF₂–CaO–Al₂O₃–BaO fluxes. </w:t>
      </w:r>
      <w:r>
        <w:rPr>
          <w:i/>
        </w:rPr>
        <w:t xml:space="preserve">Materials Science and Technology, 40</w:t>
      </w:r>
      <w:r>
        <w:t xml:space="preserve">(18), 1377–1391.</w:t>
      </w:r>
    </w:p>
    <w:p>
      <w:pPr>
        <w:pStyle w:val="References"/>
      </w:pPr>
      <w:r>
        <w:t xml:space="preserve">[18] Callister, W. D., &amp; Rethwisch, D. G. (2020). </w:t>
      </w:r>
      <w:r>
        <w:rPr>
          <w:i/>
        </w:rPr>
        <w:t xml:space="preserve">Materials science and engineering: An introduction</w:t>
      </w:r>
      <w:r>
        <w:t xml:space="preserve"> (10th ed.). John Wiley &amp; Sons.</w:t>
      </w:r>
    </w:p>
    <w:p>
      <w:pPr>
        <w:pStyle w:val="References"/>
      </w:pPr>
      <w:r>
        <w:t xml:space="preserve">[19] Jung, E. J., &amp; Min, D. J. (2012). Effect of Al₂O₃ and MgO on interfacial tension between calcium silicate-based melts and a solid steel substrate. </w:t>
      </w:r>
      <w:r>
        <w:rPr>
          <w:i/>
        </w:rPr>
        <w:t xml:space="preserve">Steel Research International, 83</w:t>
      </w:r>
      <w:r>
        <w:t xml:space="preserve">(7), 705–711.</w:t>
      </w:r>
    </w:p>
    <w:p>
      <w:pPr>
        <w:pStyle w:val="References"/>
      </w:pPr>
      <w:r>
        <w:t xml:space="preserve">[20] Jung, E. J., Kim, W., Sohn, I., &amp; Min, D. J. (2010). A study on the interfacial tension between solid iron and CaO–SiO₂–MO system. </w:t>
      </w:r>
      <w:r>
        <w:rPr>
          <w:i/>
        </w:rPr>
        <w:t xml:space="preserve">Journal of Materials Science, 45</w:t>
      </w:r>
      <w:r>
        <w:t xml:space="preserve">, 2023–2029.</w:t>
      </w:r>
    </w:p>
    <w:p>
      <w:pPr>
        <w:pStyle w:val="References"/>
      </w:pPr>
      <w:r>
        <w:t xml:space="preserve">[21] Golovko, V. V., &amp; Potapov, N. N. (2011). Special features of agglomerated (ceramic) fluxes in welding. </w:t>
      </w:r>
      <w:r>
        <w:rPr>
          <w:i/>
        </w:rPr>
        <w:t xml:space="preserve">Welding International, 25</w:t>
      </w:r>
      <w:r>
        <w:t xml:space="preserve">(11), 889–893.</w:t>
      </w:r>
    </w:p>
    <w:p>
      <w:pPr>
        <w:pStyle w:val="References"/>
      </w:pPr>
      <w:r>
        <w:t xml:space="preserve">[22] Kou, S. (2003). </w:t>
      </w:r>
      <w:r>
        <w:rPr>
          <w:i/>
        </w:rPr>
        <w:t xml:space="preserve">Welding metallurgy</w:t>
      </w:r>
      <w:r>
        <w:t xml:space="preserve"> (2nd ed.). John Wiley &amp; Sons.</w:t>
      </w:r>
    </w:p>
    <w:p>
      <w:pPr>
        <w:pStyle w:val="References"/>
      </w:pPr>
      <w:r>
        <w:t xml:space="preserve">[23] Schwemer, D. D., Olson, D. L., &amp; Williamson, D. L. (1979). Relationship of weld penetration to the welding flux. </w:t>
      </w:r>
      <w:r>
        <w:rPr>
          <w:i/>
        </w:rPr>
        <w:t xml:space="preserve">Welding Research Supplement,</w:t>
      </w:r>
      <w:r>
        <w:t xml:space="preserve"> 153S–160S.</w:t>
      </w:r>
    </w:p>
    <w:p>
      <w:pPr>
        <w:pStyle w:val="References"/>
      </w:pPr>
      <w:r>
        <w:t xml:space="preserve">[24] Chai, C. S., &amp; Eagar, T. W. (1982). Slag-metal reactions in binary CaF₂–metal oxide welding fluxes. </w:t>
      </w:r>
      <w:r>
        <w:rPr>
          <w:i/>
        </w:rPr>
        <w:t xml:space="preserve">Welding Journal, 61</w:t>
      </w:r>
      <w:r>
        <w:t xml:space="preserve">(7), 229–232.</w:t>
      </w:r>
    </w:p>
    <w:p>
      <w:pPr>
        <w:pStyle w:val="References"/>
      </w:pPr>
      <w:r>
        <w:t xml:space="preserve">[25] Beidokhti, B., Koukabi, A. H., &amp; Dolati, A. (2009). Effect of titanium addition on the microstructure and inclusion formation in submerged arc welded HSLA pipeline steel. </w:t>
      </w:r>
      <w:r>
        <w:rPr>
          <w:i/>
        </w:rPr>
        <w:t xml:space="preserve">Journal of Materials Processing Technology, 209</w:t>
      </w:r>
      <w:r>
        <w:t xml:space="preserve">(8), 4027–4035.</w:t>
      </w:r>
    </w:p>
    <w:p>
      <w:pPr>
        <w:pStyle w:val="References"/>
      </w:pPr>
      <w:r>
        <w:t xml:space="preserve">[26] North, T. H., Bell, H. B., Nowicki, A., &amp; Craig, I. (1978). Slag/metal interaction, oxygen and toughness in submerged arc welding. </w:t>
      </w:r>
      <w:r>
        <w:rPr>
          <w:i/>
        </w:rPr>
        <w:t xml:space="preserve">Welding Journal Research Supplement, 57</w:t>
      </w:r>
      <w:r>
        <w:t xml:space="preserve">(3), 63S–75S.</w:t>
      </w:r>
    </w:p>
    <w:p>
      <w:pPr>
        <w:pStyle w:val="References"/>
      </w:pPr>
      <w:r>
        <w:t xml:space="preserve">[27] Baune, E., Bonnet, C., &amp; Liu, S. (2000). Reconsidering the basicity of a FCAW consumable—Part 1: Solidified slag composition of a FCAW consumable as a basicity indicator. </w:t>
      </w:r>
      <w:r>
        <w:rPr>
          <w:i/>
        </w:rPr>
        <w:t xml:space="preserve">Welding Journal, 79</w:t>
      </w:r>
      <w:r>
        <w:t xml:space="preserve">(3), 57S–65S.</w:t>
      </w:r>
    </w:p>
    <w:p>
      <w:pPr>
        <w:pStyle w:val="References"/>
      </w:pPr>
      <w:r>
        <w:t xml:space="preserve">[28] Jindal, S., Chhibber, R., &amp; Mehta, N. P. (2013a). Investigation on flux design for submerged arc welding of high-strength low-alloy steel. </w:t>
      </w:r>
      <w:r>
        <w:rPr>
          <w:i/>
        </w:rPr>
        <w:t xml:space="preserve">Proceedings of the Institution of Mechanical Engineers, Part B: Journal of Engineering Manufacture, 227</w:t>
      </w:r>
      <w:r>
        <w:t xml:space="preserve">(3), 383–395.</w:t>
      </w:r>
    </w:p>
    <w:p>
      <w:pPr>
        <w:pStyle w:val="References"/>
      </w:pPr>
      <w:r>
        <w:t xml:space="preserve">[29] Sharma, L., &amp; Chhibber, R. (2018). Mechanical properties and hydrogen induced cracking behaviour of API X70 SAW weldments. </w:t>
      </w:r>
      <w:r>
        <w:rPr>
          <w:i/>
        </w:rPr>
        <w:t xml:space="preserve">International Journal of Pressure Vessels and Piping, 165</w:t>
      </w:r>
      <w:r>
        <w:t xml:space="preserve">, 193–207.</w:t>
      </w:r>
    </w:p>
    <w:p>
      <w:pPr>
        <w:pStyle w:val="References"/>
      </w:pPr>
      <w:r>
        <w:t xml:space="preserve">[30] Plessis, J. D., Toit, M. D., &amp; Pistorius, P. C. (2007). Control of diffusible weld metal hydrogen through flux chemistry modification. </w:t>
      </w:r>
      <w:r>
        <w:rPr>
          <w:i/>
        </w:rPr>
        <w:t xml:space="preserve">Welding Journal, 86</w:t>
      </w:r>
      <w:r>
        <w:t xml:space="preserve">, 273–280.</w:t>
      </w:r>
    </w:p>
    <w:p>
      <w:pPr>
        <w:pStyle w:val="References"/>
      </w:pPr>
      <w:r>
        <w:t xml:space="preserve">[31] Jindal, S., Chhibber, R., &amp; Mehta, N. P. (2013b). Effect of flux constituents and basicity index on mechanical properties and microstructural evolution of submerged arc welded high-strength low-alloy steel. </w:t>
      </w:r>
      <w:r>
        <w:rPr>
          <w:i/>
        </w:rPr>
        <w:t xml:space="preserve">Materials Science Forum, 738–739</w:t>
      </w:r>
      <w:r>
        <w:t xml:space="preserve">, 242–246.</w:t>
      </w:r>
    </w:p>
    <w:p>
      <w:pPr>
        <w:pStyle w:val="References"/>
      </w:pPr>
      <w:r>
        <w:t xml:space="preserve">[32] Datta, S., Bandyopadhyay, A., &amp; Pal, P. K. (2008). Application of Taguchi philosophy for parametric optimization of bead geometry and HAZ width in submerged arc welding using a mixture of fresh flux and fused flux. </w:t>
      </w:r>
      <w:r>
        <w:rPr>
          <w:i/>
        </w:rPr>
        <w:t xml:space="preserve">International Journal of Advanced Manufacturing Technology, 36</w:t>
      </w:r>
      <w:r>
        <w:t xml:space="preserve">(7–8), 689–698.</w:t>
      </w:r>
    </w:p>
    <w:p>
      <w:pPr>
        <w:pStyle w:val="References"/>
      </w:pPr>
      <w:r>
        <w:t xml:space="preserve">[33] Paniagua-Mercado, A. M., Lopez-Hirata, V. M., &amp; Saucedo-Munoz, M. L. (2005). Influence of the chemical composition of flux on the microstructure and tensile properties of submerged-arc welds. </w:t>
      </w:r>
      <w:r>
        <w:rPr>
          <w:i/>
        </w:rPr>
        <w:t xml:space="preserve">Journal of Materials Processing Technology, 169</w:t>
      </w:r>
      <w:r>
        <w:t xml:space="preserve">(3), 346–351.</w:t>
      </w:r>
    </w:p>
    <w:p>
      <w:pPr>
        <w:pStyle w:val="References"/>
      </w:pPr>
      <w:r>
        <w:t xml:space="preserve">[34] Kanjilal, P., Pal, T. K., &amp; Majumdar, S. K. (2007). Prediction of element transfer in submerged arc welding. </w:t>
      </w:r>
      <w:r>
        <w:rPr>
          <w:i/>
        </w:rPr>
        <w:t xml:space="preserve">Welding Journal, 86</w:t>
      </w:r>
      <w:r>
        <w:t xml:space="preserve">(4), 135S–146S.</w:t>
      </w:r>
    </w:p>
    <w:p>
      <w:pPr>
        <w:pStyle w:val="References"/>
      </w:pPr>
      <w:r>
        <w:t xml:space="preserve">[35] Kanjilal, P., Majumdar, S. K., &amp; Pal, T. K. (2005). Prediction of acicular ferrite in C–Mn steel weld metals. </w:t>
      </w:r>
      <w:r>
        <w:rPr>
          <w:i/>
        </w:rPr>
        <w:t xml:space="preserve">ISIJ International, 45</w:t>
      </w:r>
      <w:r>
        <w:t xml:space="preserve">(6), 876–885.</w:t>
      </w:r>
    </w:p>
    <w:p>
      <w:pPr>
        <w:pStyle w:val="References"/>
      </w:pPr>
      <w:r>
        <w:t xml:space="preserve">[36] Cornell, J. A. (2011). </w:t>
      </w:r>
      <w:r>
        <w:rPr>
          <w:i/>
        </w:rPr>
        <w:t xml:space="preserve">Experiments with mixtures: Designs, models, and the analysis of mixture data</w:t>
      </w:r>
      <w:r>
        <w:t xml:space="preserve"> (3rd ed.). Wiley.</w:t>
      </w:r>
    </w:p>
    <w:p>
      <w:pPr>
        <w:pStyle w:val="References"/>
      </w:pPr>
      <w:r>
        <w:t xml:space="preserve">[37] Adeyeye, A. D., &amp; Oyawale, F. A. (2008). Mixture experiments and their applications in welding flux design. </w:t>
      </w:r>
      <w:r>
        <w:rPr>
          <w:i/>
        </w:rPr>
        <w:t xml:space="preserve">Journal of the Brazilian Society of Mechanical Sciences and Engineering, 30</w:t>
      </w:r>
      <w:r>
        <w:t xml:space="preserve">(4), 319–326.</w:t>
      </w:r>
    </w:p>
    <w:p>
      <w:pPr>
        <w:pStyle w:val="References"/>
      </w:pPr>
      <w:r>
        <w:t xml:space="preserve">[38] Myers, R. H., Montgomery, D. C., &amp; Anderson-Cook, C. M. (2016). </w:t>
      </w:r>
      <w:r>
        <w:rPr>
          <w:i/>
        </w:rPr>
        <w:t xml:space="preserve">Response surface methodology</w:t>
      </w:r>
      <w:r>
        <w:t xml:space="preserve"> (4th ed.). Wiley.</w:t>
      </w:r>
    </w:p>
    <w:p>
      <w:pPr>
        <w:pStyle w:val="References"/>
      </w:pPr>
      <w:r>
        <w:t xml:space="preserve">[39] Montgomery, D. C. (2019). </w:t>
      </w:r>
      <w:r>
        <w:rPr>
          <w:i/>
        </w:rPr>
        <w:t xml:space="preserve">Design and analysis of experiments</w:t>
      </w:r>
      <w:r>
        <w:t xml:space="preserve"> (10th ed.). John Wiley &amp; Sons.</w:t>
      </w:r>
    </w:p>
    <w:p>
      <w:pPr>
        <w:pStyle w:val="References"/>
      </w:pPr>
      <w:r>
        <w:t xml:space="preserve">[40] Adeyeye, A. D., &amp; Oyawale, F. A. (2009). Weld-metal property optimization from flux ingredients through mixture experiments and mathematical programming approach. </w:t>
      </w:r>
      <w:r>
        <w:rPr>
          <w:i/>
        </w:rPr>
        <w:t xml:space="preserve">Materials Research, 12</w:t>
      </w:r>
      <w:r>
        <w:t xml:space="preserve">(3), 339–343.</w:t>
      </w:r>
    </w:p>
    <w:p>
      <w:pPr>
        <w:pStyle w:val="References"/>
      </w:pPr>
      <w:r>
        <w:t xml:space="preserve">[41] Fisher, R. A. (1935). </w:t>
      </w:r>
      <w:r>
        <w:rPr>
          <w:i/>
        </w:rPr>
        <w:t xml:space="preserve">The design of experiments.</w:t>
      </w:r>
      <w:r>
        <w:t xml:space="preserve"> Oliver &amp; Boyd.</w:t>
      </w:r>
    </w:p>
    <w:p>
      <w:pPr>
        <w:pStyle w:val="References"/>
      </w:pPr>
      <w:r>
        <w:t xml:space="preserve">[42] Davis, M. L. E., &amp; Bailey, N. (1991). Evidence of inclusion chemistry for element transfer in submerged arc welding. </w:t>
      </w:r>
      <w:r>
        <w:rPr>
          <w:i/>
        </w:rPr>
        <w:t xml:space="preserve">Welding Journal Research Supplement, 70</w:t>
      </w:r>
      <w:r>
        <w:t xml:space="preserve">(2), 58–65.</w:t>
      </w:r>
    </w:p>
    <w:p>
      <w:pPr>
        <w:pStyle w:val="References"/>
      </w:pPr>
      <w:r>
        <w:t xml:space="preserve">[43] Fox, A. G., Eakes, M. W., &amp; Franke, G. I. (1996). The effect of small changes in flux basicity on the acicular ferrite content and mechanical properties of submerged arc weld metal. </w:t>
      </w:r>
      <w:r>
        <w:rPr>
          <w:i/>
        </w:rPr>
        <w:t xml:space="preserve">Welding Research Supplement,</w:t>
      </w:r>
      <w:r>
        <w:t xml:space="preserve"> 330S–342S.</w:t>
      </w:r>
    </w:p>
    <w:p>
      <w:pPr>
        <w:pStyle w:val="References"/>
      </w:pPr>
      <w:r>
        <w:t xml:space="preserve">[44] Dallam, C. B., Liu, S., &amp; Olson, D. L. (1985). Flux composition dependence of microstructure and toughness of submerged arc HSLA weldments. </w:t>
      </w:r>
      <w:r>
        <w:rPr>
          <w:i/>
        </w:rPr>
        <w:t xml:space="preserve">Welding Research Supplement,</w:t>
      </w:r>
      <w:r>
        <w:t xml:space="preserve"> 140S–152S.</w:t>
      </w:r>
    </w:p>
    <w:p>
      <w:pPr>
        <w:pStyle w:val="References"/>
      </w:pPr>
      <w:r>
        <w:t xml:space="preserve">[45] Quintana, R., Cruz, A., Perdomo, L., Castellanos, G., García, L. L., Formoso, A., &amp; Cores, A. (2003). Study of the transfer efficiency of alloyed elements in fluxes during the submerged arc welding process. </w:t>
      </w:r>
      <w:r>
        <w:rPr>
          <w:i/>
        </w:rPr>
        <w:t xml:space="preserve">Welding International, 17</w:t>
      </w:r>
      <w:r>
        <w:t xml:space="preserve">(12), 958–965.</w:t>
      </w:r>
    </w:p>
    <w:p>
      <w:pPr>
        <w:pStyle w:val="References"/>
      </w:pPr>
      <w:r>
        <w:t xml:space="preserve">[46] Piepel, G. F. (1988). Programs for generating extreme vertices and centroid designs for mixture experiments. </w:t>
      </w:r>
      <w:r>
        <w:rPr>
          <w:i/>
        </w:rPr>
        <w:t xml:space="preserve">Journal of Quality Technology, 20</w:t>
      </w:r>
      <w:r>
        <w:t xml:space="preserve">(2), 125–139.</w:t>
      </w:r>
    </w:p>
    <w:p>
      <w:pPr>
        <w:pStyle w:val="References"/>
      </w:pPr>
      <w:r>
        <w:t xml:space="preserve">[47] Sharma, L., &amp; Chhibber, R. (2019e). Effect of heat treatment on mechanical properties and corrosion behaviour of API X70 linepipe steel in different environments. </w:t>
      </w:r>
      <w:r>
        <w:rPr>
          <w:i/>
        </w:rPr>
        <w:t xml:space="preserve">Transactions of the Indian Institute of Metals, 72</w:t>
      </w:r>
      <w:r>
        <w:t xml:space="preserve">(1), 93–110.</w:t>
      </w:r>
    </w:p>
    <w:p>
      <w:pPr>
        <w:pStyle w:val="References"/>
      </w:pPr>
      <w:r>
        <w:t xml:space="preserve">[48] Bhadeshia, H. K. D. H. (2001). </w:t>
      </w:r>
      <w:r>
        <w:rPr>
          <w:i/>
        </w:rPr>
        <w:t xml:space="preserve">Bainite in steels: Transformations, microstructure and properties</w:t>
      </w:r>
      <w:r>
        <w:t xml:space="preserve"> (2nd ed.). Institute of Materials.</w:t>
      </w:r>
    </w:p>
    <w:p>
      <w:pPr>
        <w:pStyle w:val="References"/>
      </w:pPr>
      <w:r>
        <w:t xml:space="preserve">[49] Thewlis, G. (1994). Classification and quantification of microstructures in steels. </w:t>
      </w:r>
      <w:r>
        <w:rPr>
          <w:i/>
        </w:rPr>
        <w:t xml:space="preserve">Materials Science and Technology, 10</w:t>
      </w:r>
      <w:r>
        <w:t xml:space="preserve">(2), 110–125.</w:t>
      </w:r>
    </w:p>
    <w:p>
      <w:pPr>
        <w:pStyle w:val="References"/>
      </w:pPr>
      <w:r>
        <w:t xml:space="preserve">[50] Easterling, K. (1992). </w:t>
      </w:r>
      <w:r>
        <w:rPr>
          <w:i/>
        </w:rPr>
        <w:t xml:space="preserve">Introduction to the physical metallurgy of welding.</w:t>
      </w:r>
      <w:r>
        <w:t xml:space="preserve"> Butterworth-Heinemann.</w:t>
      </w:r>
    </w:p>
    <w:p>
      <w:pPr>
        <w:pStyle w:val="References"/>
      </w:pPr>
      <w:r>
        <w:t xml:space="preserve">[51] Svensson, L. E. (1994). </w:t>
      </w:r>
      <w:r>
        <w:rPr>
          <w:i/>
        </w:rPr>
        <w:t xml:space="preserve">Control of microstructures and properties in steel arc welds.</w:t>
      </w:r>
      <w:r>
        <w:t xml:space="preserve"> CRC Press.</w:t>
      </w:r>
    </w:p>
    <w:p>
      <w:pPr>
        <w:pStyle w:val="References"/>
      </w:pPr>
      <w:r>
        <w:t xml:space="preserve">[52] Lancaster, J. F. (1999). </w:t>
      </w:r>
      <w:r>
        <w:rPr>
          <w:i/>
        </w:rPr>
        <w:t xml:space="preserve">The metallurgy of welding</w:t>
      </w:r>
      <w:r>
        <w:t xml:space="preserve"> (6th ed.). Woodhead Publishing.</w:t>
      </w:r>
    </w:p>
    <w:p>
      <w:pPr>
        <w:pStyle w:val="References"/>
      </w:pPr>
      <w:r>
        <w:t xml:space="preserve">[53] Arora, K. S., Pandu, R. S., Shajan, N., Pathak, P., &amp; Shome, M. (2018). Microstructure and impact toughness of reheated coarse-grain heat-affected zones of API X65 and API X80 linepipe steels. </w:t>
      </w:r>
      <w:r>
        <w:rPr>
          <w:i/>
        </w:rPr>
        <w:t xml:space="preserve">International Journal of Pressure Vessels and Piping, 167</w:t>
      </w:r>
      <w:r>
        <w:t xml:space="preserve">, 37–47.</w:t>
      </w:r>
    </w:p>
    <w:p>
      <w:pPr>
        <w:pStyle w:val="References"/>
      </w:pPr>
      <w:r>
        <w:t xml:space="preserve">[54] Arya, H. K., Singh, K., &amp; Saxena, R. K. (2018). Effect of weld cooling rates on mechanical and metallurgical properties of submerged arc welded pressure vessel steel. </w:t>
      </w:r>
      <w:r>
        <w:rPr>
          <w:i/>
        </w:rPr>
        <w:t xml:space="preserve">Journal of Pressure Vessel Technology, 140</w:t>
      </w:r>
      <w:r>
        <w:t xml:space="preserve">(4), 041406.</w:t>
      </w:r>
    </w:p>
    <w:p>
      <w:pPr>
        <w:pStyle w:val="References"/>
      </w:pPr>
      <w:r>
        <w:t xml:space="preserve">[55] Olson, D. L. (1986). Prediction of acicular ferrite formation in C–Mn steel weld metal. </w:t>
      </w:r>
      <w:r>
        <w:rPr>
          <w:i/>
        </w:rPr>
        <w:t xml:space="preserve">Welding Journal Research Supplement,</w:t>
      </w:r>
      <w:r>
        <w:t xml:space="preserve"> 97S–106S.</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Heading4">
    <w:name w:val="heading 4"/>
    <w:basedOn w:val="Normal"/>
    <w:pPr>
      <w:spacing w:before="160" w:after="80"/>
      <w:jc w:val="left"/>
    </w:pPr>
    <w:rPr>
      <w:i/>
      <w:sz w:val="24"/>
      <w:szCs w:val="24"/>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TableCaption">
    <w:name w:val="Table Caption"/>
    <w:basedOn w:val="Normal"/>
    <w:pPr>
      <w:spacing w:before="120" w:after="60"/>
    </w:pPr>
    <w:rPr>
      <w:b/>
      <w:sz w:val="22"/>
      <w:szCs w:val="22"/>
    </w:rPr>
  </w:style>
  <w:style w:type="paragraph" w:styleId="Equation">
    <w:name w:val="Equation"/>
    <w:basedOn w:val="Normal"/>
    <w:pPr>
      <w:spacing w:before="60" w:after="60"/>
      <w:jc w:val="left"/>
      <w:ind w:left="360"/>
    </w:pPr>
    <w:rPr>
      <w:rFonts w:ascii="Consolas" w:hAnsi="Consolas" w:cs="Consolas"/>
      <w:sz w:val="20"/>
      <w:szCs w:val="20"/>
    </w:rPr>
  </w:style>
  <w:style w:type="paragraph" w:styleId="ListBullet">
    <w:name w:val="List Bullet"/>
    <w:basedOn w:val="Normal"/>
    <w:pPr>
      <w:ind w:left="720" w:hanging="360"/>
      <w:spacing w:after="60"/>
      <w:jc w:val="left"/>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