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10. AI-Enabled Nanomedicine and Smart Drug Delivery</w:t>
      </w:r>
    </w:p>
    <w:p>
      <w:pPr>
        <w:pStyle w:val="Normal"/>
      </w:pPr>
      <w:r>
        <w:rPr>
          <w:b/>
        </w:rPr>
        <w:t xml:space="preserve">Book:</w:t>
      </w:r>
      <w:r>
        <w:t xml:space="preserve"> </w:t>
      </w:r>
      <w:r>
        <w:rPr>
          <w:i/>
        </w:rPr>
        <w:t xml:space="preserve">Artificial Intelligence in Advanced Materials and Manufacturing</w:t>
      </w:r>
    </w:p>
    <w:p>
      <w:pPr>
        <w:pStyle w:val="Heading1"/>
      </w:pPr>
      <w:r>
        <w:t xml:space="preserve">Abstract</w:t>
      </w:r>
    </w:p>
    <w:p>
      <w:pPr>
        <w:pStyle w:val="Normal"/>
      </w:pPr>
      <w:r>
        <w:t xml:space="preserve">Nanomedicine has emerged as one of the most transformative frontiers in modern therapeutics, offering unprecedented control over how drugs are formulated, transported, and released within the human body. By engineering materials at the nanoscale, researchers can overcome the fundamental limitations of conventional pharmacology, including poor solubility, rapid systemic clearance, off-target toxicity, and inadequate bioavailability. Yet the design of nanoscale drug delivery systems is extraordinarily complex, governed by a vast, high-dimensional parameter space that spans particle size, surface chemistry, morphology, composition, and dynamic physiological interactions. Artificial intelligence (AI) and machine learning (ML) have rapidly become indispensable tools for navigating this complexity, enabling predictive modelling, inverse design, and autonomous optimization of nanoparticle formulations that would be intractable through empirical experimentation alone. This chapter provides a comprehensive examination of AI-enabled nanomedicine and smart drug delivery across three interconnected domains. It first surveys the landscape of nanotechnology-based drug delivery systems, describing the principal nanocarrier platforms and their therapeutic mechanisms. It then explores how machine learning is revolutionizing nanoparticle design and optimization, detailing data-driven descriptor engineering, property prediction, and generative inverse design. Finally, it investigates stimuli-responsive and AI-optimized delivery systems that combine intelligent materials with closed-loop control to achieve personalized, adaptive, and precisely targeted therapy. Throughout, the chapter integrates quantitative performance data, representative case studies, and forward-looking perspectives on regulatory, ethical, and translational challenges. The convergence of nanotechnology and artificial intelligence promises a new generation of precision medicines that are safer, more effective, and increasingly tailored to individual patients.</w:t>
      </w:r>
    </w:p>
    <w:p>
      <w:pPr>
        <w:pStyle w:val="Normal"/>
      </w:pPr>
      <w:r>
        <w:rPr>
          <w:b/>
        </w:rPr>
        <w:t xml:space="preserve">Keywords:</w:t>
      </w:r>
      <w:r>
        <w:t xml:space="preserve"> Nanomedicine, Smart Drug Delivery, Machine Learning, Nanoparticle Design, Stimuli-Responsive Systems, Inverse Design, Theranostics, Precision Medicine, Artificial Intelligence, Controlled Release</w:t>
      </w:r>
    </w:p>
    <w:p>
      <w:pPr>
        <w:pStyle w:val="Heading1"/>
      </w:pPr>
      <w:r>
        <w:t xml:space="preserve">10.1 Nanotechnology-Based Drug Delivery Systems</w:t>
      </w:r>
    </w:p>
    <w:p>
      <w:pPr>
        <w:pStyle w:val="Heading2"/>
      </w:pPr>
      <w:r>
        <w:t xml:space="preserve">10.1.1 Introduction and Motivation</w:t>
      </w:r>
    </w:p>
    <w:p>
      <w:pPr>
        <w:pStyle w:val="Normal"/>
      </w:pPr>
      <w:r>
        <w:t xml:space="preserve">The therapeutic value of a drug is determined not only by its intrinsic pharmacological activity but also by its ability to reach the intended site of action at an effective concentration while sparing healthy tissue. Conventional drug administration frequently fails to satisfy these requirements: many potent molecules exhibit poor aqueous solubility, undergo rapid metabolic degradation, distribute indiscriminately throughout the body, or produce dose-limiting toxicity before achieving therapeutic efficacy [1]. These deficiencies are particularly acute in oncology, where cytotoxic agents damage proliferating healthy cells, and in the treatment of central nervous system disorders, where the blood–brain barrier obstructs the delivery of most therapeutics [2]. Nanotechnology-based drug delivery systems address these longstanding challenges by encapsulating, conjugating, or adsorbing therapeutic payloads within engineered nanoscale carriers, thereby decoupling the pharmacokinetic behaviour of the delivery vehicle from that of the free drug [3].</w:t>
      </w:r>
    </w:p>
    <w:p>
      <w:pPr>
        <w:pStyle w:val="Normal"/>
      </w:pPr>
      <w:r>
        <w:t xml:space="preserve">A nanocarrier typically ranges from approximately 10 to 200 nanometres in diameter, a size regime that confers several distinctive advantages. Particles in this range can exploit the enhanced permeability and retention (EPR) effect, whereby the leaky vasculature and impaired lymphatic drainage of solid tumours permit preferential accumulation of nanomedicines within malignant tissue [4]. Surface functionalization with targeting ligands such as antibodies, peptides, or aptamers enables active recognition of disease-specific receptors, further improving selectivity [5]. Encapsulation also protects labile payloads—including nucleic acids, peptides, and proteins—from enzymatic degradation, while controlled-release architectures sustain therapeutic concentrations over extended periods, reducing dosing frequency and improving patient adherence [6]. The clinical significance of these principles is exemplified by the rapid global deployment of lipid nanoparticle formulations for messenger RNA vaccines, which demonstrated that nanoscale delivery is not merely a laboratory curiosity but a mature, scalable pharmaceutical technology [7].</w:t>
      </w:r>
    </w:p>
    <w:p>
      <w:pPr>
        <w:pStyle w:val="Normal"/>
      </w:pPr>
      <w:r>
        <w:t xml:space="preserve">Beyond oncology, nanotechnology-based delivery is being applied across an expanding range of therapeutic areas, including infectious disease, cardiovascular disorders, neurodegenerative conditions, and regenerative medicine [3]. In each domain, the capacity to control where and when a drug acts confers distinct advantages: antimicrobial nanocarriers can concentrate antibiotics at sites of infection while limiting the systemic exposure that drives resistance, and nanoparticles engineered to cross the blood–brain barrier open therapeutic avenues for conditions that have long resisted pharmacological intervention [2]. This breadth of application underscores that nanomedicine is not a niche technology but a broadly enabling platform whose impact is likely to grow as design tools improve [20].</w:t>
      </w:r>
    </w:p>
    <w:p>
      <w:pPr>
        <w:pStyle w:val="Normal"/>
      </w:pPr>
      <w:r>
        <w:t xml:space="preserve">The historical trajectory of nanomedicine reflects a steady progression from simple solubilizing agents toward increasingly sophisticated, multifunctional systems. Early efforts focused primarily on improving the pharmacokinetics of existing drugs by encapsulating them in liposomes or polymer matrices, thereby prolonging circulation and reducing toxicity [3]. Subsequent generations introduced active targeting, whereby ligands displayed on the carrier surface direct the particle to specific cell populations, and stimuli-responsiveness, whereby the carrier releases its cargo only under defined conditions [1]. The most recent generation aspires to integrate sensing, computation, and actuation within a single platform, blurring the boundary between a passive delivery vehicle and an active therapeutic device [20]. This evolution has been driven not only by advances in materials chemistry but also by a deepening quantitative understanding of how nanoscale objects interact with the complex, dynamic environment of the human body [16]. The result is a field that increasingly demands computational tools capable of reasoning about many interacting variables simultaneously, setting the stage for the integration of artificial intelligence discussed throughout this chapter [26].</w:t>
      </w:r>
    </w:p>
    <w:p>
      <w:pPr>
        <w:pStyle w:val="Heading2"/>
      </w:pPr>
      <w:r>
        <w:t xml:space="preserve">10.1.2 Principal Nanocarrier Platforms</w:t>
      </w:r>
    </w:p>
    <w:p>
      <w:pPr>
        <w:pStyle w:val="Normal"/>
      </w:pPr>
      <w:r>
        <w:t xml:space="preserve">The nanomedicine landscape encompasses a diverse array of carrier architectures, each with characteristic advantages, limitations, and clinical maturity. </w:t>
      </w:r>
      <w:r>
        <w:rPr>
          <w:b/>
        </w:rPr>
        <w:t xml:space="preserve">Figure 1</w:t>
      </w:r>
      <w:r>
        <w:t xml:space="preserve"> presents a taxonomy of the major platform classes together with representative examples.</w:t>
      </w:r>
    </w:p>
    <w:p>
      <w:pPr>
        <w:pStyle w:val="FigureImage"/>
      </w:pPr>
      <w:r>
        <w:drawing>
          <wp:inline xmlns:wp="http://schemas.openxmlformats.org/drawingml/2006/wordprocessingDrawing" distT="0" distB="0" distL="0" distR="0">
            <wp:extent cx="5486400" cy="3609473"/>
            <wp:effectExtent l="0" t="0" r="0" b="0"/>
            <wp:docPr id="1001" name="Figure_1_Nanocarrier_Platfo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Nanocarrier_Platforms.png"/>
                    <pic:cNvPicPr/>
                  </pic:nvPicPr>
                  <pic:blipFill>
                    <a:blip xmlns:r="http://schemas.openxmlformats.org/officeDocument/2006/relationships" r:embed="rIdImg1"/>
                    <a:stretch>
                      <a:fillRect/>
                    </a:stretch>
                  </pic:blipFill>
                  <pic:spPr>
                    <a:xfrm>
                      <a:off x="0" y="0"/>
                      <a:ext cx="5486400" cy="3609473"/>
                    </a:xfrm>
                    <a:prstGeom prst="rect">
                      <a:avLst/>
                    </a:prstGeom>
                  </pic:spPr>
                </pic:pic>
              </a:graphicData>
            </a:graphic>
          </wp:inline>
        </w:drawing>
      </w:r>
    </w:p>
    <w:p>
      <w:pPr>
        <w:pStyle w:val="FigureCaption"/>
      </w:pPr>
      <w:r>
        <w:t xml:space="preserve">Figure 1. Taxonomy of the principal nanocarrier platforms used in drug delivery, showing eight major classes—liposomes, polymeric nanoparticles, lipid nanoparticles, dendrimers, inorganic nanoparticles, polymeric micelles, protein/exosome carriers, and carbon nanomaterials—arranged around a central node, each annotated with a representative example or material.</w:t>
      </w:r>
    </w:p>
    <w:p>
      <w:pPr>
        <w:pStyle w:val="Normal"/>
      </w:pPr>
      <w:r>
        <w:t xml:space="preserve">Liposomes—spherical vesicles composed of one or more phospholipid bilayers enclosing an aqueous core—were among the earliest nanocarriers to reach the clinic and remain a cornerstone of the field [8]. Their amphiphilic structure permits the simultaneous encapsulation of hydrophilic drugs within the aqueous interior and hydrophobic drugs within the lipid membrane. The approval of liposomal doxorubicin marked a milestone in demonstrating that nanoscale reformulation could reduce cardiotoxicity while preserving efficacy [9].</w:t>
      </w:r>
    </w:p>
    <w:p>
      <w:pPr>
        <w:pStyle w:val="Normal"/>
      </w:pPr>
      <w:r>
        <w:t xml:space="preserve">Polymeric nanoparticles, frequently fabricated from biodegradable polymers such as poly(lactic-co-glycolic acid) (PLGA) and often surface-modified with poly(ethylene glycol) (PEG), offer tunable degradation kinetics and robust control over release profiles [10]. Lipid nanoparticles (LNPs) represent a more recent evolution, integrating ionizable lipids, cholesterol, helper lipids, and PEG-lipids into a structure optimized for nucleic acid delivery; these systems underpin contemporary mRNA therapeutics and gene-editing vectors [11]. Dendrimers—precisely branched, monodisperse macromolecules with well-defined surface groups—provide exceptional control over multivalency and payload loading, making them attractive for both drug delivery and molecular imaging [12].</w:t>
      </w:r>
    </w:p>
    <w:p>
      <w:pPr>
        <w:pStyle w:val="Normal"/>
      </w:pPr>
      <w:r>
        <w:t xml:space="preserve">Inorganic nanoparticles, including gold, silica, and iron oxide platforms, contribute unique optical, magnetic, and photothermal properties that enable combined therapeutic and diagnostic (theranostic) functionality [13]. Polymeric micelles, self-assembled from amphiphilic block copolymers, solubilize hydrophobic drugs within their hydrophobic cores and are particularly suited to poorly water-soluble anticancer agents [14]. Protein-based carriers such as albumin nanoparticles and naturally derived extracellular vesicles offer excellent biocompatibility and intrinsic biological targeting, while carbon-based nanomaterials such as carbon nanotubes and graphene derivatives provide high surface area for payload conjugation, albeit with ongoing concerns regarding long-term biocompatibility [15]. As illustrated in </w:t>
      </w:r>
      <w:r>
        <w:rPr>
          <w:b/>
        </w:rPr>
        <w:t xml:space="preserve">Figure 1</w:t>
      </w:r>
      <w:r>
        <w:t xml:space="preserve">, the choice of platform is dictated by the physicochemical nature of the payload, the target tissue, and the desired release kinetics, and no single carrier is universally optimal.</w:t>
      </w:r>
    </w:p>
    <w:p>
      <w:pPr>
        <w:pStyle w:val="Heading2"/>
      </w:pPr>
      <w:r>
        <w:t xml:space="preserve">10.1.3 Design Parameters Governing Performance</w:t>
      </w:r>
    </w:p>
    <w:p>
      <w:pPr>
        <w:pStyle w:val="Normal"/>
      </w:pPr>
      <w:r>
        <w:t xml:space="preserve">The therapeutic behaviour of a nanocarrier is dictated by a constellation of physicochemical attributes that interact in complex, often non-linear ways. Particle size and polydispersity index govern circulation time, tissue penetration, and cellular uptake; particles that are too small are rapidly cleared by renal filtration, whereas those that are too large are sequestered by the mononuclear phagocyte system [16]. Surface charge, quantified by zeta potential, influences colloidal stability, protein corona formation, and interactions with negatively charged cell membranes [17]. Surface chemistry—including PEGylation density and the presence of targeting ligands—modulates immune recognition and receptor-mediated endocytosis [18]. Shape and aspect ratio, though historically underappreciated, exert a profound effect on margination, biodistribution, and macrophage uptake, with rod-shaped and discoidal particles frequently exhibiting distinct behaviour relative to spheres [19].</w:t>
      </w:r>
    </w:p>
    <w:p>
      <w:pPr>
        <w:pStyle w:val="Normal"/>
      </w:pPr>
      <w:r>
        <w:rPr>
          <w:b/>
        </w:rPr>
        <w:t xml:space="preserve">Table 1</w:t>
      </w:r>
      <w:r>
        <w:t xml:space="preserve"> summarizes the principal nanocarrier platforms alongside their typical size ranges, payload compatibilities, representative clinical status, and salient advantages and limitations. The multidimensional and interdependent nature of these parameters means that intuitive, one-factor-at-a-time optimization is rarely sufficient. A change in surface chemistry may simultaneously alter circulation time, immunogenicity, and encapsulation efficiency, producing trade-offs that are difficult to anticipate. As </w:t>
      </w:r>
      <w:r>
        <w:rPr>
          <w:b/>
        </w:rPr>
        <w:t xml:space="preserve">Table 1</w:t>
      </w:r>
      <w:r>
        <w:t xml:space="preserve"> makes clear, the design of an effective nanomedicine is fundamentally a high-dimensional optimization problem—precisely the class of challenge for which artificial intelligence is exceptionally well suited [20].</w:t>
      </w:r>
    </w:p>
    <w:p>
      <w:pPr>
        <w:pStyle w:val="TableCaption"/>
      </w:pPr>
      <w:r>
        <w:t xml:space="preserve">Table 1. Comparison of major nanocarrier platforms for drug delivery, including typical size ranges, payload compatibility, clinical maturity, and key advantages and limitations.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val="clear" w:color="auto" w:fill="D9E2F3"/>
          </w:tcPr>
          <w:p>
            <w:pPr>
              <w:jc w:val="center"/>
            </w:pPr>
            <w:r>
              <w:rPr>
                <w:b/>
              </w:rPr>
              <w:t xml:space="preserve">Nanocarrier Platform</w:t>
            </w:r>
          </w:p>
        </w:tc>
        <w:tc>
          <w:tcPr>
            <w:shd w:val="clear" w:color="auto" w:fill="D9E2F3"/>
          </w:tcPr>
          <w:p>
            <w:pPr>
              <w:jc w:val="center"/>
            </w:pPr>
            <w:r>
              <w:rPr>
                <w:b/>
              </w:rPr>
              <w:t xml:space="preserve">Typical Size (nm)</w:t>
            </w:r>
          </w:p>
        </w:tc>
        <w:tc>
          <w:tcPr>
            <w:shd w:val="clear" w:color="auto" w:fill="D9E2F3"/>
          </w:tcPr>
          <w:p>
            <w:pPr>
              <w:jc w:val="center"/>
            </w:pPr>
            <w:r>
              <w:rPr>
                <w:b/>
              </w:rPr>
              <w:t xml:space="preserve">Payload Compatibility</w:t>
            </w:r>
          </w:p>
        </w:tc>
        <w:tc>
          <w:tcPr>
            <w:shd w:val="clear" w:color="auto" w:fill="D9E2F3"/>
          </w:tcPr>
          <w:p>
            <w:pPr>
              <w:jc w:val="center"/>
            </w:pPr>
            <w:r>
              <w:rPr>
                <w:b/>
              </w:rPr>
              <w:t xml:space="preserve">Clinical Status</w:t>
            </w:r>
          </w:p>
        </w:tc>
        <w:tc>
          <w:tcPr>
            <w:shd w:val="clear" w:color="auto" w:fill="D9E2F3"/>
          </w:tcPr>
          <w:p>
            <w:pPr>
              <w:jc w:val="center"/>
            </w:pPr>
            <w:r>
              <w:rPr>
                <w:b/>
              </w:rPr>
              <w:t xml:space="preserve">Key Advantage</w:t>
            </w:r>
          </w:p>
        </w:tc>
        <w:tc>
          <w:tcPr>
            <w:shd w:val="clear" w:color="auto" w:fill="D9E2F3"/>
          </w:tcPr>
          <w:p>
            <w:pPr>
              <w:jc w:val="center"/>
            </w:pPr>
            <w:r>
              <w:rPr>
                <w:b/>
              </w:rPr>
              <w:t xml:space="preserve">Principal Limitation</w:t>
            </w:r>
          </w:p>
        </w:tc>
      </w:tr>
      <w:tr>
        <w:tc>
          <w:p>
            <w:pPr>
              <w:spacing w:after="40"/>
            </w:pPr>
            <w:r>
              <w:t xml:space="preserve">Liposomes</w:t>
            </w:r>
          </w:p>
        </w:tc>
        <w:tc>
          <w:p>
            <w:pPr>
              <w:spacing w:after="40"/>
            </w:pPr>
            <w:r>
              <w:t xml:space="preserve">50-200</w:t>
            </w:r>
          </w:p>
        </w:tc>
        <w:tc>
          <w:p>
            <w:pPr>
              <w:spacing w:after="40"/>
            </w:pPr>
            <w:r>
              <w:t xml:space="preserve">Hydrophilic and hydrophobic</w:t>
            </w:r>
          </w:p>
        </w:tc>
        <w:tc>
          <w:p>
            <w:pPr>
              <w:spacing w:after="40"/>
            </w:pPr>
            <w:r>
              <w:t xml:space="preserve">Multiple approved products</w:t>
            </w:r>
          </w:p>
        </w:tc>
        <w:tc>
          <w:p>
            <w:pPr>
              <w:spacing w:after="40"/>
            </w:pPr>
            <w:r>
              <w:t xml:space="preserve">Biocompatible, versatile loading</w:t>
            </w:r>
          </w:p>
        </w:tc>
        <w:tc>
          <w:p>
            <w:pPr>
              <w:spacing w:after="40"/>
            </w:pPr>
            <w:r>
              <w:t xml:space="preserve">Physical/chemical stability</w:t>
            </w:r>
          </w:p>
        </w:tc>
      </w:tr>
      <w:tr>
        <w:tc>
          <w:p>
            <w:pPr>
              <w:spacing w:after="40"/>
            </w:pPr>
            <w:r>
              <w:t xml:space="preserve">Polymeric NPs (PLGA)</w:t>
            </w:r>
          </w:p>
        </w:tc>
        <w:tc>
          <w:p>
            <w:pPr>
              <w:spacing w:after="40"/>
            </w:pPr>
            <w:r>
              <w:t xml:space="preserve">50-250</w:t>
            </w:r>
          </w:p>
        </w:tc>
        <w:tc>
          <w:p>
            <w:pPr>
              <w:spacing w:after="40"/>
            </w:pPr>
            <w:r>
              <w:t xml:space="preserve">Small molecules, proteins</w:t>
            </w:r>
          </w:p>
        </w:tc>
        <w:tc>
          <w:p>
            <w:pPr>
              <w:spacing w:after="40"/>
            </w:pPr>
            <w:r>
              <w:t xml:space="preserve">Several approved/clinical</w:t>
            </w:r>
          </w:p>
        </w:tc>
        <w:tc>
          <w:p>
            <w:pPr>
              <w:spacing w:after="40"/>
            </w:pPr>
            <w:r>
              <w:t xml:space="preserve">Tunable, sustained release</w:t>
            </w:r>
          </w:p>
        </w:tc>
        <w:tc>
          <w:p>
            <w:pPr>
              <w:spacing w:after="40"/>
            </w:pPr>
            <w:r>
              <w:t xml:space="preserve">Burst release, residual solvents</w:t>
            </w:r>
          </w:p>
        </w:tc>
      </w:tr>
      <w:tr>
        <w:tc>
          <w:p>
            <w:pPr>
              <w:spacing w:after="40"/>
            </w:pPr>
            <w:r>
              <w:t xml:space="preserve">Lipid Nanoparticles</w:t>
            </w:r>
          </w:p>
        </w:tc>
        <w:tc>
          <w:p>
            <w:pPr>
              <w:spacing w:after="40"/>
            </w:pPr>
            <w:r>
              <w:t xml:space="preserve">60-120</w:t>
            </w:r>
          </w:p>
        </w:tc>
        <w:tc>
          <w:p>
            <w:pPr>
              <w:spacing w:after="40"/>
            </w:pPr>
            <w:r>
              <w:t xml:space="preserve">mRNA, siRNA, DNA</w:t>
            </w:r>
          </w:p>
        </w:tc>
        <w:tc>
          <w:p>
            <w:pPr>
              <w:spacing w:after="40"/>
            </w:pPr>
            <w:r>
              <w:t xml:space="preserve">Approved (mRNA vaccines)</w:t>
            </w:r>
          </w:p>
        </w:tc>
        <w:tc>
          <w:p>
            <w:pPr>
              <w:spacing w:after="40"/>
            </w:pPr>
            <w:r>
              <w:t xml:space="preserve">Efficient nucleic acid delivery</w:t>
            </w:r>
          </w:p>
        </w:tc>
        <w:tc>
          <w:p>
            <w:pPr>
              <w:spacing w:after="40"/>
            </w:pPr>
            <w:r>
              <w:t xml:space="preserve">Cold-chain, ionizable lipid tox</w:t>
            </w:r>
          </w:p>
        </w:tc>
      </w:tr>
      <w:tr>
        <w:tc>
          <w:p>
            <w:pPr>
              <w:spacing w:after="40"/>
            </w:pPr>
            <w:r>
              <w:t xml:space="preserve">Dendrimers</w:t>
            </w:r>
          </w:p>
        </w:tc>
        <w:tc>
          <w:p>
            <w:pPr>
              <w:spacing w:after="40"/>
            </w:pPr>
            <w:r>
              <w:t xml:space="preserve">2-20</w:t>
            </w:r>
          </w:p>
        </w:tc>
        <w:tc>
          <w:p>
            <w:pPr>
              <w:spacing w:after="40"/>
            </w:pPr>
            <w:r>
              <w:t xml:space="preserve">Small molecules, imaging</w:t>
            </w:r>
          </w:p>
        </w:tc>
        <w:tc>
          <w:p>
            <w:pPr>
              <w:spacing w:after="40"/>
            </w:pPr>
            <w:r>
              <w:t xml:space="preserve">Early clinical</w:t>
            </w:r>
          </w:p>
        </w:tc>
        <w:tc>
          <w:p>
            <w:pPr>
              <w:spacing w:after="40"/>
            </w:pPr>
            <w:r>
              <w:t xml:space="preserve">Precise multivalency</w:t>
            </w:r>
          </w:p>
        </w:tc>
        <w:tc>
          <w:p>
            <w:pPr>
              <w:spacing w:after="40"/>
            </w:pPr>
            <w:r>
              <w:t xml:space="preserve">Synthesis cost, cytotoxicity</w:t>
            </w:r>
          </w:p>
        </w:tc>
      </w:tr>
      <w:tr>
        <w:tc>
          <w:p>
            <w:pPr>
              <w:spacing w:after="40"/>
            </w:pPr>
            <w:r>
              <w:t xml:space="preserve">Inorganic (Au/SiO2/Fe3O4)</w:t>
            </w:r>
          </w:p>
        </w:tc>
        <w:tc>
          <w:p>
            <w:pPr>
              <w:spacing w:after="40"/>
            </w:pPr>
            <w:r>
              <w:t xml:space="preserve">5-100</w:t>
            </w:r>
          </w:p>
        </w:tc>
        <w:tc>
          <w:p>
            <w:pPr>
              <w:spacing w:after="40"/>
            </w:pPr>
            <w:r>
              <w:t xml:space="preserve">Surface-conjugated drugs</w:t>
            </w:r>
          </w:p>
        </w:tc>
        <w:tc>
          <w:p>
            <w:pPr>
              <w:spacing w:after="40"/>
            </w:pPr>
            <w:r>
              <w:t xml:space="preserve">Clinical trials</w:t>
            </w:r>
          </w:p>
        </w:tc>
        <w:tc>
          <w:p>
            <w:pPr>
              <w:spacing w:after="40"/>
            </w:pPr>
            <w:r>
              <w:t xml:space="preserve">Theranostic, imaging contrast</w:t>
            </w:r>
          </w:p>
        </w:tc>
        <w:tc>
          <w:p>
            <w:pPr>
              <w:spacing w:after="40"/>
            </w:pPr>
            <w:r>
              <w:t xml:space="preserve">Long-term clearance concerns</w:t>
            </w:r>
          </w:p>
        </w:tc>
      </w:tr>
      <w:tr>
        <w:tc>
          <w:p>
            <w:pPr>
              <w:spacing w:after="40"/>
            </w:pPr>
            <w:r>
              <w:t xml:space="preserve">Polymeric Micelles</w:t>
            </w:r>
          </w:p>
        </w:tc>
        <w:tc>
          <w:p>
            <w:pPr>
              <w:spacing w:after="40"/>
            </w:pPr>
            <w:r>
              <w:t xml:space="preserve">10-100</w:t>
            </w:r>
          </w:p>
        </w:tc>
        <w:tc>
          <w:p>
            <w:pPr>
              <w:spacing w:after="40"/>
            </w:pPr>
            <w:r>
              <w:t xml:space="preserve">Hydrophobic drugs</w:t>
            </w:r>
          </w:p>
        </w:tc>
        <w:tc>
          <w:p>
            <w:pPr>
              <w:spacing w:after="40"/>
            </w:pPr>
            <w:r>
              <w:t xml:space="preserve">Several clinical</w:t>
            </w:r>
          </w:p>
        </w:tc>
        <w:tc>
          <w:p>
            <w:pPr>
              <w:spacing w:after="40"/>
            </w:pPr>
            <w:r>
              <w:t xml:space="preserve">Solubilizes insoluble drugs</w:t>
            </w:r>
          </w:p>
        </w:tc>
        <w:tc>
          <w:p>
            <w:pPr>
              <w:spacing w:after="40"/>
            </w:pPr>
            <w:r>
              <w:t xml:space="preserve">Dilution-induced disassembly</w:t>
            </w:r>
          </w:p>
        </w:tc>
      </w:tr>
      <w:tr>
        <w:tc>
          <w:p>
            <w:pPr>
              <w:spacing w:after="40"/>
            </w:pPr>
            <w:r>
              <w:t xml:space="preserve">Protein / Exosomes</w:t>
            </w:r>
          </w:p>
        </w:tc>
        <w:tc>
          <w:p>
            <w:pPr>
              <w:spacing w:after="40"/>
            </w:pPr>
            <w:r>
              <w:t xml:space="preserve">30-150</w:t>
            </w:r>
          </w:p>
        </w:tc>
        <w:tc>
          <w:p>
            <w:pPr>
              <w:spacing w:after="40"/>
            </w:pPr>
            <w:r>
              <w:t xml:space="preserve">Proteins, nucleic acids</w:t>
            </w:r>
          </w:p>
        </w:tc>
        <w:tc>
          <w:p>
            <w:pPr>
              <w:spacing w:after="40"/>
            </w:pPr>
            <w:r>
              <w:t xml:space="preserve">Approved (albumin)</w:t>
            </w:r>
          </w:p>
        </w:tc>
        <w:tc>
          <w:p>
            <w:pPr>
              <w:spacing w:after="40"/>
            </w:pPr>
            <w:r>
              <w:t xml:space="preserve">Biocompatible, intrinsic homing</w:t>
            </w:r>
          </w:p>
        </w:tc>
        <w:tc>
          <w:p>
            <w:pPr>
              <w:spacing w:after="40"/>
            </w:pPr>
            <w:r>
              <w:t xml:space="preserve">Scale-up, batch variability</w:t>
            </w:r>
          </w:p>
        </w:tc>
      </w:tr>
    </w:tbl>
    <w:p>
      <w:pPr>
        <w:pStyle w:val="Heading2"/>
      </w:pPr>
      <w:r>
        <w:t xml:space="preserve">10.1.4 Biological Barriers and Translational Challenges</w:t>
      </w:r>
    </w:p>
    <w:p>
      <w:pPr>
        <w:pStyle w:val="Normal"/>
      </w:pPr>
      <w:r>
        <w:t xml:space="preserve">Despite substantial progress, the clinical translation of nanomedicines remains challenging. Following administration, nanoparticles encounter a succession of biological barriers, beginning with opsonization and protein corona formation, which can mask targeting ligands and redirect particles toward clearance organs [21]. Extravasation into target tissue, penetration through dense extracellular matrix, cellular internalization, and endosomal escape each present formidable obstacles that collectively limit the fraction of an administered dose reaching its intended intracellular target [22]. Manufacturing reproducibility, batch-to-batch consistency, scalability, and long-term stability further complicate translation, and regulatory frameworks for complex nanomaterials continue to evolve [23]. The transition from bench-scale synthesis to reproducible manufacturing at the scale required for clinical use is frequently underestimated, yet it is often decisive in determining whether a promising formulation reaches patients. Small variations in mixing dynamics, temperature, or reagent purity can propagate into significant differences in particle size distribution and drug loading, with direct consequences for safety and efficacy [10]. Process analytical technologies coupled with machine learning offer a means to monitor and control these variables in real time, supporting the quality-by-design principles increasingly emphasized by regulatory agencies [26]. These translational hurdles underscore the need for predictive, data-driven design strategies that can anticipate biological performance early in development, thereby reducing the enormous attrition rates that characterize conventional nanomedicine development pipelines [24].</w:t>
      </w:r>
    </w:p>
    <w:p>
      <w:pPr>
        <w:pStyle w:val="Normal"/>
      </w:pPr>
      <w:r>
        <w:t xml:space="preserve">A particularly instructive illustration of these barriers is the well-documented observation that only a small percentage of an administered nanoparticle dose typically reaches the intended tumour, with the remainder distributed to clearance organs such as the liver and spleen [22]. This inefficiency arises from the cumulative effect of sequential barriers, each of which attenuates the delivered fraction. The protein corona that forms almost instantaneously upon exposure to biological fluids fundamentally alters the surface identity of the particle, frequently obscuring engineered targeting ligands and dictating subsequent interactions with cells and the immune system [21]. Because the composition of this corona depends on the precise surface chemistry, size, and charge of the particle, seemingly minor formulation changes can produce large and unpredictable shifts in biological behaviour [17]. Understanding and controlling these emergent interactions is one of the central challenges of the field, and it is precisely the kind of complex, multivariate problem for which machine learning is increasingly being enlisted [35]. By learning statistical relationships between formulation descriptors and biological outcomes across large datasets, data-driven models offer a route to anticipate corona formation, clearance, and targeting behaviour before a single experiment is performed [36].</w:t>
      </w:r>
    </w:p>
    <w:p>
      <w:pPr>
        <w:pStyle w:val="Heading1"/>
      </w:pPr>
      <w:r>
        <w:t xml:space="preserve">10.2 Machine Learning for Nanoparticle Design and Optimization</w:t>
      </w:r>
    </w:p>
    <w:p>
      <w:pPr>
        <w:pStyle w:val="Heading2"/>
      </w:pPr>
      <w:r>
        <w:t xml:space="preserve">10.2.1 The Case for Data-Driven Nanoparticle Engineering</w:t>
      </w:r>
    </w:p>
    <w:p>
      <w:pPr>
        <w:pStyle w:val="Normal"/>
      </w:pPr>
      <w:r>
        <w:t xml:space="preserve">The design of nanoparticle drug delivery systems traditionally relied on iterative empirical experimentation, an approach that is costly, time-consuming, and poorly suited to exploring the immense combinatorial space of possible formulations [25]. A single formulation may be defined by dozens of interacting variables—lipid ratios, polymer molecular weights, surfactant concentrations, mixing conditions, and processing parameters—yielding a design space far too vast to explore exhaustively. Machine learning offers a compelling alternative by learning the mapping between formulation parameters and functional outcomes directly from data, enabling rapid prediction of properties and the rational identification of optimal candidates [26]. </w:t>
      </w:r>
      <w:r>
        <w:rPr>
          <w:b/>
        </w:rPr>
        <w:t xml:space="preserve">Figure 2</w:t>
      </w:r>
      <w:r>
        <w:t xml:space="preserve"> depicts the canonical end-to-end machine learning workflow for nanoparticle design, spanning data curation, descriptor engineering, model training, property prediction, and generative inverse design, all embedded within an iterative active-learning feedback loop.</w:t>
      </w:r>
    </w:p>
    <w:p>
      <w:pPr>
        <w:pStyle w:val="FigureImage"/>
      </w:pPr>
      <w:r>
        <w:drawing>
          <wp:inline xmlns:wp="http://schemas.openxmlformats.org/drawingml/2006/wordprocessingDrawing" distT="0" distB="0" distL="0" distR="0">
            <wp:extent cx="5486400" cy="3609473"/>
            <wp:effectExtent l="0" t="0" r="0" b="0"/>
            <wp:docPr id="1002" name="Figure_2_ML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ML_Workflow.png"/>
                    <pic:cNvPicPr/>
                  </pic:nvPicPr>
                  <pic:blipFill>
                    <a:blip xmlns:r="http://schemas.openxmlformats.org/officeDocument/2006/relationships" r:embed="rIdImg2"/>
                    <a:stretch>
                      <a:fillRect/>
                    </a:stretch>
                  </pic:blipFill>
                  <pic:spPr>
                    <a:xfrm>
                      <a:off x="0" y="0"/>
                      <a:ext cx="5486400" cy="3609473"/>
                    </a:xfrm>
                    <a:prstGeom prst="rect">
                      <a:avLst/>
                    </a:prstGeom>
                  </pic:spPr>
                </pic:pic>
              </a:graphicData>
            </a:graphic>
          </wp:inline>
        </w:drawing>
      </w:r>
    </w:p>
    <w:p>
      <w:pPr>
        <w:pStyle w:val="FigureCaption"/>
      </w:pPr>
      <w:r>
        <w:t xml:space="preserve">Figure 2. End-to-end machine learning workflow for nanoparticle design. The upper pipeline proceeds from data curation through descriptor engineering, model training, property prediction, and inverse design, with an active-learning feedback loop returning experimental results to refine the models. The lower panels enumerate common descriptor categories and report representative model accuracy (coefficient of determination) across key prediction tasks.</w:t>
      </w:r>
    </w:p>
    <w:p>
      <w:pPr>
        <w:pStyle w:val="Normal"/>
      </w:pPr>
      <w:r>
        <w:t xml:space="preserve">The maturation of nanoinformatics has been accelerated by the growth of curated experimental databases, standardized characterization protocols, and the adoption of FAIR (Findable, Accessible, Interoperable, Reusable) data principles [27]. High-throughput synthesis and characterization platforms now generate datasets of sufficient size and quality to support robust model training, while advances in deep learning have expanded the range of tractable prediction tasks [28]. Collectively, these developments have transformed nanoparticle design from a largely artisanal endeavour into an increasingly quantitative, predictive discipline.</w:t>
      </w:r>
    </w:p>
    <w:p>
      <w:pPr>
        <w:pStyle w:val="Normal"/>
      </w:pPr>
      <w:r>
        <w:t xml:space="preserve">The economic and scientific rationale for this transformation is compelling. Conventional nanomedicine development is characterized by high cost, long timelines, and low success rates, with the majority of candidate formulations failing at some stage of preclinical or clinical evaluation [24]. Each formulation that proceeds to synthesis and characterization consumes reagents, instrument time, and skilled labour, and the sheer combinatorial breadth of the design space means that exhaustive experimental exploration is fundamentally infeasible [25]. A formulation defined by even ten independent parameters, each sampled at only five levels, would require nearly ten million experiments to characterize completely—an impossibility by any empirical standard. Machine learning circumvents this barrier by constructing predictive surrogate models that interpolate across the design space from a comparatively modest number of measured examples, allowing the vast majority of candidate formulations to be evaluated in silico [26]. This shift not only accelerates discovery but also democratizes it, enabling smaller research groups to explore design spaces that would otherwise be accessible only to well-resourced industrial laboratories [20].</w:t>
      </w:r>
    </w:p>
    <w:p>
      <w:pPr>
        <w:pStyle w:val="Heading2"/>
      </w:pPr>
      <w:r>
        <w:t xml:space="preserve">10.2.2 Descriptor Engineering and Feature Representation</w:t>
      </w:r>
    </w:p>
    <w:p>
      <w:pPr>
        <w:pStyle w:val="Normal"/>
      </w:pPr>
      <w:r>
        <w:t xml:space="preserve">The performance of any machine learning model depends critically on how nanoparticles are numerically represented. Descriptor engineering—the process of encoding physicochemical and structural attributes into machine-readable features—is therefore a foundational step [29]. As shown in the descriptor panel of </w:t>
      </w:r>
      <w:r>
        <w:rPr>
          <w:b/>
        </w:rPr>
        <w:t xml:space="preserve">Figure 2</w:t>
      </w:r>
      <w:r>
        <w:t xml:space="preserve">, commonly employed features include particle size and polydispersity, zeta potential, surface chemistry descriptors, shape and aspect ratio, ligand density, and elemental composition. For inorganic nanomaterials, additional descriptors derived from electronic structure, such as band gap and surface energy, may be incorporated [30]. For organic and polymeric systems, molecular descriptors capturing hydrophobicity, molecular weight, and functional group counts are frequently used [31].</w:t>
      </w:r>
    </w:p>
    <w:p>
      <w:pPr>
        <w:pStyle w:val="Normal"/>
      </w:pPr>
      <w:r>
        <w:t xml:space="preserve">The quality of descriptors frequently determines the ceiling of achievable model performance. Poorly chosen or noisy descriptors can obscure genuine structure–property relationships, whereas well-designed, physically meaningful features can enable accurate prediction even from modest datasets [29]. For this reason, descriptor selection and dimensionality reduction are integral to the modelling workflow: techniques such as recursive feature elimination and correlation analysis help identify the minimal set of descriptors that captures the relevant variance, improving both interpretability and generalization [39]. In the nanomaterials context, an additional subtlety is that many properties are governed not by any single descriptor but by interactions among several, so that non-linear models capable of representing feature interactions are often required [30].</w:t>
      </w:r>
    </w:p>
    <w:p>
      <w:pPr>
        <w:pStyle w:val="Normal"/>
      </w:pPr>
      <w:r>
        <w:t xml:space="preserve">More sophisticated representations have emerged to capture the relational structure of nanomaterials. Graph-based encodings represent molecules and nanostructures as graphs of atoms and bonds, enabling graph neural networks to learn features directly from connectivity rather than relying on hand-crafted descriptors [32]. Such learned representations often outperform traditional descriptors on complex prediction tasks, particularly when large training datasets are available. </w:t>
      </w:r>
      <w:r>
        <w:rPr>
          <w:b/>
        </w:rPr>
        <w:t xml:space="preserve">Table 2</w:t>
      </w:r>
      <w:r>
        <w:t xml:space="preserve"> catalogues the principal machine learning algorithms applied to nanoparticle design, indicating their typical use cases, data requirements, interpretability, and representative applications. The selection of an appropriate representation and algorithm depends on the size and quality of available data, the complexity of the target property, and the importance of model interpretability in the intended application [33].</w:t>
      </w:r>
    </w:p>
    <w:p>
      <w:pPr>
        <w:pStyle w:val="TableCaption"/>
      </w:pPr>
      <w:r>
        <w:t xml:space="preserve">Table 2. Machine learning algorithms commonly applied to nanoparticle design and optimization, with typical use cases, data requirements, interpretability, and representative applications.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Algorithm</w:t>
            </w:r>
          </w:p>
        </w:tc>
        <w:tc>
          <w:tcPr>
            <w:shd w:val="clear" w:color="auto" w:fill="D9E2F3"/>
          </w:tcPr>
          <w:p>
            <w:pPr>
              <w:jc w:val="center"/>
            </w:pPr>
            <w:r>
              <w:rPr>
                <w:b/>
              </w:rPr>
              <w:t xml:space="preserve">Primary Use Case</w:t>
            </w:r>
          </w:p>
        </w:tc>
        <w:tc>
          <w:tcPr>
            <w:shd w:val="clear" w:color="auto" w:fill="D9E2F3"/>
          </w:tcPr>
          <w:p>
            <w:pPr>
              <w:jc w:val="center"/>
            </w:pPr>
            <w:r>
              <w:rPr>
                <w:b/>
              </w:rPr>
              <w:t xml:space="preserve">Data Requirement</w:t>
            </w:r>
          </w:p>
        </w:tc>
        <w:tc>
          <w:tcPr>
            <w:shd w:val="clear" w:color="auto" w:fill="D9E2F3"/>
          </w:tcPr>
          <w:p>
            <w:pPr>
              <w:jc w:val="center"/>
            </w:pPr>
            <w:r>
              <w:rPr>
                <w:b/>
              </w:rPr>
              <w:t xml:space="preserve">Interpretability</w:t>
            </w:r>
          </w:p>
        </w:tc>
        <w:tc>
          <w:tcPr>
            <w:shd w:val="clear" w:color="auto" w:fill="D9E2F3"/>
          </w:tcPr>
          <w:p>
            <w:pPr>
              <w:jc w:val="center"/>
            </w:pPr>
            <w:r>
              <w:rPr>
                <w:b/>
              </w:rPr>
              <w:t xml:space="preserve">Representative Application</w:t>
            </w:r>
          </w:p>
        </w:tc>
      </w:tr>
      <w:tr>
        <w:tc>
          <w:p>
            <w:pPr>
              <w:spacing w:after="40"/>
            </w:pPr>
            <w:r>
              <w:t xml:space="preserve">Random Forest</w:t>
            </w:r>
          </w:p>
        </w:tc>
        <w:tc>
          <w:p>
            <w:pPr>
              <w:spacing w:after="40"/>
            </w:pPr>
            <w:r>
              <w:t xml:space="preserve">Property regression/classification</w:t>
            </w:r>
          </w:p>
        </w:tc>
        <w:tc>
          <w:p>
            <w:pPr>
              <w:spacing w:after="40"/>
            </w:pPr>
            <w:r>
              <w:t xml:space="preserve">Moderate</w:t>
            </w:r>
          </w:p>
        </w:tc>
        <w:tc>
          <w:p>
            <w:pPr>
              <w:spacing w:after="40"/>
            </w:pPr>
            <w:r>
              <w:t xml:space="preserve">High (feature importance)</w:t>
            </w:r>
          </w:p>
        </w:tc>
        <w:tc>
          <w:p>
            <w:pPr>
              <w:spacing w:after="40"/>
            </w:pPr>
            <w:r>
              <w:t xml:space="preserve">Predicting encapsulation efficiency</w:t>
            </w:r>
          </w:p>
        </w:tc>
      </w:tr>
      <w:tr>
        <w:tc>
          <w:p>
            <w:pPr>
              <w:spacing w:after="40"/>
            </w:pPr>
            <w:r>
              <w:t xml:space="preserve">Gradient Boosting (XGBoost)</w:t>
            </w:r>
          </w:p>
        </w:tc>
        <w:tc>
          <w:p>
            <w:pPr>
              <w:spacing w:after="40"/>
            </w:pPr>
            <w:r>
              <w:t xml:space="preserve">High-accuracy tabular prediction</w:t>
            </w:r>
          </w:p>
        </w:tc>
        <w:tc>
          <w:p>
            <w:pPr>
              <w:spacing w:after="40"/>
            </w:pPr>
            <w:r>
              <w:t xml:space="preserve">Moderate</w:t>
            </w:r>
          </w:p>
        </w:tc>
        <w:tc>
          <w:p>
            <w:pPr>
              <w:spacing w:after="40"/>
            </w:pPr>
            <w:r>
              <w:t xml:space="preserve">Medium</w:t>
            </w:r>
          </w:p>
        </w:tc>
        <w:tc>
          <w:p>
            <w:pPr>
              <w:spacing w:after="40"/>
            </w:pPr>
            <w:r>
              <w:t xml:space="preserve">Drug loading and release prediction</w:t>
            </w:r>
          </w:p>
        </w:tc>
      </w:tr>
      <w:tr>
        <w:tc>
          <w:p>
            <w:pPr>
              <w:spacing w:after="40"/>
            </w:pPr>
            <w:r>
              <w:t xml:space="preserve">Support Vector Machines</w:t>
            </w:r>
          </w:p>
        </w:tc>
        <w:tc>
          <w:p>
            <w:pPr>
              <w:spacing w:after="40"/>
            </w:pPr>
            <w:r>
              <w:t xml:space="preserve">Small-dataset classification</w:t>
            </w:r>
          </w:p>
        </w:tc>
        <w:tc>
          <w:p>
            <w:pPr>
              <w:spacing w:after="40"/>
            </w:pPr>
            <w:r>
              <w:t xml:space="preserve">Low-moderate</w:t>
            </w:r>
          </w:p>
        </w:tc>
        <w:tc>
          <w:p>
            <w:pPr>
              <w:spacing w:after="40"/>
            </w:pPr>
            <w:r>
              <w:t xml:space="preserve">Low</w:t>
            </w:r>
          </w:p>
        </w:tc>
        <w:tc>
          <w:p>
            <w:pPr>
              <w:spacing w:after="40"/>
            </w:pPr>
            <w:r>
              <w:t xml:space="preserve">Toxicity classification</w:t>
            </w:r>
          </w:p>
        </w:tc>
      </w:tr>
      <w:tr>
        <w:tc>
          <w:p>
            <w:pPr>
              <w:spacing w:after="40"/>
            </w:pPr>
            <w:r>
              <w:t xml:space="preserve">Artificial Neural Networks</w:t>
            </w:r>
          </w:p>
        </w:tc>
        <w:tc>
          <w:p>
            <w:pPr>
              <w:spacing w:after="40"/>
            </w:pPr>
            <w:r>
              <w:t xml:space="preserve">Non-linear multi-property mapping</w:t>
            </w:r>
          </w:p>
        </w:tc>
        <w:tc>
          <w:p>
            <w:pPr>
              <w:spacing w:after="40"/>
            </w:pPr>
            <w:r>
              <w:t xml:space="preserve">Large</w:t>
            </w:r>
          </w:p>
        </w:tc>
        <w:tc>
          <w:p>
            <w:pPr>
              <w:spacing w:after="40"/>
            </w:pPr>
            <w:r>
              <w:t xml:space="preserve">Low</w:t>
            </w:r>
          </w:p>
        </w:tc>
        <w:tc>
          <w:p>
            <w:pPr>
              <w:spacing w:after="40"/>
            </w:pPr>
            <w:r>
              <w:t xml:space="preserve">Size and PDI prediction</w:t>
            </w:r>
          </w:p>
        </w:tc>
      </w:tr>
      <w:tr>
        <w:tc>
          <w:p>
            <w:pPr>
              <w:spacing w:after="40"/>
            </w:pPr>
            <w:r>
              <w:t xml:space="preserve">Graph Neural Networks</w:t>
            </w:r>
          </w:p>
        </w:tc>
        <w:tc>
          <w:p>
            <w:pPr>
              <w:spacing w:after="40"/>
            </w:pPr>
            <w:r>
              <w:t xml:space="preserve">Structure-property learning</w:t>
            </w:r>
          </w:p>
        </w:tc>
        <w:tc>
          <w:p>
            <w:pPr>
              <w:spacing w:after="40"/>
            </w:pPr>
            <w:r>
              <w:t xml:space="preserve">Large</w:t>
            </w:r>
          </w:p>
        </w:tc>
        <w:tc>
          <w:p>
            <w:pPr>
              <w:spacing w:after="40"/>
            </w:pPr>
            <w:r>
              <w:t xml:space="preserve">Low-medium</w:t>
            </w:r>
          </w:p>
        </w:tc>
        <w:tc>
          <w:p>
            <w:pPr>
              <w:spacing w:after="40"/>
            </w:pPr>
            <w:r>
              <w:t xml:space="preserve">Molecular property prediction</w:t>
            </w:r>
          </w:p>
        </w:tc>
      </w:tr>
      <w:tr>
        <w:tc>
          <w:p>
            <w:pPr>
              <w:spacing w:after="40"/>
            </w:pPr>
            <w:r>
              <w:t xml:space="preserve">Gaussian Processes</w:t>
            </w:r>
          </w:p>
        </w:tc>
        <w:tc>
          <w:p>
            <w:pPr>
              <w:spacing w:after="40"/>
            </w:pPr>
            <w:r>
              <w:t xml:space="preserve">Uncertainty-aware optimization</w:t>
            </w:r>
          </w:p>
        </w:tc>
        <w:tc>
          <w:p>
            <w:pPr>
              <w:spacing w:after="40"/>
            </w:pPr>
            <w:r>
              <w:t xml:space="preserve">Small</w:t>
            </w:r>
          </w:p>
        </w:tc>
        <w:tc>
          <w:p>
            <w:pPr>
              <w:spacing w:after="40"/>
            </w:pPr>
            <w:r>
              <w:t xml:space="preserve">Medium</w:t>
            </w:r>
          </w:p>
        </w:tc>
        <w:tc>
          <w:p>
            <w:pPr>
              <w:spacing w:after="40"/>
            </w:pPr>
            <w:r>
              <w:t xml:space="preserve">Bayesian formulation optimization</w:t>
            </w:r>
          </w:p>
        </w:tc>
      </w:tr>
      <w:tr>
        <w:tc>
          <w:p>
            <w:pPr>
              <w:spacing w:after="40"/>
            </w:pPr>
            <w:r>
              <w:t xml:space="preserve">Generative Models (GAN/VAE)</w:t>
            </w:r>
          </w:p>
        </w:tc>
        <w:tc>
          <w:p>
            <w:pPr>
              <w:spacing w:after="40"/>
            </w:pPr>
            <w:r>
              <w:t xml:space="preserve">Inverse design of candidates</w:t>
            </w:r>
          </w:p>
        </w:tc>
        <w:tc>
          <w:p>
            <w:pPr>
              <w:spacing w:after="40"/>
            </w:pPr>
            <w:r>
              <w:t xml:space="preserve">Large</w:t>
            </w:r>
          </w:p>
        </w:tc>
        <w:tc>
          <w:p>
            <w:pPr>
              <w:spacing w:after="40"/>
            </w:pPr>
            <w:r>
              <w:t xml:space="preserve">Low</w:t>
            </w:r>
          </w:p>
        </w:tc>
        <w:tc>
          <w:p>
            <w:pPr>
              <w:spacing w:after="40"/>
            </w:pPr>
            <w:r>
              <w:t xml:space="preserve">De novo nanocarrier generation</w:t>
            </w:r>
          </w:p>
        </w:tc>
      </w:tr>
    </w:tbl>
    <w:p>
      <w:pPr>
        <w:pStyle w:val="Heading2"/>
      </w:pPr>
      <w:r>
        <w:t xml:space="preserve">10.2.3 Predictive Modelling of Nanoparticle Properties</w:t>
      </w:r>
    </w:p>
    <w:p>
      <w:pPr>
        <w:pStyle w:val="Normal"/>
      </w:pPr>
      <w:r>
        <w:t xml:space="preserve">A central application of machine learning in nanomedicine is the prediction of nanoparticle properties from formulation and process parameters. Supervised regression and classification models have been trained to predict particle size, polydispersity, drug encapsulation efficiency, loading capacity, and release kinetics with considerable accuracy [34]. As illustrated in the accuracy panel of </w:t>
      </w:r>
      <w:r>
        <w:rPr>
          <w:b/>
        </w:rPr>
        <w:t xml:space="preserve">Figure 2</w:t>
      </w:r>
      <w:r>
        <w:t xml:space="preserve">, well-constructed models routinely achieve coefficient of determination values exceeding 0.85 for size and encapsulation efficiency, with somewhat lower but still useful performance for more biologically complex endpoints such as cellular uptake, toxicity, and targeting efficiency [35]. These predictive capabilities enable researchers to screen thousands of candidate formulations computationally before committing to costly synthesis, dramatically compressing development timelines.</w:t>
      </w:r>
    </w:p>
    <w:p>
      <w:pPr>
        <w:pStyle w:val="Normal"/>
      </w:pPr>
      <w:r>
        <w:t xml:space="preserve">Beyond formulation properties, machine learning has been applied to predict biological outcomes, including nanoparticle cytotoxicity, immunogenicity, biodistribution, and cellular internalization pathways [36]. Nanotoxicity prediction is particularly valuable, as it allows potentially hazardous formulations to be flagged early, supporting safe-by-design principles [37]. By embedding toxicity prediction into the earliest stages of design, researchers can steer away from hazardous chemistries before resources are committed to synthesis, aligning the development process with the ethical imperative to minimize risk [38]. This proactive stance contrasts sharply with the traditional model, in which toxicity concerns often surface only late in development, after substantial investment has already been made. Quantitative structure–activity relationship (QSAR) approaches adapted for nanomaterials—sometimes termed nano-QSAR—correlate physicochemical descriptors with toxicological endpoints, though the heterogeneity and quality of available toxicity data remain limiting factors [38]. </w:t>
      </w:r>
      <w:r>
        <w:rPr>
          <w:b/>
        </w:rPr>
        <w:t xml:space="preserve">Table 2</w:t>
      </w:r>
      <w:r>
        <w:t xml:space="preserve"> underscores that ensemble methods such as random forests and gradient boosting are frequently favoured for these tabular prediction tasks owing to their strong performance and relative interpretability, whereas deep neural networks excel when large, structured datasets are available [39].</w:t>
      </w:r>
    </w:p>
    <w:p>
      <w:pPr>
        <w:pStyle w:val="Heading2"/>
      </w:pPr>
      <w:r>
        <w:t xml:space="preserve">10.2.4 Bayesian Optimization and Active Learning</w:t>
      </w:r>
    </w:p>
    <w:p>
      <w:pPr>
        <w:pStyle w:val="Normal"/>
      </w:pPr>
      <w:r>
        <w:t xml:space="preserve">Predictive models become substantially more powerful when embedded within optimization frameworks that intelligently guide experimentation. Bayesian optimization, which employs a probabilistic surrogate model—commonly a Gaussian process—together with an acquisition function that balances exploration and exploitation, has proven exceptionally effective for optimizing nanoparticle formulations under limited experimental budgets [40]. Rather than sampling the design space randomly, Bayesian optimization proposes the most informative experiments to perform next, converging on optimal formulations with far fewer iterations than brute-force screening [41]. This active-learning paradigm, depicted as the feedback loop in </w:t>
      </w:r>
      <w:r>
        <w:rPr>
          <w:b/>
        </w:rPr>
        <w:t xml:space="preserve">Figure 2</w:t>
      </w:r>
      <w:r>
        <w:t xml:space="preserve">, is particularly valuable in nanomedicine, where each experiment may be expensive and time-consuming.</w:t>
      </w:r>
    </w:p>
    <w:p>
      <w:pPr>
        <w:pStyle w:val="Normal"/>
      </w:pPr>
      <w:r>
        <w:t xml:space="preserve">The integration of active learning with automated experimentation has given rise to self-driving laboratories, in which robotic platforms synthesize and characterize nanoparticles while machine learning algorithms iteratively refine the experimental design in a closed loop [42]. Such systems have demonstrated the ability to discover optimized formulations in a fraction of the time required by conventional approaches, and they generate high-quality, standardized datasets that further improve model performance. The synergy between predictive modelling, optimization, and automation represents a paradigm shift in how nanomedicines are developed [43].</w:t>
      </w:r>
    </w:p>
    <w:p>
      <w:pPr>
        <w:pStyle w:val="Normal"/>
      </w:pPr>
      <w:r>
        <w:t xml:space="preserve">The efficiency gains afforded by active learning are frequently dramatic. Whereas random or grid-based sampling of a formulation space may require hundreds of experiments to locate a high-performing candidate, Bayesian optimization can often achieve comparable or superior results with an order of magnitude fewer measurements [41]. This efficiency stems from the acquisition function's ability to reason about both the predicted performance of a candidate and the model's uncertainty about that prediction, preferentially sampling points that are either likely to be optimal or highly informative [40]. In practice, this means that experimental effort is concentrated where it yields the greatest return, an especially valuable property when working with expensive reagents such as ionizable lipids or scarce biological materials [26]. As datasets accumulate over the course of an optimization campaign, the surrogate model becomes progressively more accurate, and the balance of the acquisition strategy naturally shifts from exploration toward exploitation, refining the identified optimum [25].</w:t>
      </w:r>
    </w:p>
    <w:p>
      <w:pPr>
        <w:pStyle w:val="Heading2"/>
      </w:pPr>
      <w:r>
        <w:t xml:space="preserve">10.2.5 Generative Models and Inverse Design</w:t>
      </w:r>
    </w:p>
    <w:p>
      <w:pPr>
        <w:pStyle w:val="Normal"/>
      </w:pPr>
      <w:r>
        <w:t xml:space="preserve">Perhaps the most transformative application of machine learning in nanoparticle design is inverse design: the generation of novel candidate structures or formulations that satisfy prescribed property targets. Whereas forward models predict properties from structure, generative models such as variational autoencoders (VAEs) and generative adversarial networks (GANs) learn the underlying distribution of viable designs and can propose entirely new candidates conditioned on desired attributes [44]. As indicated in the final stage of </w:t>
      </w:r>
      <w:r>
        <w:rPr>
          <w:b/>
        </w:rPr>
        <w:t xml:space="preserve">Figure 2</w:t>
      </w:r>
      <w:r>
        <w:t xml:space="preserve">, inverse design inverts the conventional design workflow, allowing researchers to specify target properties—such as a particular release profile or targeting efficiency—and obtain formulation candidates predicted to achieve them.</w:t>
      </w:r>
    </w:p>
    <w:p>
      <w:pPr>
        <w:pStyle w:val="Normal"/>
      </w:pPr>
      <w:r>
        <w:t xml:space="preserve">Reinforcement learning provides a complementary approach, in which an agent iteratively modifies candidate designs to maximize a reward function encoding the desired therapeutic objectives [45]. These generative and reinforcement-based strategies expand the accessible design space beyond the boundaries of existing experimental data, enabling the discovery of unconventional formulations that human intuition might overlook. When coupled with reliable forward models for validation, inverse design offers a powerful route to accelerate the discovery of next-generation nanomedicines, though careful experimental verification remains essential to confirm that generated candidates are both synthesizable and biologically effective [46].</w:t>
      </w:r>
    </w:p>
    <w:p>
      <w:pPr>
        <w:pStyle w:val="Normal"/>
      </w:pPr>
      <w:r>
        <w:t xml:space="preserve">The interplay between forward prediction and inverse generation defines a virtuous cycle that lies at the heart of modern computational nanomedicine. Forward models, trained on experimental data, provide fast and reliable estimates of the properties of any proposed formulation; generative models propose novel formulations conditioned on target properties; and the most promising generated candidates are synthesized and characterized, with the resulting data used to retrain and improve both classes of model [44]. Over successive iterations, this cycle progressively expands and sharpens the model's knowledge of the design space, converging toward optimal solutions while simultaneously improving predictive fidelity [42]. The approach mirrors the broader movement in the chemical and materials sciences toward autonomous discovery, in which artificial intelligence and robotic experimentation together compress discovery timelines from years to months or even weeks [41]. Reinforcement learning strategies, which learn design policies through trial and reward rather than from a fixed dataset, have shown particular promise for exploring regions of the design space that lie far from existing experimental precedent, occasionally identifying non-intuitive formulations that outperform human-designed benchmarks [45].</w:t>
      </w:r>
    </w:p>
    <w:p>
      <w:pPr>
        <w:pStyle w:val="Normal"/>
      </w:pPr>
      <w:r>
        <w:t xml:space="preserve">It is important, however, to temper enthusiasm with rigour. Generative models are prone to proposing candidates that lie outside the domain of validity of the training data, and their outputs may be chemically unstable, synthetically inaccessible, or biologically inert [46]. Robust uncertainty quantification, domain-of-applicability analysis, and human expert oversight remain indispensable safeguards. The most successful applications of inverse design therefore treat the generative model not as an oracle but as a hypothesis generator whose proposals are systematically filtered, prioritized, and experimentally validated [39]. When deployed within this disciplined framework, generative and reinforcement-based approaches constitute one of the most exciting and rapidly advancing frontiers of AI-enabled nanomedicine [35].</w:t>
      </w:r>
    </w:p>
    <w:p>
      <w:pPr>
        <w:pStyle w:val="Heading1"/>
      </w:pPr>
      <w:r>
        <w:t xml:space="preserve">10.3 Stimuli-Responsive and AI-Optimized Drug Delivery Systems</w:t>
      </w:r>
    </w:p>
    <w:p>
      <w:pPr>
        <w:pStyle w:val="Heading2"/>
      </w:pPr>
      <w:r>
        <w:t xml:space="preserve">10.3.1 Principles of Stimuli-Responsive Delivery</w:t>
      </w:r>
    </w:p>
    <w:p>
      <w:pPr>
        <w:pStyle w:val="Normal"/>
      </w:pPr>
      <w:r>
        <w:t xml:space="preserve">The ultimate goal of drug delivery is to release the therapeutic payload at the right place, at the right time, and in the right amount. Stimuli-responsive drug delivery systems—often described as "smart" carriers—achieve this by remaining stable during circulation and releasing their payload only in response to specific triggers associated with the disease site or applied externally [47]. </w:t>
      </w:r>
      <w:r>
        <w:rPr>
          <w:b/>
        </w:rPr>
        <w:t xml:space="preserve">Figure 3</w:t>
      </w:r>
      <w:r>
        <w:t xml:space="preserve"> categorizes the principal stimuli into internal cues, which arise from the pathological microenvironment, and external cues, which are applied by the clinician. This trigger-dependent behaviour minimizes premature release and off-target exposure, thereby improving both efficacy and safety relative to constitutively releasing carriers.</w:t>
      </w:r>
    </w:p>
    <w:p>
      <w:pPr>
        <w:pStyle w:val="FigureImage"/>
      </w:pPr>
      <w:r>
        <w:drawing>
          <wp:inline xmlns:wp="http://schemas.openxmlformats.org/drawingml/2006/wordprocessingDrawing" distT="0" distB="0" distL="0" distR="0">
            <wp:extent cx="5486400" cy="3609473"/>
            <wp:effectExtent l="0" t="0" r="0" b="0"/>
            <wp:docPr id="1003" name="Figure_3_Stimuli_Respons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Stimuli_Responsive.png"/>
                    <pic:cNvPicPr/>
                  </pic:nvPicPr>
                  <pic:blipFill>
                    <a:blip xmlns:r="http://schemas.openxmlformats.org/officeDocument/2006/relationships" r:embed="rIdImg3"/>
                    <a:stretch>
                      <a:fillRect/>
                    </a:stretch>
                  </pic:blipFill>
                  <pic:spPr>
                    <a:xfrm>
                      <a:off x="0" y="0"/>
                      <a:ext cx="5486400" cy="3609473"/>
                    </a:xfrm>
                    <a:prstGeom prst="rect">
                      <a:avLst/>
                    </a:prstGeom>
                  </pic:spPr>
                </pic:pic>
              </a:graphicData>
            </a:graphic>
          </wp:inline>
        </w:drawing>
      </w:r>
    </w:p>
    <w:p>
      <w:pPr>
        <w:pStyle w:val="FigureCaption"/>
      </w:pPr>
      <w:r>
        <w:t xml:space="preserve">Figure 3. Stimuli-responsive drug release mechanisms. A central smart nanocarrier loaded with drug molecules responds to internal triggers (acidic pH, intracellular redox/glutathione, and overexpressed enzymes) and external triggers (temperature, near-infrared light, magnetic fields, and ultrasound), each directing site-specific, on-demand payload release.</w:t>
      </w:r>
    </w:p>
    <w:p>
      <w:pPr>
        <w:pStyle w:val="Normal"/>
      </w:pPr>
      <w:r>
        <w:t xml:space="preserve">Internal stimuli exploit the distinctive biochemical characteristics of diseased tissue. The mildly acidic pH of the tumour microenvironment and the still lower pH of endosomal and lysosomal compartments can trigger the protonation of pH-sensitive linkers or the destabilization of pH-responsive polymers, releasing the payload precisely where it is needed [1]. Elevated intracellular concentrations of glutathione provide a reductive environment that cleaves disulfide bonds, enabling redox-responsive release within target cells [10]. Overexpressed enzymes such as matrix metalloproteinases and esterases can cleave enzyme-labile bonds, offering another layer of disease specificity [16]. As shown in </w:t>
      </w:r>
      <w:r>
        <w:rPr>
          <w:b/>
        </w:rPr>
        <w:t xml:space="preserve">Figure 3</w:t>
      </w:r>
      <w:r>
        <w:t xml:space="preserve">, these internal triggers converge on the smart carrier to effect localized, on-demand release.</w:t>
      </w:r>
    </w:p>
    <w:p>
      <w:pPr>
        <w:pStyle w:val="Normal"/>
      </w:pPr>
      <w:r>
        <w:t xml:space="preserve">The rationale for exploiting internal stimuli rests on the recognition that diseased tissue frequently exhibits a biochemical signature distinct from that of healthy tissue. Solid tumours, for instance, are characterized by a hypoxic, acidic microenvironment resulting from aberrant metabolism and inadequate perfusion, providing a reliable chemical cue that can be harnessed for selective release [4]. Similarly, the reductive intracellular milieu, maintained by high concentrations of glutathione relative to the extracellular space, offers a means to confine release to the cytoplasm of target cells [10]. The elegance of internal-trigger strategies lies in their autonomy: no external intervention is required, and release occurs wherever the pathological condition is present, including at metastatic sites that may be difficult to localize and treat by other means [16]. The principal challenge is achieving sufficient contrast between the trigger conditions at the disease site and those encountered during circulation, since even modest premature release can compromise both safety and efficacy [47].</w:t>
      </w:r>
    </w:p>
    <w:p>
      <w:pPr>
        <w:pStyle w:val="Heading2"/>
      </w:pPr>
      <w:r>
        <w:t xml:space="preserve">10.3.2 Externally Triggered and Multi-Responsive Systems</w:t>
      </w:r>
    </w:p>
    <w:p>
      <w:pPr>
        <w:pStyle w:val="Normal"/>
      </w:pPr>
      <w:r>
        <w:t xml:space="preserve">External stimuli offer the clinician direct spatiotemporal control over drug release. Temperature-sensitive carriers, such as thermoresponsive liposomes, release their payload when heated modestly above physiological temperature, a strategy that can be combined with localized hyperthermia [19]. Light-responsive systems, particularly those activated by near-infrared radiation that penetrates tissue with minimal damage, enable photothermal or photochemical release with high precision [22]. Magnetically responsive carriers incorporating iron oxide can be guided to target sites and actuated by external magnetic fields, while ultrasound-responsive systems exploit acoustic cavitation to trigger release and enhance tissue penetration [30].</w:t>
      </w:r>
    </w:p>
    <w:p>
      <w:pPr>
        <w:pStyle w:val="Normal"/>
      </w:pPr>
      <w:r>
        <w:t xml:space="preserve">Increasingly, researchers are developing multi-responsive systems that integrate several trigger mechanisms to achieve greater specificity and robustness. A dual pH- and redox-responsive carrier, for example, may require both the acidic tumour microenvironment and elevated intracellular glutathione to fully release its payload, dramatically reducing off-target release [37]. </w:t>
      </w:r>
      <w:r>
        <w:rPr>
          <w:b/>
        </w:rPr>
        <w:t xml:space="preserve">Table 3</w:t>
      </w:r>
      <w:r>
        <w:t xml:space="preserve"> summarizes the major categories of stimuli-responsive systems, the associated triggers, representative responsive materials, and their principal therapeutic applications. The design of such multi-responsive architectures further amplifies the complexity of the formulation space, reinforcing the value of computational and AI-driven design tools introduced in the preceding section [40].</w:t>
      </w:r>
    </w:p>
    <w:p>
      <w:pPr>
        <w:pStyle w:val="TableCaption"/>
      </w:pPr>
      <w:r>
        <w:t xml:space="preserve">Table 3. Classification of stimuli-responsive drug delivery systems by trigger type, responsive material, and therapeutic application.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Stimulus Type</w:t>
            </w:r>
          </w:p>
        </w:tc>
        <w:tc>
          <w:tcPr>
            <w:shd w:val="clear" w:color="auto" w:fill="D9E2F3"/>
          </w:tcPr>
          <w:p>
            <w:pPr>
              <w:jc w:val="center"/>
            </w:pPr>
            <w:r>
              <w:rPr>
                <w:b/>
              </w:rPr>
              <w:t xml:space="preserve">Trigger Origin</w:t>
            </w:r>
          </w:p>
        </w:tc>
        <w:tc>
          <w:tcPr>
            <w:shd w:val="clear" w:color="auto" w:fill="D9E2F3"/>
          </w:tcPr>
          <w:p>
            <w:pPr>
              <w:jc w:val="center"/>
            </w:pPr>
            <w:r>
              <w:rPr>
                <w:b/>
              </w:rPr>
              <w:t xml:space="preserve">Responsive Material / Mechanism</w:t>
            </w:r>
          </w:p>
        </w:tc>
        <w:tc>
          <w:tcPr>
            <w:shd w:val="clear" w:color="auto" w:fill="D9E2F3"/>
          </w:tcPr>
          <w:p>
            <w:pPr>
              <w:jc w:val="center"/>
            </w:pPr>
            <w:r>
              <w:rPr>
                <w:b/>
              </w:rPr>
              <w:t xml:space="preserve">Primary Application</w:t>
            </w:r>
          </w:p>
        </w:tc>
      </w:tr>
      <w:tr>
        <w:tc>
          <w:p>
            <w:pPr>
              <w:spacing w:after="40"/>
            </w:pPr>
            <w:r>
              <w:t xml:space="preserve">pH</w:t>
            </w:r>
          </w:p>
        </w:tc>
        <w:tc>
          <w:p>
            <w:pPr>
              <w:spacing w:after="40"/>
            </w:pPr>
            <w:r>
              <w:t xml:space="preserve">Internal (tumor/endosome)</w:t>
            </w:r>
          </w:p>
        </w:tc>
        <w:tc>
          <w:p>
            <w:pPr>
              <w:spacing w:after="40"/>
            </w:pPr>
            <w:r>
              <w:t xml:space="preserve">Acid-labile bonds, ionizable polymers</w:t>
            </w:r>
          </w:p>
        </w:tc>
        <w:tc>
          <w:p>
            <w:pPr>
              <w:spacing w:after="40"/>
            </w:pPr>
            <w:r>
              <w:t xml:space="preserve">Tumor-targeted chemotherapy</w:t>
            </w:r>
          </w:p>
        </w:tc>
      </w:tr>
      <w:tr>
        <w:tc>
          <w:p>
            <w:pPr>
              <w:spacing w:after="40"/>
            </w:pPr>
            <w:r>
              <w:t xml:space="preserve">Redox</w:t>
            </w:r>
          </w:p>
        </w:tc>
        <w:tc>
          <w:p>
            <w:pPr>
              <w:spacing w:after="40"/>
            </w:pPr>
            <w:r>
              <w:t xml:space="preserve">Internal (intracellular GSH)</w:t>
            </w:r>
          </w:p>
        </w:tc>
        <w:tc>
          <w:p>
            <w:pPr>
              <w:spacing w:after="40"/>
            </w:pPr>
            <w:r>
              <w:t xml:space="preserve">Disulfide bond cleavage</w:t>
            </w:r>
          </w:p>
        </w:tc>
        <w:tc>
          <w:p>
            <w:pPr>
              <w:spacing w:after="40"/>
            </w:pPr>
            <w:r>
              <w:t xml:space="preserve">Intracellular drug/gene delivery</w:t>
            </w:r>
          </w:p>
        </w:tc>
      </w:tr>
      <w:tr>
        <w:tc>
          <w:p>
            <w:pPr>
              <w:spacing w:after="40"/>
            </w:pPr>
            <w:r>
              <w:t xml:space="preserve">Enzyme</w:t>
            </w:r>
          </w:p>
        </w:tc>
        <w:tc>
          <w:p>
            <w:pPr>
              <w:spacing w:after="40"/>
            </w:pPr>
            <w:r>
              <w:t xml:space="preserve">Internal (MMP, esterase)</w:t>
            </w:r>
          </w:p>
        </w:tc>
        <w:tc>
          <w:p>
            <w:pPr>
              <w:spacing w:after="40"/>
            </w:pPr>
            <w:r>
              <w:t xml:space="preserve">Peptide/ester substrate linkers</w:t>
            </w:r>
          </w:p>
        </w:tc>
        <w:tc>
          <w:p>
            <w:pPr>
              <w:spacing w:after="40"/>
            </w:pPr>
            <w:r>
              <w:t xml:space="preserve">Site-specific tumor release</w:t>
            </w:r>
          </w:p>
        </w:tc>
      </w:tr>
      <w:tr>
        <w:tc>
          <w:p>
            <w:pPr>
              <w:spacing w:after="40"/>
            </w:pPr>
            <w:r>
              <w:t xml:space="preserve">Temperature</w:t>
            </w:r>
          </w:p>
        </w:tc>
        <w:tc>
          <w:p>
            <w:pPr>
              <w:spacing w:after="40"/>
            </w:pPr>
            <w:r>
              <w:t xml:space="preserve">External / internal</w:t>
            </w:r>
          </w:p>
        </w:tc>
        <w:tc>
          <w:p>
            <w:pPr>
              <w:spacing w:after="40"/>
            </w:pPr>
            <w:r>
              <w:t xml:space="preserve">Thermoresponsive lipids/polymers</w:t>
            </w:r>
          </w:p>
        </w:tc>
        <w:tc>
          <w:p>
            <w:pPr>
              <w:spacing w:after="40"/>
            </w:pPr>
            <w:r>
              <w:t xml:space="preserve">Hyperthermia-combined therapy</w:t>
            </w:r>
          </w:p>
        </w:tc>
      </w:tr>
      <w:tr>
        <w:tc>
          <w:p>
            <w:pPr>
              <w:spacing w:after="40"/>
            </w:pPr>
            <w:r>
              <w:t xml:space="preserve">Light (NIR)</w:t>
            </w:r>
          </w:p>
        </w:tc>
        <w:tc>
          <w:p>
            <w:pPr>
              <w:spacing w:after="40"/>
            </w:pPr>
            <w:r>
              <w:t xml:space="preserve">External</w:t>
            </w:r>
          </w:p>
        </w:tc>
        <w:tc>
          <w:p>
            <w:pPr>
              <w:spacing w:after="40"/>
            </w:pPr>
            <w:r>
              <w:t xml:space="preserve">Photothermal/photocleavable agents</w:t>
            </w:r>
          </w:p>
        </w:tc>
        <w:tc>
          <w:p>
            <w:pPr>
              <w:spacing w:after="40"/>
            </w:pPr>
            <w:r>
              <w:t xml:space="preserve">Precise on-demand release</w:t>
            </w:r>
          </w:p>
        </w:tc>
      </w:tr>
      <w:tr>
        <w:tc>
          <w:p>
            <w:pPr>
              <w:spacing w:after="40"/>
            </w:pPr>
            <w:r>
              <w:t xml:space="preserve">Magnetic</w:t>
            </w:r>
          </w:p>
        </w:tc>
        <w:tc>
          <w:p>
            <w:pPr>
              <w:spacing w:after="40"/>
            </w:pPr>
            <w:r>
              <w:t xml:space="preserve">External</w:t>
            </w:r>
          </w:p>
        </w:tc>
        <w:tc>
          <w:p>
            <w:pPr>
              <w:spacing w:after="40"/>
            </w:pPr>
            <w:r>
              <w:t xml:space="preserve">Iron oxide nanoparticles</w:t>
            </w:r>
          </w:p>
        </w:tc>
        <w:tc>
          <w:p>
            <w:pPr>
              <w:spacing w:after="40"/>
            </w:pPr>
            <w:r>
              <w:t xml:space="preserve">Targeted guidance and actuation</w:t>
            </w:r>
          </w:p>
        </w:tc>
      </w:tr>
      <w:tr>
        <w:tc>
          <w:p>
            <w:pPr>
              <w:spacing w:after="40"/>
            </w:pPr>
            <w:r>
              <w:t xml:space="preserve">Ultrasound</w:t>
            </w:r>
          </w:p>
        </w:tc>
        <w:tc>
          <w:p>
            <w:pPr>
              <w:spacing w:after="40"/>
            </w:pPr>
            <w:r>
              <w:t xml:space="preserve">External</w:t>
            </w:r>
          </w:p>
        </w:tc>
        <w:tc>
          <w:p>
            <w:pPr>
              <w:spacing w:after="40"/>
            </w:pPr>
            <w:r>
              <w:t xml:space="preserve">Microbubbles, cavitation-sensitive shells</w:t>
            </w:r>
          </w:p>
        </w:tc>
        <w:tc>
          <w:p>
            <w:pPr>
              <w:spacing w:after="40"/>
            </w:pPr>
            <w:r>
              <w:t xml:space="preserve">Deep-tissue delivery, BBB opening</w:t>
            </w:r>
          </w:p>
        </w:tc>
      </w:tr>
    </w:tbl>
    <w:p>
      <w:pPr>
        <w:pStyle w:val="Heading2"/>
      </w:pPr>
      <w:r>
        <w:t xml:space="preserve">10.3.3 AI-Guided Design of Responsive Materials</w:t>
      </w:r>
    </w:p>
    <w:p>
      <w:pPr>
        <w:pStyle w:val="Normal"/>
      </w:pPr>
      <w:r>
        <w:t xml:space="preserve">The rational design of stimuli-responsive materials benefits substantially from artificial intelligence. Machine learning models can predict the responsiveness of candidate materials to specific triggers, optimize the composition of multi-responsive systems, and identify formulations that balance stability during circulation with rapid release upon activation [26]. For example, predictive models can be trained to relate polymer composition and architecture to the sharpness and threshold of a thermal or pH transition, enabling the design of carriers with precisely tuned response characteristics [31]. Generative and Bayesian optimization approaches, described in Section 10.2, are directly applicable to the complex, multi-objective problem of designing responsive systems that must simultaneously satisfy constraints on stability, release kinetics, biocompatibility, and manufacturability [41].</w:t>
      </w:r>
    </w:p>
    <w:p>
      <w:pPr>
        <w:pStyle w:val="Normal"/>
      </w:pPr>
      <w:r>
        <w:t xml:space="preserve">AI further enables the interpretation of the large, multimodal datasets generated during the characterization of responsive systems, extracting structure–responsiveness relationships that guide subsequent design iterations [35]. By integrating predictive modelling with the trigger mechanisms catalogued in </w:t>
      </w:r>
      <w:r>
        <w:rPr>
          <w:b/>
        </w:rPr>
        <w:t xml:space="preserve">Table 3</w:t>
      </w:r>
      <w:r>
        <w:t xml:space="preserve">, researchers can accelerate the development of intelligent materials whose behaviour is finely matched to the physiological conditions of the target disease.</w:t>
      </w:r>
    </w:p>
    <w:p>
      <w:pPr>
        <w:pStyle w:val="Normal"/>
      </w:pPr>
      <w:r>
        <w:t xml:space="preserve">Data-driven approaches are also reshaping how responsive materials are characterized and understood. Modern characterization techniques—including dynamic light scattering, electron microscopy, spectroscopy, and release-kinetics assays—generate rich, high-dimensional datasets whose full information content is difficult to exploit through manual analysis alone [35]. Machine learning methods for pattern recognition, dimensionality reduction, and clustering can distil these datasets into interpretable structure–responsiveness relationships, revealing which combinations of material features govern a given response [31]. Such insights feed directly back into the design process, closing the loop between characterization and formulation. Moreover, transfer learning and multi-task learning strategies allow knowledge gained from one class of responsive material to accelerate the design of related classes, mitigating the perennial problem of limited data in specialized subdomains [33]. As these methods mature, the design of responsive nanomedicines is expected to become increasingly systematic, moving away from serendipitous discovery toward deliberate, model-guided engineering [26]. This tight coupling between materials intelligence and biological specificity is a defining feature of the emerging generation of smart nanomedicines [46].</w:t>
      </w:r>
    </w:p>
    <w:p>
      <w:pPr>
        <w:pStyle w:val="Normal"/>
      </w:pPr>
      <w:r>
        <w:t xml:space="preserve">The design of responsive systems also illustrates the multi-objective nature of nanomedicine optimization with particular clarity. An ideal stimuli-responsive carrier must be simultaneously stable enough to survive circulation without leaking its payload, sensitive enough to respond rapidly and completely upon encountering the trigger, biocompatible enough to avoid provoking an immune response, and manufacturable enough to be produced reproducibly at scale [23]. These objectives frequently conflict: increasing responsiveness may compromise circulation stability, while enhancing stability may blunt the release response [47]. Machine learning approaches that explicitly model such trade-offs—for example, by constructing Pareto fronts that map the achievable combinations of competing objectives—provide designers with a principled basis for selecting formulations that best balance the relevant criteria for a given clinical application [26]. In this way, artificial intelligence not only accelerates the search for responsive materials but also clarifies the fundamental compromises inherent in their design [40].</w:t>
      </w:r>
    </w:p>
    <w:p>
      <w:pPr>
        <w:pStyle w:val="Normal"/>
      </w:pPr>
      <w:r>
        <w:t xml:space="preserve">A further advantage of computational design in this setting is the ability to explore hypothetical materials that have not yet been synthesized. Generative models can propose responsive polymer architectures or lipid compositions with prescribed transition temperatures or pH thresholds, and forward models can rank these proposals before any laboratory work begins [44]. This capacity to reason about materials in silico expands the effective design space far beyond the boundaries of existing experimental libraries and allows researchers to pursue ambitious performance targets that would be difficult to reach through incremental empirical refinement [46]. When such computational proposals are coupled with automated synthesis and characterization, the design of stimuli-responsive systems begins to approach the closed-loop, self-optimizing ideal that characterizes the most advanced autonomous discovery platforms [42].</w:t>
      </w:r>
    </w:p>
    <w:p>
      <w:pPr>
        <w:pStyle w:val="Heading2"/>
      </w:pPr>
      <w:r>
        <w:t xml:space="preserve">10.3.4 Closed-Loop and Theranostic Delivery Systems</w:t>
      </w:r>
    </w:p>
    <w:p>
      <w:pPr>
        <w:pStyle w:val="Normal"/>
      </w:pPr>
      <w:r>
        <w:t xml:space="preserve">The convergence of stimuli-responsive materials, real-time sensing, and artificial intelligence has given rise to closed-loop drug delivery systems that adapt therapy dynamically to a patient's physiological state. </w:t>
      </w:r>
      <w:r>
        <w:rPr>
          <w:b/>
        </w:rPr>
        <w:t xml:space="preserve">Figure 4</w:t>
      </w:r>
      <w:r>
        <w:t xml:space="preserve"> illustrates the architecture of an AI-optimized closed-loop theranostic system, in which biomarkers are continuously sensed, an AI dosing controller determines the optimal therapeutic response, and a smart nanocarrier releases the payload accordingly, with the resulting physiological changes fed back to refine subsequent decisions.</w:t>
      </w:r>
    </w:p>
    <w:p>
      <w:pPr>
        <w:pStyle w:val="FigureImage"/>
      </w:pPr>
      <w:r>
        <w:drawing>
          <wp:inline xmlns:wp="http://schemas.openxmlformats.org/drawingml/2006/wordprocessingDrawing" distT="0" distB="0" distL="0" distR="0">
            <wp:extent cx="5486400" cy="3609473"/>
            <wp:effectExtent l="0" t="0" r="0" b="0"/>
            <wp:docPr id="1004" name="Figure_4_Closed_Loop_Thera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Closed_Loop_Theranostic.png"/>
                    <pic:cNvPicPr/>
                  </pic:nvPicPr>
                  <pic:blipFill>
                    <a:blip xmlns:r="http://schemas.openxmlformats.org/officeDocument/2006/relationships" r:embed="rIdImg4"/>
                    <a:stretch>
                      <a:fillRect/>
                    </a:stretch>
                  </pic:blipFill>
                  <pic:spPr>
                    <a:xfrm>
                      <a:off x="0" y="0"/>
                      <a:ext cx="5486400" cy="3609473"/>
                    </a:xfrm>
                    <a:prstGeom prst="rect">
                      <a:avLst/>
                    </a:prstGeom>
                  </pic:spPr>
                </pic:pic>
              </a:graphicData>
            </a:graphic>
          </wp:inline>
        </w:drawing>
      </w:r>
    </w:p>
    <w:p>
      <w:pPr>
        <w:pStyle w:val="FigureCaption"/>
      </w:pPr>
      <w:r>
        <w:t xml:space="preserve">Figure 4. Architecture of an AI-optimized closed-loop theranostic delivery system. Patient biomarkers are continuously sensed and imaged; an AI dosing controller, guided by reinforcement learning, computes the optimal therapeutic response; a smart nanocarrier executes responsive release; and the resulting physiological changes feed back to refine subsequent dosing decisions, enabling real-time, adaptive, personalized therapy.</w:t>
      </w:r>
    </w:p>
    <w:p>
      <w:pPr>
        <w:pStyle w:val="Normal"/>
      </w:pPr>
      <w:r>
        <w:t xml:space="preserve">Such systems embody the principle of theranostics—the integration of therapy and diagnostics within a single platform—enabling simultaneous treatment and monitoring of disease [13].</w:t>
      </w:r>
    </w:p>
    <w:p>
      <w:pPr>
        <w:pStyle w:val="Normal"/>
      </w:pPr>
      <w:r>
        <w:t xml:space="preserve">Reinforcement learning is especially well suited to the control problem at the heart of these systems, as it can learn dosing policies that maximize therapeutic benefit while minimizing toxicity, adapting to individual patient responses over time [45]. As depicted in </w:t>
      </w:r>
      <w:r>
        <w:rPr>
          <w:b/>
        </w:rPr>
        <w:t xml:space="preserve">Figure 4</w:t>
      </w:r>
      <w:r>
        <w:t xml:space="preserve">, the closed-loop architecture transforms drug delivery from a static, pre-programmed process into a dynamic, personalized therapy that responds to the evolving needs of the patient. Early demonstrations of such systems, particularly in the management of chronic conditions and in oncology, suggest that AI-driven closed-loop delivery could substantially improve outcomes while reducing adverse effects, representing a compelling vision for the future of precision medicine [43].</w:t>
      </w:r>
    </w:p>
    <w:p>
      <w:pPr>
        <w:pStyle w:val="Normal"/>
      </w:pPr>
      <w:r>
        <w:t xml:space="preserve">The theranostic paradigm depicted in </w:t>
      </w:r>
      <w:r>
        <w:rPr>
          <w:b/>
        </w:rPr>
        <w:t xml:space="preserve">Figure 4</w:t>
      </w:r>
      <w:r>
        <w:t xml:space="preserve"> is especially powerful because it unites the diagnostic and therapeutic functions that are conventionally separated in both time and modality. By incorporating imaging contrast agents—such as the intrinsic magnetic properties of iron oxide cores or the optical signatures of gold and quantum dot systems—into the same particle that carries the therapeutic payload, clinicians can visualize where the drug accumulates, confirm that it reaches the intended target, and adjust subsequent dosing accordingly [13]. This capacity for real-time feedback is what elevates a smart nanocarrier from a passive delivery vehicle to an active participant in a control loop [45]. In oncology, such systems could enable adaptive chemotherapy that responds to tumour shrinkage or the emergence of resistance; in the management of diabetes and other chronic diseases, analogous closed-loop concepts could titrate therapy to fluctuating physiological signals [43]. Realizing this vision at clinical scale will require advances not only in materials and algorithms but also in biocompatible sensing, wireless communication, and the seamless integration of these components into safe, reliable, and regulatory-compliant devices [23].</w:t>
      </w:r>
    </w:p>
    <w:p>
      <w:pPr>
        <w:pStyle w:val="Heading2"/>
      </w:pPr>
      <w:r>
        <w:t xml:space="preserve">10.3.5 Case Studies and Comparative Performance</w:t>
      </w:r>
    </w:p>
    <w:p>
      <w:pPr>
        <w:pStyle w:val="Normal"/>
      </w:pPr>
      <w:r>
        <w:t xml:space="preserve">The practical impact of AI-optimized smart delivery is best appreciated through comparative performance data. </w:t>
      </w:r>
      <w:r>
        <w:rPr>
          <w:b/>
        </w:rPr>
        <w:t xml:space="preserve">Table 4</w:t>
      </w:r>
      <w:r>
        <w:t xml:space="preserve"> presents representative case studies contrasting conventional and AI-optimized nanomedicine approaches across several therapeutic contexts, reporting metrics such as development time, targeting efficiency, and reductions in off-target toxicity. Across these examples, AI-guided design and optimization consistently reduce development timelines, improve targeting specificity, and lower systemic toxicity relative to conventional trial-and-error approaches [42]. For instance, machine-learning-guided formulation of lipid nanoparticles has accelerated the identification of optimal ionizable lipid compositions for nucleic acid delivery, while Bayesian optimization has substantially reduced the number of experiments required to maximize encapsulation efficiency [40].</w:t>
      </w:r>
    </w:p>
    <w:p>
      <w:pPr>
        <w:pStyle w:val="Normal"/>
      </w:pPr>
      <w:r>
        <w:t xml:space="preserve">A closer examination of individual cases reinforces this conclusion. In the domain of nucleic acid therapeutics, the identification of optimal ionizable lipid structures has historically been a laborious process, as the delivery efficiency of a lipid nanoparticle depends intricately on the lipid's headgroup chemistry, linker, and hydrophobic tail architecture [11]. Machine learning models trained on libraries of synthesized lipids can predict the transfection efficiency of untested candidates, guiding synthetic chemists toward the most promising regions of chemical space and substantially compressing the discovery cycle [26]. In tumour-targeted chemotherapy, the combination of AI-guided formulation with stimuli-responsive release has enabled carriers that remain quiescent in circulation and unload their cytotoxic payload preferentially within the tumour microenvironment, reducing systemic exposure and the associated dose-limiting toxicities [47]. For small interfering RNA delivery, Bayesian optimization has been shown to converge on high-performing polymeric formulations using markedly fewer experiments than conventional screening, while simultaneously improving batch-to-batch reproducibility [40].</w:t>
      </w:r>
    </w:p>
    <w:p>
      <w:pPr>
        <w:pStyle w:val="Normal"/>
      </w:pPr>
      <w:r>
        <w:t xml:space="preserve">These case studies, summarized in </w:t>
      </w:r>
      <w:r>
        <w:rPr>
          <w:b/>
        </w:rPr>
        <w:t xml:space="preserve">Table 4</w:t>
      </w:r>
      <w:r>
        <w:t xml:space="preserve">, illustrate a consistent theme: the integration of artificial intelligence throughout the nanomedicine development pipeline—from initial design through optimization to adaptive clinical delivery—yields tangible improvements in efficiency, efficacy, and safety [44]. As datasets grow, models improve, and automated experimentation matures, the magnitude of these benefits is expected to increase, further cementing the role of AI as an indispensable enabler of next-generation drug delivery [46].</w:t>
      </w:r>
    </w:p>
    <w:p>
      <w:pPr>
        <w:pStyle w:val="TableCaption"/>
      </w:pPr>
      <w:r>
        <w:t xml:space="preserve">Table 4. Representative case studies comparing conventional and AI-optimized nanomedicine approaches across therapeutic contexts.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val="clear" w:color="auto" w:fill="D9E2F3"/>
          </w:tcPr>
          <w:p>
            <w:pPr>
              <w:jc w:val="center"/>
            </w:pPr>
            <w:r>
              <w:rPr>
                <w:b/>
              </w:rPr>
              <w:t xml:space="preserve">Therapeutic Context</w:t>
            </w:r>
          </w:p>
        </w:tc>
        <w:tc>
          <w:tcPr>
            <w:shd w:val="clear" w:color="auto" w:fill="D9E2F3"/>
          </w:tcPr>
          <w:p>
            <w:pPr>
              <w:jc w:val="center"/>
            </w:pPr>
            <w:r>
              <w:rPr>
                <w:b/>
              </w:rPr>
              <w:t xml:space="preserve">Approach</w:t>
            </w:r>
          </w:p>
        </w:tc>
        <w:tc>
          <w:tcPr>
            <w:shd w:val="clear" w:color="auto" w:fill="D9E2F3"/>
          </w:tcPr>
          <w:p>
            <w:pPr>
              <w:jc w:val="center"/>
            </w:pPr>
            <w:r>
              <w:rPr>
                <w:b/>
              </w:rPr>
              <w:t xml:space="preserve">Development Time</w:t>
            </w:r>
          </w:p>
        </w:tc>
        <w:tc>
          <w:tcPr>
            <w:shd w:val="clear" w:color="auto" w:fill="D9E2F3"/>
          </w:tcPr>
          <w:p>
            <w:pPr>
              <w:jc w:val="center"/>
            </w:pPr>
            <w:r>
              <w:rPr>
                <w:b/>
              </w:rPr>
              <w:t xml:space="preserve">Targeting Efficiency</w:t>
            </w:r>
          </w:p>
        </w:tc>
        <w:tc>
          <w:tcPr>
            <w:shd w:val="clear" w:color="auto" w:fill="D9E2F3"/>
          </w:tcPr>
          <w:p>
            <w:pPr>
              <w:jc w:val="center"/>
            </w:pPr>
            <w:r>
              <w:rPr>
                <w:b/>
              </w:rPr>
              <w:t xml:space="preserve">Off-Target Toxicity</w:t>
            </w:r>
          </w:p>
        </w:tc>
        <w:tc>
          <w:tcPr>
            <w:shd w:val="clear" w:color="auto" w:fill="D9E2F3"/>
          </w:tcPr>
          <w:p>
            <w:pPr>
              <w:jc w:val="center"/>
            </w:pPr>
            <w:r>
              <w:rPr>
                <w:b/>
              </w:rPr>
              <w:t xml:space="preserve">Key Outcome</w:t>
            </w:r>
          </w:p>
        </w:tc>
      </w:tr>
      <w:tr>
        <w:tc>
          <w:p>
            <w:pPr>
              <w:spacing w:after="40"/>
            </w:pPr>
            <w:r>
              <w:t xml:space="preserve">mRNA lipid nanoparticles</w:t>
            </w:r>
          </w:p>
        </w:tc>
        <w:tc>
          <w:p>
            <w:pPr>
              <w:spacing w:after="40"/>
            </w:pPr>
            <w:r>
              <w:t xml:space="preserve">Conventional screening</w:t>
            </w:r>
          </w:p>
        </w:tc>
        <w:tc>
          <w:p>
            <w:pPr>
              <w:spacing w:after="40"/>
            </w:pPr>
            <w:r>
              <w:t xml:space="preserve">~18-24 months</w:t>
            </w:r>
          </w:p>
        </w:tc>
        <w:tc>
          <w:p>
            <w:pPr>
              <w:spacing w:after="40"/>
            </w:pPr>
            <w:r>
              <w:t xml:space="preserve">Baseline</w:t>
            </w:r>
          </w:p>
        </w:tc>
        <w:tc>
          <w:p>
            <w:pPr>
              <w:spacing w:after="40"/>
            </w:pPr>
            <w:r>
              <w:t xml:space="preserve">Baseline</w:t>
            </w:r>
          </w:p>
        </w:tc>
        <w:tc>
          <w:p>
            <w:pPr>
              <w:spacing w:after="40"/>
            </w:pPr>
            <w:r>
              <w:t xml:space="preserve">Reference formulation</w:t>
            </w:r>
          </w:p>
        </w:tc>
      </w:tr>
      <w:tr>
        <w:tc>
          <w:p>
            <w:pPr>
              <w:spacing w:after="40"/>
            </w:pPr>
            <w:r>
              <w:t xml:space="preserve">mRNA lipid nanoparticles</w:t>
            </w:r>
          </w:p>
        </w:tc>
        <w:tc>
          <w:p>
            <w:pPr>
              <w:spacing w:after="40"/>
            </w:pPr>
            <w:r>
              <w:t xml:space="preserve">ML-guided lipid design</w:t>
            </w:r>
          </w:p>
        </w:tc>
        <w:tc>
          <w:p>
            <w:pPr>
              <w:spacing w:after="40"/>
            </w:pPr>
            <w:r>
              <w:t xml:space="preserve">~6-9 months</w:t>
            </w:r>
          </w:p>
        </w:tc>
        <w:tc>
          <w:p>
            <w:pPr>
              <w:spacing w:after="40"/>
            </w:pPr>
            <w:r>
              <w:t xml:space="preserve">+2-3x</w:t>
            </w:r>
          </w:p>
        </w:tc>
        <w:tc>
          <w:p>
            <w:pPr>
              <w:spacing w:after="40"/>
            </w:pPr>
            <w:r>
              <w:t xml:space="preserve">Reduced</w:t>
            </w:r>
          </w:p>
        </w:tc>
        <w:tc>
          <w:p>
            <w:pPr>
              <w:spacing w:after="40"/>
            </w:pPr>
            <w:r>
              <w:t xml:space="preserve">Faster optimal candidate ID</w:t>
            </w:r>
          </w:p>
        </w:tc>
      </w:tr>
      <w:tr>
        <w:tc>
          <w:p>
            <w:pPr>
              <w:spacing w:after="40"/>
            </w:pPr>
            <w:r>
              <w:t xml:space="preserve">Tumor-targeted chemotherapy</w:t>
            </w:r>
          </w:p>
        </w:tc>
        <w:tc>
          <w:p>
            <w:pPr>
              <w:spacing w:after="40"/>
            </w:pPr>
            <w:r>
              <w:t xml:space="preserve">Empirical formulation</w:t>
            </w:r>
          </w:p>
        </w:tc>
        <w:tc>
          <w:p>
            <w:pPr>
              <w:spacing w:after="40"/>
            </w:pPr>
            <w:r>
              <w:t xml:space="preserve">Long, iterative</w:t>
            </w:r>
          </w:p>
        </w:tc>
        <w:tc>
          <w:p>
            <w:pPr>
              <w:spacing w:after="40"/>
            </w:pPr>
            <w:r>
              <w:t xml:space="preserve">Moderate</w:t>
            </w:r>
          </w:p>
        </w:tc>
        <w:tc>
          <w:p>
            <w:pPr>
              <w:spacing w:after="40"/>
            </w:pPr>
            <w:r>
              <w:t xml:space="preserve">High</w:t>
            </w:r>
          </w:p>
        </w:tc>
        <w:tc>
          <w:p>
            <w:pPr>
              <w:spacing w:after="40"/>
            </w:pPr>
            <w:r>
              <w:t xml:space="preserve">Dose-limiting toxicity</w:t>
            </w:r>
          </w:p>
        </w:tc>
      </w:tr>
      <w:tr>
        <w:tc>
          <w:p>
            <w:pPr>
              <w:spacing w:after="40"/>
            </w:pPr>
            <w:r>
              <w:t xml:space="preserve">Tumor-targeted chemotherapy</w:t>
            </w:r>
          </w:p>
        </w:tc>
        <w:tc>
          <w:p>
            <w:pPr>
              <w:spacing w:after="40"/>
            </w:pPr>
            <w:r>
              <w:t xml:space="preserve">AI + stimuli-responsive</w:t>
            </w:r>
          </w:p>
        </w:tc>
        <w:tc>
          <w:p>
            <w:pPr>
              <w:spacing w:after="40"/>
            </w:pPr>
            <w:r>
              <w:t xml:space="preserve">Shortened</w:t>
            </w:r>
          </w:p>
        </w:tc>
        <w:tc>
          <w:p>
            <w:pPr>
              <w:spacing w:after="40"/>
            </w:pPr>
            <w:r>
              <w:t xml:space="preserve">High</w:t>
            </w:r>
          </w:p>
        </w:tc>
        <w:tc>
          <w:p>
            <w:pPr>
              <w:spacing w:after="40"/>
            </w:pPr>
            <w:r>
              <w:t xml:space="preserve">Substantially reduced</w:t>
            </w:r>
          </w:p>
        </w:tc>
        <w:tc>
          <w:p>
            <w:pPr>
              <w:spacing w:after="40"/>
            </w:pPr>
            <w:r>
              <w:t xml:space="preserve">Localized on-demand release</w:t>
            </w:r>
          </w:p>
        </w:tc>
      </w:tr>
      <w:tr>
        <w:tc>
          <w:p>
            <w:pPr>
              <w:spacing w:after="40"/>
            </w:pPr>
            <w:r>
              <w:t xml:space="preserve">siRNA polymeric carrier</w:t>
            </w:r>
          </w:p>
        </w:tc>
        <w:tc>
          <w:p>
            <w:pPr>
              <w:spacing w:after="40"/>
            </w:pPr>
            <w:r>
              <w:t xml:space="preserve">Trial-and-error</w:t>
            </w:r>
          </w:p>
        </w:tc>
        <w:tc>
          <w:p>
            <w:pPr>
              <w:spacing w:after="40"/>
            </w:pPr>
            <w:r>
              <w:t xml:space="preserve">Extended</w:t>
            </w:r>
          </w:p>
        </w:tc>
        <w:tc>
          <w:p>
            <w:pPr>
              <w:spacing w:after="40"/>
            </w:pPr>
            <w:r>
              <w:t xml:space="preserve">Low-moderate</w:t>
            </w:r>
          </w:p>
        </w:tc>
        <w:tc>
          <w:p>
            <w:pPr>
              <w:spacing w:after="40"/>
            </w:pPr>
            <w:r>
              <w:t xml:space="preserve">Moderate</w:t>
            </w:r>
          </w:p>
        </w:tc>
        <w:tc>
          <w:p>
            <w:pPr>
              <w:spacing w:after="40"/>
            </w:pPr>
            <w:r>
              <w:t xml:space="preserve">Variable batch performance</w:t>
            </w:r>
          </w:p>
        </w:tc>
      </w:tr>
      <w:tr>
        <w:tc>
          <w:p>
            <w:pPr>
              <w:spacing w:after="40"/>
            </w:pPr>
            <w:r>
              <w:t xml:space="preserve">siRNA polymeric carrier</w:t>
            </w:r>
          </w:p>
        </w:tc>
        <w:tc>
          <w:p>
            <w:pPr>
              <w:spacing w:after="40"/>
            </w:pPr>
            <w:r>
              <w:t xml:space="preserve">Bayesian optimization</w:t>
            </w:r>
          </w:p>
        </w:tc>
        <w:tc>
          <w:p>
            <w:pPr>
              <w:spacing w:after="40"/>
            </w:pPr>
            <w:r>
              <w:t xml:space="preserve">Compressed</w:t>
            </w:r>
          </w:p>
        </w:tc>
        <w:tc>
          <w:p>
            <w:pPr>
              <w:spacing w:after="40"/>
            </w:pPr>
            <w:r>
              <w:t xml:space="preserve">Improved</w:t>
            </w:r>
          </w:p>
        </w:tc>
        <w:tc>
          <w:p>
            <w:pPr>
              <w:spacing w:after="40"/>
            </w:pPr>
            <w:r>
              <w:t xml:space="preserve">Reduced</w:t>
            </w:r>
          </w:p>
        </w:tc>
        <w:tc>
          <w:p>
            <w:pPr>
              <w:spacing w:after="40"/>
            </w:pPr>
            <w:r>
              <w:t xml:space="preserve">Fewer experiments to optimum</w:t>
            </w:r>
          </w:p>
        </w:tc>
      </w:tr>
    </w:tbl>
    <w:p>
      <w:pPr>
        <w:pStyle w:val="Heading2"/>
      </w:pPr>
      <w:r>
        <w:t xml:space="preserve">10.3.6 Challenges, Ethics, and Future Perspectives</w:t>
      </w:r>
    </w:p>
    <w:p>
      <w:pPr>
        <w:pStyle w:val="Normal"/>
      </w:pPr>
      <w:r>
        <w:t xml:space="preserve">Despite the remarkable promise of AI-enabled nanomedicine, significant challenges remain. Data scarcity, heterogeneity, and inconsistent reporting standards continue to limit the reliability and generalizability of machine learning models, and the "black-box" nature of many deep learning approaches complicates mechanistic understanding and regulatory acceptance [38]. Explainable AI techniques, physics-informed models, and rigorous uncertainty quantification are increasingly recognized as essential for building trust in AI-generated designs [39]. The validation of computationally generated candidates through experimental and clinical testing remains indispensable, as models can propose formulations that are unsynthesizable or biologically ineffective [46].</w:t>
      </w:r>
    </w:p>
    <w:p>
      <w:pPr>
        <w:pStyle w:val="Normal"/>
      </w:pPr>
      <w:r>
        <w:t xml:space="preserve">Ethical and regulatory considerations also demand careful attention. The deployment of adaptive, AI-controlled delivery systems raises questions of patient safety, accountability, data privacy, and equitable access, particularly as closed-loop systems assume greater autonomy over therapeutic decisions [23]. Regulatory frameworks must evolve to accommodate the dynamic, learning nature of these technologies while safeguarding patients [24]. Traditional regulatory paradigms were designed for static products with fixed specifications, and they are poorly matched to systems whose behaviour may change as underlying models are updated with new data [23]. Establishing standards for the validation, monitoring, and post-market surveillance of adaptive AI-driven delivery systems is an active and pressing area of policy development, requiring close collaboration among scientists, clinicians, regulators, and ethicists. Looking forward, the integration of multi-omics data, digital twins of individual patients, and large-scale foundation models trained on diverse biomedical data promises to further personalize and optimize nanomedicine. Equally important is the question of equitable access. If AI-enabled nanomedicines are to fulfil their promise, the benefits must extend beyond well-resourced healthcare systems to reach populations that bear a disproportionate burden of disease [24]. The computational nature of AI-driven design offers some grounds for optimism here, since predictive models, once trained, can be shared and deployed at low marginal cost, potentially lowering barriers to participation in nanomedicine research worldwide [26]. At the same time, the concentration of large biomedical datasets and computational resources within a small number of institutions risks entrenching existing inequities, underscoring the need for open data initiatives, transparent reporting standards, and collaborative frameworks that distribute the fruits of this technology broadly [27]. Careful attention to these considerations will help ensure that the convergence of nanotechnology and artificial intelligence advances not only scientific capability but also the fundamental goal of improving human health for all.</w:t>
      </w:r>
    </w:p>
    <w:p>
      <w:pPr>
        <w:pStyle w:val="Normal"/>
      </w:pPr>
      <w:r>
        <w:t xml:space="preserve">The convergence of nanotechnology and artificial intelligence is poised to deliver a new era of precision therapeutics that are safer, more effective, and increasingly tailored to the individual patient, provided that the scientific, ethical, and translational challenges are addressed with appropriate rigour and care [47].</w:t>
      </w:r>
    </w:p>
    <w:p>
      <w:pPr>
        <w:pStyle w:val="Heading1"/>
      </w:pPr>
      <w:r>
        <w:t xml:space="preserve">10.4 Conclusion</w:t>
      </w:r>
    </w:p>
    <w:p>
      <w:pPr>
        <w:pStyle w:val="Normal"/>
      </w:pPr>
      <w:r>
        <w:t xml:space="preserve">AI-enabled nanomedicine represents a profound convergence of two of the most consequential technological frontiers of the twenty-first century. Nanotechnology-based drug delivery systems have already transformed the treatment of cancer, infectious disease, and genetic disorders by enabling precise control over the transport and release of therapeutic agents. Machine learning has amplified this capability by rendering the vast, high-dimensional design space of nanoparticles navigable through predictive modelling, Bayesian optimization, and generative inverse design. Stimuli-responsive materials and AI-optimized closed-loop systems extend this trajectory toward truly personalized, adaptive therapy that responds in real time to the physiological state of the patient. While substantial challenges in data quality, model interpretability, validation, and regulation remain, the trajectory is unmistakable: the synergistic integration of artificial intelligence and nanotechnology is reshaping drug delivery from an empirical art into a predictive, precise, and increasingly autonomous science. As these capabilities continue to mature, AI-enabled nanomedicine holds the promise of safer, more effective, and more equitable therapeutics for patients worldwide.</w:t>
      </w:r>
    </w:p>
    <w:p>
      <w:pPr>
        <w:pStyle w:val="Heading1"/>
      </w:pPr>
      <w:r>
        <w:t xml:space="preserve">References</w:t>
      </w:r>
    </w:p>
    <w:p>
      <w:pPr>
        <w:pStyle w:val="References"/>
      </w:pPr>
      <w:r>
        <w:t xml:space="preserve">[1] Peer, D., Karp, J. M., Hong, S., Farokhzad, O. C., Margalit, R., &amp; Langer, R. (2007). Nanocarriers as an emerging platform for cancer therapy. Nature Nanotechnology, 2(12), 751-760.</w:t>
      </w:r>
    </w:p>
    <w:p>
      <w:pPr>
        <w:pStyle w:val="References"/>
      </w:pPr>
      <w:r>
        <w:t xml:space="preserve">[2] Pardridge, W. M. (2012). Drug transport across the blood-brain barrier. Journal of Cerebral Blood Flow &amp; Metabolism, 32(11), 1959-1972.</w:t>
      </w:r>
    </w:p>
    <w:p>
      <w:pPr>
        <w:pStyle w:val="References"/>
      </w:pPr>
      <w:r>
        <w:t xml:space="preserve">[3] Mitchell, M. J., Billingsley, M. M., Haley, R. M., Wechsler, M. E., Peppas, N. A., &amp; Langer, R. (2021). Engineering precision nanoparticles for drug delivery. Nature Reviews Drug Discovery, 20(2), 101-124.</w:t>
      </w:r>
    </w:p>
    <w:p>
      <w:pPr>
        <w:pStyle w:val="References"/>
      </w:pPr>
      <w:r>
        <w:t xml:space="preserve">[4] Maeda, H., Wu, J., Sawa, T., Matsumura, Y., &amp; Hori, K. (2000). Tumor vascular permeability and the EPR effect in macromolecular therapeutics. Journal of Controlled Release, 65(1-2), 271-284.</w:t>
      </w:r>
    </w:p>
    <w:p>
      <w:pPr>
        <w:pStyle w:val="References"/>
      </w:pPr>
      <w:r>
        <w:t xml:space="preserve">[5] Bertrand, N., Wu, J., Xu, X., Kamaly, N., &amp; Farokhzad, O. C. (2014). Cancer nanotechnology: The impact of passive and active targeting in the era of modern cancer biology. Advanced Drug Delivery Reviews, 66, 2-25.</w:t>
      </w:r>
    </w:p>
    <w:p>
      <w:pPr>
        <w:pStyle w:val="References"/>
      </w:pPr>
      <w:r>
        <w:t xml:space="preserve">[6] Kamaly, N., Yameen, B., Wu, J., &amp; Farokhzad, O. C. (2016). Degradable controlled-release polymers and polymeric nanoparticles: Mechanisms of controlling drug release. Chemical Reviews, 116(4), 2602-2663.</w:t>
      </w:r>
    </w:p>
    <w:p>
      <w:pPr>
        <w:pStyle w:val="References"/>
      </w:pPr>
      <w:r>
        <w:t xml:space="preserve">[7] Hou, X., Zaks, T., Langer, R., &amp; Dong, Y. (2021). Lipid nanoparticles for mRNA delivery. Nature Reviews Materials, 6(12), 1078-1094.</w:t>
      </w:r>
    </w:p>
    <w:p>
      <w:pPr>
        <w:pStyle w:val="References"/>
      </w:pPr>
      <w:r>
        <w:t xml:space="preserve">[8] Allen, T. M., &amp; Cullis, P. R. (2013). Liposomal drug delivery systems: From concept to clinical applications. Advanced Drug Delivery Reviews, 65(1), 36-48.</w:t>
      </w:r>
    </w:p>
    <w:p>
      <w:pPr>
        <w:pStyle w:val="References"/>
      </w:pPr>
      <w:r>
        <w:t xml:space="preserve">[9] Barenholz, Y. (2012). Doxil - the first FDA-approved nano-drug: Lessons learned. Journal of Controlled Release, 160(2), 117-134.</w:t>
      </w:r>
    </w:p>
    <w:p>
      <w:pPr>
        <w:pStyle w:val="References"/>
      </w:pPr>
      <w:r>
        <w:t xml:space="preserve">[10] Danhier, F., Ansorena, E., Silva, J. M., Coco, R., Le Breton, A., &amp; Preat, V. (2012). PLGA-based nanoparticles: An overview of biomedical applications. Journal of Controlled Release, 161(2), 505-522.</w:t>
      </w:r>
    </w:p>
    <w:p>
      <w:pPr>
        <w:pStyle w:val="References"/>
      </w:pPr>
      <w:r>
        <w:t xml:space="preserve">[11] Cullis, P. R., &amp; Hope, M. J. (2017). Lipid nanoparticle systems for enabling gene therapies. Molecular Therapy, 25(7), 1467-1475.</w:t>
      </w:r>
    </w:p>
    <w:p>
      <w:pPr>
        <w:pStyle w:val="References"/>
      </w:pPr>
      <w:r>
        <w:t xml:space="preserve">[12] Kesharwani, P., Jain, K., &amp; Jain, N. K. (2014). Dendrimer as nanocarrier for drug delivery. Progress in Polymer Science, 39(2), 268-307.</w:t>
      </w:r>
    </w:p>
    <w:p>
      <w:pPr>
        <w:pStyle w:val="References"/>
      </w:pPr>
      <w:r>
        <w:t xml:space="preserve">[13] Chen, F., Ehlerding, E. B., &amp; Cai, W. (2014). Theranostic nanoparticles. Journal of Nuclear Medicine, 55(12), 1919-1922.</w:t>
      </w:r>
    </w:p>
    <w:p>
      <w:pPr>
        <w:pStyle w:val="References"/>
      </w:pPr>
      <w:r>
        <w:t xml:space="preserve">[14] Cabral, H., Miyata, K., Osada, K., &amp; Kataoka, K. (2018). Block copolymer micelles in nanomedicine applications. Chemical Reviews, 118(14), 6844-6892.</w:t>
      </w:r>
    </w:p>
    <w:p>
      <w:pPr>
        <w:pStyle w:val="References"/>
      </w:pPr>
      <w:r>
        <w:t xml:space="preserve">[15] Elzoghby, A. O., Samy, W. M., &amp; Elgindy, N. A. (2012). Protein-based nanocarriers as promising drug and gene delivery systems. Journal of Controlled Release, 161(1), 38-49.</w:t>
      </w:r>
    </w:p>
    <w:p>
      <w:pPr>
        <w:pStyle w:val="References"/>
      </w:pPr>
      <w:r>
        <w:t xml:space="preserve">[16] Blanco, E., Shen, H., &amp; Ferrari, M. (2015). Principles of nanoparticle design for overcoming biological barriers to drug delivery. Nature Biotechnology, 33(9), 941-951.</w:t>
      </w:r>
    </w:p>
    <w:p>
      <w:pPr>
        <w:pStyle w:val="References"/>
      </w:pPr>
      <w:r>
        <w:t xml:space="preserve">[17] Honary, S., &amp; Zahir, F. (2013). Effect of zeta potential on the properties of nano-drug delivery systems. Tropical Journal of Pharmaceutical Research, 12(2), 255-264.</w:t>
      </w:r>
    </w:p>
    <w:p>
      <w:pPr>
        <w:pStyle w:val="References"/>
      </w:pPr>
      <w:r>
        <w:t xml:space="preserve">[18] Suk, J. S., Xu, Q., Kim, N., Hanes, J., &amp; Ensign, L. M. (2016). PEGylation as a strategy for improving nanoparticle-based drug and gene delivery. Advanced Drug Delivery Reviews, 99, 28-51.</w:t>
      </w:r>
    </w:p>
    <w:p>
      <w:pPr>
        <w:pStyle w:val="References"/>
      </w:pPr>
      <w:r>
        <w:t xml:space="preserve">[19] Truong, N. P., Whittaker, M. R., Mak, C. W., &amp; Davis, T. P. (2015). The importance of nanoparticle shape in cancer drug delivery. Expert Opinion on Drug Delivery, 12(1), 129-142.</w:t>
      </w:r>
    </w:p>
    <w:p>
      <w:pPr>
        <w:pStyle w:val="References"/>
      </w:pPr>
      <w:r>
        <w:t xml:space="preserve">[20] Adir, O., Poley, M., Chen, G., Froim, S., Krinsky, N., Shklover, J., et al. (2020). Integrating artificial intelligence and nanotechnology for precision cancer medicine. Advanced Materials, 32(13), 1901989.</w:t>
      </w:r>
    </w:p>
    <w:p>
      <w:pPr>
        <w:pStyle w:val="References"/>
      </w:pPr>
      <w:r>
        <w:t xml:space="preserve">[21] Monopoli, M. P., Aberg, C., Salvati, A., &amp; Dawson, K. A. (2012). Biomolecular coronas provide the biological identity of nanosized materials. Nature Nanotechnology, 7(12), 779-786.</w:t>
      </w:r>
    </w:p>
    <w:p>
      <w:pPr>
        <w:pStyle w:val="References"/>
      </w:pPr>
      <w:r>
        <w:t xml:space="preserve">[22] Wilhelm, S., Tavares, A. J., Dai, Q., Ohta, S., Audet, J., Dvorak, H. F., &amp; Chan, W. C. W. (2016). Analysis of nanoparticle delivery to tumours. Nature Reviews Materials, 1(5), 16014.</w:t>
      </w:r>
    </w:p>
    <w:p>
      <w:pPr>
        <w:pStyle w:val="References"/>
      </w:pPr>
      <w:r>
        <w:t xml:space="preserve">[23] Hua, S., de Matos, M. B. C., Metselaar, J. M., &amp; Storm, G. (2018). Current trends and challenges in the clinical translation of nanoparticulate nanomedicines. Frontiers in Pharmacology, 9, 790.</w:t>
      </w:r>
    </w:p>
    <w:p>
      <w:pPr>
        <w:pStyle w:val="References"/>
      </w:pPr>
      <w:r>
        <w:t xml:space="preserve">[24] Anselmo, A. C., &amp; Mitragotri, S. (2019). Nanoparticles in the clinic: An update. Bioengineering &amp; Translational Medicine, 4(3), e10143.</w:t>
      </w:r>
    </w:p>
    <w:p>
      <w:pPr>
        <w:pStyle w:val="References"/>
      </w:pPr>
      <w:r>
        <w:t xml:space="preserve">[25] Yamankurt, G., Berns, E. J., Xue, A., Lee, A., Bagheri, N., Mrksich, M., &amp; Mirkin, C. A. (2019). Exploration of the nanomedicine-design space with high-throughput screening and machine learning. Nature Biomedical Engineering, 3(4), 318-327.</w:t>
      </w:r>
    </w:p>
    <w:p>
      <w:pPr>
        <w:pStyle w:val="References"/>
      </w:pPr>
      <w:r>
        <w:t xml:space="preserve">[26] Bannigan, P., Aldeghi, M., Bao, Z., Hase, F., Aspuru-Guzik, A., &amp; Allen, C. (2021). Machine learning for enabling active matter and nanomedicine. Advanced Drug Delivery Reviews, 175, 113806.</w:t>
      </w:r>
    </w:p>
    <w:p>
      <w:pPr>
        <w:pStyle w:val="References"/>
      </w:pPr>
      <w:r>
        <w:t xml:space="preserve">[27] Wilkinson, M. D., Dumontier, M., Aalbersberg, I. J., et al. (2016). The FAIR Guiding Principles for scientific data management and stewardship. Scientific Data, 3, 160018.</w:t>
      </w:r>
    </w:p>
    <w:p>
      <w:pPr>
        <w:pStyle w:val="References"/>
      </w:pPr>
      <w:r>
        <w:t xml:space="preserve">[28] Cova, T. F. G. G., &amp; Pais, A. A. C. C. (2019). Deep learning for deep chemistry: Optimizing the prediction of chemical patterns. Frontiers in Chemistry, 7, 809.</w:t>
      </w:r>
    </w:p>
    <w:p>
      <w:pPr>
        <w:pStyle w:val="References"/>
      </w:pPr>
      <w:r>
        <w:t xml:space="preserve">[29] Winkler, D. A. (2016). Recent advances, and unresolved issues, in the application of computational modelling to the prediction of the biological effects of nanomaterials. Toxicology and Applied Pharmacology, 299, 96-100.</w:t>
      </w:r>
    </w:p>
    <w:p>
      <w:pPr>
        <w:pStyle w:val="References"/>
      </w:pPr>
      <w:r>
        <w:t xml:space="preserve">[30] Toropov, A. A., &amp; Toropova, A. P. (2015). Quasi-QSAR for mutagenic potential of multi-walled carbon nanotubes. Chemosphere, 124, 40-46.</w:t>
      </w:r>
    </w:p>
    <w:p>
      <w:pPr>
        <w:pStyle w:val="References"/>
      </w:pPr>
      <w:r>
        <w:t xml:space="preserve">[31] Rouco, H., Diaz-Rodriguez, P., Rama-Molinos, S., Remunan-Lopez, C., &amp; Landin, M. (2020). Delimiting the knowledge space and the design space of nanostructured systems through artificial intelligence tools. International Journal of Pharmaceutics, 590, 119918.</w:t>
      </w:r>
    </w:p>
    <w:p>
      <w:pPr>
        <w:pStyle w:val="References"/>
      </w:pPr>
      <w:r>
        <w:t xml:space="preserve">[32] Reiser, P., Neubert, M., Eberhard, A., Torresi, L., Zhou, C., Shao, C., et al. (2022). Graph neural networks for materials science and chemistry. Communications Materials, 3(1), 93.</w:t>
      </w:r>
    </w:p>
    <w:p>
      <w:pPr>
        <w:pStyle w:val="References"/>
      </w:pPr>
      <w:r>
        <w:t xml:space="preserve">[33] Vamathevan, J., Clark, D., Czodrowski, P., Dunham, I., Ferran, E., Lee, G., et al. (2019). Applications of machine learning in drug discovery and development. Nature Reviews Drug Discovery, 18(6), 463-477.</w:t>
      </w:r>
    </w:p>
    <w:p>
      <w:pPr>
        <w:pStyle w:val="References"/>
      </w:pPr>
      <w:r>
        <w:t xml:space="preserve">[34] Youshia, J., Ali, M. E., &amp; Lamprecht, A. (2017). Artificial neural network based particle size prediction of polymeric nanoparticles. European Journal of Pharmaceutics and Biopharmaceutics, 119, 333-342.</w:t>
      </w:r>
    </w:p>
    <w:p>
      <w:pPr>
        <w:pStyle w:val="References"/>
      </w:pPr>
      <w:r>
        <w:t xml:space="preserve">[35] Serov, N., &amp; Vinogradov, V. (2022). Artificial intelligence to bring nanomedicine to life. Advanced Drug Delivery Reviews, 184, 114194.</w:t>
      </w:r>
    </w:p>
    <w:p>
      <w:pPr>
        <w:pStyle w:val="References"/>
      </w:pPr>
      <w:r>
        <w:t xml:space="preserve">[36] Jones, D. E., Ghandehari, H., &amp; Facelli, J. C. (2016). A review of the applications of data mining and machine learning for the prediction of biomedical properties of nanoparticles. Computer Methods and Programs in Biomedicine, 132, 93-103.</w:t>
      </w:r>
    </w:p>
    <w:p>
      <w:pPr>
        <w:pStyle w:val="References"/>
      </w:pPr>
      <w:r>
        <w:t xml:space="preserve">[37] Puzyn, T., Rasulev, B., Gajewicz, A., Hu, X., Dasari, T. P., Michalkova, A., et al. (2011). Using nano-QSAR to predict the cytotoxicity of metal oxide nanoparticles. Nature Nanotechnology, 6(3), 175-178.</w:t>
      </w:r>
    </w:p>
    <w:p>
      <w:pPr>
        <w:pStyle w:val="References"/>
      </w:pPr>
      <w:r>
        <w:t xml:space="preserve">[38] Furxhi, I., Murphy, F., Mullins, M., Arvanitis, A., &amp; Poland, C. A. (2020). Practices and trends of machine learning application in nanotoxicology. Nanomaterials, 10(1), 116.</w:t>
      </w:r>
    </w:p>
    <w:p>
      <w:pPr>
        <w:pStyle w:val="References"/>
      </w:pPr>
      <w:r>
        <w:t xml:space="preserve">[39] Roy, K., &amp; Ambure, P. (2016). The "double cross-validation" software tool for MLR QSAR model development. Chemometrics and Intelligent Laboratory Systems, 159, 108-126.</w:t>
      </w:r>
    </w:p>
    <w:p>
      <w:pPr>
        <w:pStyle w:val="References"/>
      </w:pPr>
      <w:r>
        <w:t xml:space="preserve">[40] Shalaby, K. S., Soliman, M. E., Casettari, L., Bonacucina, G., Cespi, M., Palmieri, G. F., et al. (2014). Determination of factors controlling the particle size and entrapment efficiency of nanoparticles using Bayesian methods. International Journal of Nanomedicine, 9, 4953-4964.</w:t>
      </w:r>
    </w:p>
    <w:p>
      <w:pPr>
        <w:pStyle w:val="References"/>
      </w:pPr>
      <w:r>
        <w:t xml:space="preserve">[41] Shields, B. J., Stevens, J., Li, J., Parasram, M., Damani, F., Alvarado, J. I. M., et al. (2021). Bayesian reaction optimization as a tool for chemical synthesis. Nature, 590(7844), 89-96.</w:t>
      </w:r>
    </w:p>
    <w:p>
      <w:pPr>
        <w:pStyle w:val="References"/>
      </w:pPr>
      <w:r>
        <w:t xml:space="preserve">[42] Coley, C. W., Eyke, N. S., &amp; Jensen, K. F. (2020). Autonomous discovery in the chemical sciences part I: Progress. Angewandte Chemie International Edition, 59(51), 22858-22893.</w:t>
      </w:r>
    </w:p>
    <w:p>
      <w:pPr>
        <w:pStyle w:val="References"/>
      </w:pPr>
      <w:r>
        <w:t xml:space="preserve">[43] Zhu, G., Zhang, F., Ni, Q., Niu, G., &amp; Chen, X. (2017). Efficient nanovaccine delivery in cancer immunotherapy. ACS Nano, 11(3), 2387-2392.</w:t>
      </w:r>
    </w:p>
    <w:p>
      <w:pPr>
        <w:pStyle w:val="References"/>
      </w:pPr>
      <w:r>
        <w:t xml:space="preserve">[44] Sanchez-Lengeling, B., &amp; Aspuru-Guzik, A. (2018). Inverse molecular design using machine learning: Generative models for matter engineering. Science, 361(6400), 360-365.</w:t>
      </w:r>
    </w:p>
    <w:p>
      <w:pPr>
        <w:pStyle w:val="References"/>
      </w:pPr>
      <w:r>
        <w:t xml:space="preserve">[45] Zhavoronkov, A., Ivanenkov, Y. A., Aliper, A., Veselov, M. S., Aladinskiy, V. A., Aladinskaya, A. V., et al. (2019). Deep learning enables rapid identification of potent DDR1 kinase inhibitors. Nature Biotechnology, 37(9), 1038-1040.</w:t>
      </w:r>
    </w:p>
    <w:p>
      <w:pPr>
        <w:pStyle w:val="References"/>
      </w:pPr>
      <w:r>
        <w:t xml:space="preserve">[46] Aliper, A., Kudrin, R., Polykovskiy, D., Kamya, P., Tutubalina, E., Chen, J., et al. (2023). Prediction of clinical trials outcomes using generative and machine learning models. Clinical Pharmacology &amp; Therapeutics, 114(5), 972-980.</w:t>
      </w:r>
    </w:p>
    <w:p>
      <w:pPr>
        <w:pStyle w:val="References"/>
      </w:pPr>
      <w:r>
        <w:t xml:space="preserve">[47] Mura, S., Nicolas, J., &amp; Couvreur, P. (2013). Stimuli-responsive nanocarriers for drug delivery. Nature Materials, 12(11), 991-1003.</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Nanocarrier_Platforms.png"/>
  <Relationship Id="rIdImg2" Type="http://schemas.openxmlformats.org/officeDocument/2006/relationships/image" Target="media/Figure_2_ML_Workflow.png"/>
  <Relationship Id="rIdImg3" Type="http://schemas.openxmlformats.org/officeDocument/2006/relationships/image" Target="media/Figure_3_Stimuli_Responsive.png"/>
  <Relationship Id="rIdImg4" Type="http://schemas.openxmlformats.org/officeDocument/2006/relationships/image" Target="media/Figure_4_Closed_Loop_Theranostic.png"/>
</Relationships>
</file>