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 /></Relationships>
</file>

<file path=word/document.xml><?xml version="1.0" encoding="utf-8"?>
<ns0:document xmlns:ns0="http://schemas.openxmlformats.org/wordprocessingml/2006/main" xmlns:w="http://schemas.openxmlformats.org/wordprocessingml/2006/main" xmlns:r="http://schemas.openxmlformats.org/officeDocument/2006/relationships">
  <ns0:body>
    <ns0:p>
      <ns0:pPr>
        <ns0:spacing ns0:after="120" ns0:line="360" ns0:lineRule="auto"/>
      </ns0:pPr>
      <ns0:r>
        <ns0:rPr>
          <ns0:rFonts ns0:ascii="Times New Roman" ns0:hAnsi="Times New Roman"/>
          <ns0:b/>
          <ns0:sz ns0:val="36"/>
          <ns0:szCs ns0:val="36"/>
        </ns0:rPr>
        <ns0:t xml:space="preserve">CHAPTER 4: EXPERIMENTATION</ns0:t>
      </ns0:r>
    </ns0:p>
    <ns0:p>
      <ns0:pPr>
        <ns0:spacing ns0:after="120" ns0:line="360" ns0:lineRule="auto"/>
      </ns0:pPr>
      <ns0:r>
        <ns0:rPr>
          <ns0:rFonts ns0:ascii="Times New Roman" ns0:hAnsi="Times New Roman"/>
          <ns0:b/>
          <ns0:sz ns0:val="32"/>
          <ns0:szCs ns0:val="32"/>
        </ns0:rPr>
        <ns0:t xml:space="preserve">4.1 Selection of Suitable Minerals Used as Fluxes for Submerged Arc Welding</ns0:t>
      </ns0:r>
    </ns0:p>
    <ns0:p>
      <ns0:pPr>
        <ns0:spacing ns0:after="120" ns0:line="360" ns0:lineRule="auto"/>
      </ns0:pPr>
      <ns0:r>
        <ns0:rPr>
          <ns0:rFonts ns0:ascii="Times New Roman" ns0:hAnsi="Times New Roman"/>
          <ns0:sz ns0:val="24"/>
          <ns0:szCs ns0:val="24"/>
        </ns0:rPr>
        <ns0:t xml:space="preserve">The development of submerged arc welding (SAW) fluxes for marine and offshore pipeline applications requires a careful selection of mineral constituents that can collectively provide arc stability, adequate slag coverage, controlled element transfer, and desirable weld metal properties. In the present research, the mineral constituents were selected based on their individual contributions to slag behavior, thermophysical characteristics, and weld metal metallurgy.</ns0:t>
      </ns0:r>
    </ns0:p>
    <ns0:p>
      <ns0:pPr>
        <ns0:spacing ns0:after="120" ns0:line="360" ns0:lineRule="auto"/>
      </ns0:pPr>
      <ns0:r>
        <ns0:rPr>
          <ns0:rFonts ns0:ascii="Times New Roman" ns0:hAnsi="Times New Roman"/>
          <ns0:sz ns0:val="24"/>
          <ns0:szCs ns0:val="24"/>
        </ns0:rPr>
        <ns0:t xml:space="preserve">The primary mineral constituents selected for the flux formulation system are:</ns0:t>
      </ns0:r>
    </ns0:p>
    <ns0:p>
      <ns0:pPr>
        <ns0:spacing ns0:after="120" ns0:line="360" ns0:lineRule="auto"/>
      </ns0:pPr>
      <ns0:r>
        <ns0:rPr>
          <ns0:rFonts ns0:ascii="Times New Roman" ns0:hAnsi="Times New Roman"/>
          <ns0:sz ns0:val="24"/>
          <ns0:szCs ns0:val="24"/>
        </ns0:rPr>
        <ns0:t xml:space="preserve">1. Silica (SiO₂): Selected as an acidic constituent providing fluxing activity and slag fluidity. SiO₂ forms the backbone of silicate networks in the slag and influences the viscosity and melting characteristics.</ns0:t>
      </ns0:r>
    </ns0:p>
    <ns0:p>
      <ns0:pPr>
        <ns0:spacing ns0:after="120" ns0:line="360" ns0:lineRule="auto"/>
      </ns0:pPr>
      <ns0:r>
        <ns0:rPr>
          <ns0:rFonts ns0:ascii="Times New Roman" ns0:hAnsi="Times New Roman"/>
          <ns0:sz ns0:val="24"/>
          <ns0:szCs ns0:val="24"/>
        </ns0:rPr>
        <ns0:t xml:space="preserve">2. Titanium Dioxide (TiO₂): Included to enhance arc stability and slag detachability. TiO₂ also contributes to inclusion modification in the weld metal, promoting acicular ferrite nucleation.</ns0:t>
      </ns0:r>
    </ns0:p>
    <ns0:p>
      <ns0:pPr>
        <ns0:spacing ns0:after="120" ns0:line="360" ns0:lineRule="auto"/>
      </ns0:pPr>
      <ns0:r>
        <ns0:rPr>
          <ns0:rFonts ns0:ascii="Times New Roman" ns0:hAnsi="Times New Roman"/>
          <ns0:sz ns0:val="24"/>
          <ns0:szCs ns0:val="24"/>
        </ns0:rPr>
        <ns0:t xml:space="preserve">3. Calcium Fluoride (CaF₂): Added as a fluxing agent to reduce the melting point of the slag, control viscosity, and improve basicity. CaF₂ also aids in hydrogen removal and desulfurization.</ns0:t>
      </ns0:r>
    </ns0:p>
    <ns0:p>
      <ns0:pPr>
        <ns0:spacing ns0:after="120" ns0:line="360" ns0:lineRule="auto"/>
      </ns0:pPr>
      <ns0:r>
        <ns0:rPr>
          <ns0:rFonts ns0:ascii="Times New Roman" ns0:hAnsi="Times New Roman"/>
          <ns0:sz ns0:val="24"/>
          <ns0:szCs ns0:val="24"/>
        </ns0:rPr>
        <ns0:t xml:space="preserve">4. Barium Oxide (BaO): Incorporated to stabilize arc effectiveness, contribute to slag formation, and increase the basicity index of the flux system.</ns0:t>
      </ns0:r>
    </ns0:p>
    <ns0:p>
      <ns0:pPr>
        <ns0:spacing ns0:after="120" ns0:line="360" ns0:lineRule="auto"/>
      </ns0:pPr>
      <ns0:r>
        <ns0:rPr>
          <ns0:rFonts ns0:ascii="Times New Roman" ns0:hAnsi="Times New Roman"/>
          <ns0:sz ns0:val="24"/>
          <ns0:szCs ns0:val="24"/>
        </ns0:rPr>
        <ns0:t xml:space="preserve">5. Manganese Oxide (MnO): Included as a deoxidizer and for refining the weld-metal microstructure through controlled manganese transfer to the weld pool.</ns0:t>
      </ns0:r>
    </ns0:p>
    <ns0:p>
      <ns0:pPr>
        <ns0:spacing ns0:after="120" ns0:line="360" ns0:lineRule="auto"/>
      </ns0:pPr>
      <ns0:r>
        <ns0:rPr>
          <ns0:rFonts ns0:ascii="Times New Roman" ns0:hAnsi="Times New Roman"/>
          <ns0:sz ns0:val="24"/>
          <ns0:szCs ns0:val="24"/>
        </ns0:rPr>
        <ns0:t xml:space="preserve">6. Calcium Oxide (CaO): Maintained at a constant level (8.0 g per 100 g batch) to provide baseline basic conditions and ensure consistent slag viscosity control across all formulations.</ns0:t>
      </ns0:r>
    </ns0:p>
    <ns0:p>
      <ns0:pPr>
        <ns0:spacing ns0:after="120" ns0:line="360" ns0:lineRule="auto"/>
      </ns0:pPr>
      <ns0:r>
        <ns0:rPr>
          <ns0:rFonts ns0:ascii="Times New Roman" ns0:hAnsi="Times New Roman"/>
          <ns0:sz ns0:val="24"/>
          <ns0:szCs ns0:val="24"/>
        </ns0:rPr>
        <ns0:t xml:space="preserve">Additionally, red ochre, an iron-rich by-product of iron-ore extraction from Rajasthan, India, was used as an innovative additive. Red ochre was dried at 110°C for 24 hours and milled to less than 45 µm before incorporation. Inclusion levels ranged between 5.0 and 15.0 g per 100 g batch to substitute an equal fraction of silica, maintaining total batch mass. The high iron content of red ochre increases electrical conductivity, enhances arc stability, and adjusts weld-metal chemistry for improved corrosion resistance.</ns0:t>
      </ns0:r>
    </ns0:p>
    <ns0:p>
      <ns0:pPr>
        <ns0:spacing ns0:after="120" ns0:line="360" ns0:lineRule="auto"/>
      </ns0:pPr>
      <ns0:r>
        <ns0:rPr>
          <ns0:rFonts ns0:ascii="Times New Roman" ns0:hAnsi="Times New Roman"/>
          <ns0:sz ns0:val="24"/>
          <ns0:szCs ns0:val="24"/>
        </ns0:rPr>
        <ns0:t xml:space="preserve">The purity of all mineral powders used was 99%, and the composition of each batch was verified through X-ray fluorescence (XRF) analysis to guarantee reproducibility and quality control.</ns0:t>
      </ns0:r>
    </ns0:p>
    <ns0:p>
      <ns0:pPr>
        <ns0:spacing ns0:after="120" ns0:line="360" ns0:lineRule="auto"/>
      </ns0:pPr>
      <ns0:r>
        <ns0:rPr>
          <ns0:rFonts ns0:ascii="Times New Roman" ns0:hAnsi="Times New Roman"/>
          <ns0:b/>
          <ns0:sz ns0:val="28"/>
          <ns0:szCs ns0:val="28"/>
        </ns0:rPr>
        <ns0:t xml:space="preserve">4.1.1 Design of Experimentation for Flux Formulation</ns0:t>
      </ns0:r>
    </ns0:p>
    <ns0:p>
      <ns0:pPr>
        <ns0:spacing ns0:after="120" ns0:line="360" ns0:lineRule="auto"/>
      </ns0:pPr>
      <ns0:r>
        <ns0:rPr>
          <ns0:rFonts ns0:ascii="Times New Roman" ns0:hAnsi="Times New Roman"/>
          <ns0:sz ns0:val="24"/>
          <ns0:szCs ns0:val="24"/>
        </ns0:rPr>
        <ns0:t xml:space="preserve">The traditional trial-and-error method was replaced by a systematic Design of Experiments (DoE) approach to develop twenty-five submerged arc welding fluxes. Since the mineral constituents (SiO₂, TiO₂, CaF₂, BaO, MnO, and fixed CaO) are interdependent—an increase in one component necessarily requires a decrease in one or more other components—the mixture technique of Design of Experiments was employed.</ns0:t>
      </ns0:r>
    </ns0:p>
    <ns0:p>
      <ns0:pPr>
        <ns0:spacing ns0:after="120" ns0:line="360" ns0:lineRule="auto"/>
      </ns0:pPr>
      <ns0:r>
        <ns0:rPr>
          <ns0:rFonts ns0:ascii="Times New Roman" ns0:hAnsi="Times New Roman"/>
          <ns0:sz ns0:val="24"/>
          <ns0:szCs ns0:val="24"/>
        </ns0:rPr>
        <ns0:t xml:space="preserve">Design-Expert software (version 13, Stat-Ease Inc., Minneapolis, MN, USA) was used to generate the experimental flux design matrix. The D-optimal design was selected because the lower and upper bound constraints for the variables (Table 4.1) are not achievable in standard simplex-lattice or simplex-centroid designs. To minimize systematic bias, the replicates were randomly positioned in the design space.</ns0:t>
      </ns0:r>
    </ns0:p>
    <ns0:p>
      <ns0:pPr>
        <ns0:spacing ns0:after="120" ns0:line="360" ns0:lineRule="auto"/>
      </ns0:pPr>
      <ns0:r>
        <ns0:rPr>
          <ns0:rFonts ns0:ascii="Times New Roman" ns0:hAnsi="Times New Roman"/>
          <ns0:sz ns0:val="24"/>
          <ns0:szCs ns0:val="24"/>
        </ns0:rPr>
        <ns0:t xml:space="preserve">Table 4.1: Mineral constituent composition ranges for flux formulation</ns0:t>
      </ns0:r>
    </ns0:p>
    <ns0:p>
      <ns0:pPr>
        <ns0:spacing ns0:after="120" ns0:line="360" ns0:lineRule="auto"/>
      </ns0:pPr>
      <ns0:r>
        <ns0:rPr>
          <ns0:rFonts ns0:ascii="Times New Roman" ns0:hAnsi="Times New Roman"/>
          <ns0:sz ns0:val="24"/>
          <ns0:szCs ns0:val="24"/>
        </ns0:rPr>
        <ns0:t xml:space="preserve">S. No    Mineral Constituent    Denoting Symbol    Range (g/100g batch)</ns0:t>
      </ns0:r>
    </ns0:p>
    <ns0:p>
      <ns0:pPr>
        <ns0:spacing ns0:after="120" ns0:line="360" ns0:lineRule="auto"/>
      </ns0:pPr>
      <ns0:r>
        <ns0:rPr>
          <ns0:rFonts ns0:ascii="Times New Roman" ns0:hAnsi="Times New Roman"/>
          <ns0:sz ns0:val="24"/>
          <ns0:szCs ns0:val="24"/>
        </ns0:rPr>
        <ns0:t xml:space="preserve">1    SiO₂    A    5.0 – 10.0</ns0:t>
      </ns0:r>
    </ns0:p>
    <ns0:p>
      <ns0:pPr>
        <ns0:spacing ns0:after="120" ns0:line="360" ns0:lineRule="auto"/>
      </ns0:pPr>
      <ns0:r>
        <ns0:rPr>
          <ns0:rFonts ns0:ascii="Times New Roman" ns0:hAnsi="Times New Roman"/>
          <ns0:sz ns0:val="24"/>
          <ns0:szCs ns0:val="24"/>
        </ns0:rPr>
        <ns0:t xml:space="preserve">2    TiO₂    B    10.0 – 20.0</ns0:t>
      </ns0:r>
    </ns0:p>
    <ns0:p>
      <ns0:pPr>
        <ns0:spacing ns0:after="120" ns0:line="360" ns0:lineRule="auto"/>
      </ns0:pPr>
      <ns0:r>
        <ns0:rPr>
          <ns0:rFonts ns0:ascii="Times New Roman" ns0:hAnsi="Times New Roman"/>
          <ns0:sz ns0:val="24"/>
          <ns0:szCs ns0:val="24"/>
        </ns0:rPr>
        <ns0:t xml:space="preserve">3    CaF₂    C    20.0 – 35.0</ns0:t>
      </ns0:r>
    </ns0:p>
    <ns0:p>
      <ns0:pPr>
        <ns0:spacing ns0:after="120" ns0:line="360" ns0:lineRule="auto"/>
      </ns0:pPr>
      <ns0:r>
        <ns0:rPr>
          <ns0:rFonts ns0:ascii="Times New Roman" ns0:hAnsi="Times New Roman"/>
          <ns0:sz ns0:val="24"/>
          <ns0:szCs ns0:val="24"/>
        </ns0:rPr>
        <ns0:t xml:space="preserve">4    BaO    D    5.0 – 10.0</ns0:t>
      </ns0:r>
    </ns0:p>
    <ns0:p>
      <ns0:pPr>
        <ns0:spacing ns0:after="120" ns0:line="360" ns0:lineRule="auto"/>
      </ns0:pPr>
      <ns0:r>
        <ns0:rPr>
          <ns0:rFonts ns0:ascii="Times New Roman" ns0:hAnsi="Times New Roman"/>
          <ns0:sz ns0:val="24"/>
          <ns0:szCs ns0:val="24"/>
        </ns0:rPr>
        <ns0:t xml:space="preserve">5    MnO    E    10.0 – 25.0</ns0:t>
      </ns0:r>
    </ns0:p>
    <ns0:p>
      <ns0:pPr>
        <ns0:spacing ns0:after="120" ns0:line="360" ns0:lineRule="auto"/>
      </ns0:pPr>
      <ns0:r>
        <ns0:rPr>
          <ns0:rFonts ns0:ascii="Times New Roman" ns0:hAnsi="Times New Roman"/>
          <ns0:sz ns0:val="24"/>
          <ns0:szCs ns0:val="24"/>
        </ns0:rPr>
        <ns0:t xml:space="preserve">6    CaO    F    8.0 (constant)</ns0:t>
      </ns0:r>
    </ns0:p>
    <ns0:p>
      <ns0:pPr>
        <ns0:spacing ns0:after="120" ns0:line="360" ns0:lineRule="auto"/>
      </ns0:pPr>
      <ns0:r>
        <ns0:rPr>
          <ns0:rFonts ns0:ascii="Times New Roman" ns0:hAnsi="Times New Roman"/>
          <ns0:sz ns0:val="24"/>
          <ns0:szCs ns0:val="24"/>
        </ns0:rPr>
        <ns0:t xml:space="preserve">The mixture formulation was designed according to the following mathematical constraints:</ns0:t>
      </ns0:r>
    </ns0:p>
    <ns0:p>
      <ns0:pPr>
        <ns0:spacing ns0:after="120" ns0:line="360" ns0:lineRule="auto"/>
      </ns0:pPr>
      <ns0:r>
        <ns0:rPr>
          <ns0:rFonts ns0:ascii="Times New Roman" ns0:hAnsi="Times New Roman"/>
          <ns0:sz ns0:val="24"/>
          <ns0:szCs ns0:val="24"/>
          <ns0:b/>
        </ns0:rPr>
        <ns0:t xml:space="preserve">Equation 4.1:</ns0:t>
      </ns0:r>
    </ns0:p>
    <ns0:p>
      <ns0:pPr>
        <ns0:spacing ns0:after="120" ns0:line="360" ns0:lineRule="auto"/>
      </ns0:pPr>
      <ns0:r>
        <ns0:rPr>
          <ns0:rFonts ns0:ascii="Times New Roman" ns0:hAnsi="Times New Roman"/>
          <ns0:sz ns0:val="24"/>
          <ns0:szCs ns0:val="24"/>
        </ns0:rPr>
        <ns0:t xml:space="preserve">$$0 \leq \alpha_i \leq x_i \leq \beta_i \leq 100$$</ns0:t>
      </ns0:r>
    </ns0:p>
    <ns0:p>
      <ns0:pPr>
        <ns0:spacing ns0:after="120" ns0:line="360" ns0:lineRule="auto"/>
      </ns0:pPr>
      <ns0:r>
        <ns0:rPr>
          <ns0:rFonts ns0:ascii="Times New Roman" ns0:hAnsi="Times New Roman"/>
          <ns0:sz ns0:val="24"/>
          <ns0:szCs ns0:val="24"/>
          <ns0:b/>
        </ns0:rPr>
        <ns0:t xml:space="preserve">Equation 4.2:</ns0:t>
      </ns0:r>
    </ns0:p>
    <ns0:p>
      <ns0:pPr>
        <ns0:spacing ns0:after="120" ns0:line="360" ns0:lineRule="auto"/>
      </ns0:pPr>
      <ns0:r>
        <ns0:rPr>
          <ns0:rFonts ns0:ascii="Times New Roman" ns0:hAnsi="Times New Roman"/>
          <ns0:sz ns0:val="24"/>
          <ns0:szCs ns0:val="24"/>
        </ns0:rPr>
        <ns0:t xml:space="preserve">$$\sum_{i=1}^{6} x_i = 100$$</ns0:t>
      </ns0:r>
    </ns0:p>
    <ns0:p>
      <ns0:pPr>
        <ns0:spacing ns0:after="120" ns0:line="360" ns0:lineRule="auto"/>
      </ns0:pPr>
      <ns0:r>
        <ns0:rPr>
          <ns0:rFonts ns0:ascii="Times New Roman" ns0:hAnsi="Times New Roman"/>
          <ns0:sz ns0:val="24"/>
          <ns0:szCs ns0:val="24"/>
        </ns0:rPr>
        <ns0:t xml:space="preserve">where x is the mass in grams of every mineral constituent in every batch of 100 g, while α_i and β_i serve as the lower and upper specifications of each element.</ns0:t>
      </ns0:r>
    </ns0:p>
    <ns0:p>
      <ns0:pPr>
        <ns0:spacing ns0:after="120" ns0:line="360" ns0:lineRule="auto"/>
      </ns0:pPr>
      <ns0:r>
        <ns0:rPr>
          <ns0:rFonts ns0:ascii="Times New Roman" ns0:hAnsi="Times New Roman"/>
          <ns0:sz ns0:val="24"/>
          <ns0:szCs ns0:val="24"/>
        </ns0:rPr>
        <ns0:t xml:space="preserve">The compositional design space was guided by established ternary and quaternary phase diagrams:</ns0:t>
      </ns0:r>
    </ns0:p>
    <ns0:p>
      <ns0:pPr>
        <ns0:spacing ns0:after="120" ns0:line="360" ns0:lineRule="auto"/>
      </ns0:pPr>
      <ns0:r>
        <ns0:rPr>
          <ns0:rFonts ns0:ascii="Times New Roman" ns0:hAnsi="Times New Roman"/>
          <ns0:sz ns0:val="24"/>
          <ns0:szCs ns0:val="24"/>
        </ns0:rPr>
        <ns0:t xml:space="preserve">• SiO₂–CaO–CaF₂ system (Fig. 4.1a): The CaF₂ addition reduces the liquidus temperature and creates two-liquid zones, important for regulating slag fluidity.</ns0:t>
      </ns0:r>
    </ns0:p>
    <ns0:p>
      <ns0:pPr>
        <ns0:spacing ns0:after="120" ns0:line="360" ns0:lineRule="auto"/>
      </ns0:pPr>
      <ns0:r>
        <ns0:rPr>
          <ns0:rFonts ns0:ascii="Times New Roman" ns0:hAnsi="Times New Roman"/>
          <ns0:sz ns0:val="24"/>
          <ns0:szCs ns0:val="24"/>
        </ns0:rPr>
        <ns0:t xml:space="preserve">• SiO₂–MnO–TiO₂ system (Fig. 4.1b): Plotted under controlled oxygen potential (pCO/pCO₂ = 1), showing the effect of Mn and Ti on silicate and titanate phase formation and stability.</ns0:t>
      </ns0:r>
    </ns0:p>
    <ns0:p>
      <ns0:pPr>
        <ns0:spacing ns0:after="120" ns0:line="360" ns0:lineRule="auto"/>
      </ns0:pPr>
      <ns0:r>
        <ns0:rPr>
          <ns0:rFonts ns0:ascii="Times New Roman" ns0:hAnsi="Times New Roman"/>
          <ns0:sz ns0:val="24"/>
          <ns0:szCs ns0:val="24"/>
        </ns0:rPr>
        <ns0:t xml:space="preserve">• BaO–SiO₂–CaF₂ system (Fig. 4.1c): Indicates a low-melting dual liquid phase near the SiO₂–CaF₂ interface, facilitating easier flux melting.</ns0:t>
      </ns0:r>
    </ns0:p>
    <ns0:p>
      <ns0:pPr>
        <ns0:spacing ns0:after="120" ns0:line="360" ns0:lineRule="auto"/>
      </ns0:pPr>
      <ns0:r>
        <ns0:rPr>
          <ns0:rFonts ns0:ascii="Times New Roman" ns0:hAnsi="Times New Roman"/>
          <ns0:sz ns0:val="24"/>
          <ns0:szCs ns0:val="24"/>
        </ns0:rPr>
        <ns0:t xml:space="preserve">• Quaternary SiO₂–CaF₂–MnO–BaO model (Fig. 4.1d): The polyhedral design space represents the scope of viable composition based on liquidus and phase-stability criteria.</ns0:t>
      </ns0:r>
    </ns0:p>
    <ns0:p>
      <ns0:pPr>
        <ns0:spacing ns0:after="120" ns0:line="360" ns0:lineRule="auto"/>
      </ns0:pPr>
      <ns0:r>
        <ns0:rPr>
          <ns0:rFonts ns0:ascii="Times New Roman" ns0:hAnsi="Times New Roman"/>
          <ns0:sz ns0:val="24"/>
          <ns0:szCs ns0:val="24"/>
        </ns0:rPr>
        <ns0:t xml:space="preserve">Fig. 4.1: Representation of ternary and quaternary phase relationships used in flux formulation and compositional optimization. (a) The SiO₂–CaO–CaF₂ system showing liquid phase formation regions, (b) The SiO₂–MnO–TiO₂ equilibrium diagram under a controlled pCO/pCO₂ ratio of unity, (c) The BaO–SiO₂–CaF₂ diagram depicting liquidus surfaces and phase stability zones, (d) The quaternary compositional framework (SiO₂–CaF₂–MnO–BaO) defining the feasible design region selected for flux development studies.</ns0:t>
      </ns0:r>
    </ns0:p>
    <ns0:p>
      <ns0:pPr>
        <ns0:spacing ns0:after="120" ns0:line="360" ns0:lineRule="auto"/>
      </ns0:pPr>
      <ns0:r>
        <ns0:rPr>
          <ns0:rFonts ns0:ascii="Times New Roman" ns0:hAnsi="Times New Roman"/>
          <ns0:sz ns0:val="24"/>
          <ns0:szCs ns0:val="24"/>
        </ns0:rPr>
        <ns0:t xml:space="preserve">The resulting twenty-five experimental flux compositions are presented in the design matrix (Table 4.2), which includes vertex points, centre edge points, plane centre points, and an overall centroid to ensure comprehensive coverage of the design space.</ns0:t>
      </ns0:r>
    </ns0:p>
    <ns0:p>
      <ns0:pPr>
        <ns0:spacing ns0:after="120" ns0:line="360" ns0:lineRule="auto"/>
      </ns0:pPr>
      <ns0:r>
        <ns0:rPr>
          <ns0:rFonts ns0:ascii="Times New Roman" ns0:hAnsi="Times New Roman"/>
          <ns0:sz ns0:val="24"/>
          <ns0:szCs ns0:val="24"/>
        </ns0:rPr>
        <ns0:t xml:space="preserve">Table 4.2: Design matrix of flux composition</ns0:t>
      </ns0:r>
    </ns0:p>
    <ns0:p>
      <ns0:pPr>
        <ns0:spacing ns0:after="120" ns0:line="360" ns0:lineRule="auto"/>
      </ns0:pPr>
      <ns0:r>
        <ns0:rPr>
          <ns0:rFonts ns0:ascii="Times New Roman" ns0:hAnsi="Times New Roman"/>
          <ns0:sz ns0:val="24"/>
          <ns0:szCs ns0:val="24"/>
        </ns0:rPr>
        <ns0:t xml:space="preserve">Run    SiO₂    TiO₂    CaF₂    BaO    MnO    CaO    Basicity Index    Point Type</ns0:t>
      </ns0:r>
    </ns0:p>
    <ns0:p>
      <ns0:pPr>
        <ns0:spacing ns0:after="120" ns0:line="360" ns0:lineRule="auto"/>
      </ns0:pPr>
      <ns0:r>
        <ns0:rPr>
          <ns0:rFonts ns0:ascii="Times New Roman" ns0:hAnsi="Times New Roman"/>
          <ns0:sz ns0:val="24"/>
          <ns0:szCs ns0:val="24"/>
        </ns0:rPr>
        <ns0:t xml:space="preserve">1    10.00    18.59    21.42    9.99    25.00    8.00    2.253    Vertex</ns0:t>
      </ns0:r>
    </ns0:p>
    <ns0:p>
      <ns0:pPr>
        <ns0:spacing ns0:after="120" ns0:line="360" ns0:lineRule="auto"/>
      </ns0:pPr>
      <ns0:r>
        <ns0:rPr>
          <ns0:rFonts ns0:ascii="Times New Roman" ns0:hAnsi="Times New Roman"/>
          <ns0:sz ns0:val="24"/>
          <ns0:szCs ns0:val="24"/>
        </ns0:rPr>
        <ns0:t xml:space="preserve">2    6.37    10.17    35.00    8.46    25.00    8.00    4.622    Vertex</ns0:t>
      </ns0:r>
    </ns0:p>
    <ns0:p>
      <ns0:pPr>
        <ns0:spacing ns0:after="120" ns0:line="360" ns0:lineRule="auto"/>
      </ns0:pPr>
      <ns0:r>
        <ns0:rPr>
          <ns0:rFonts ns0:ascii="Times New Roman" ns0:hAnsi="Times New Roman"/>
          <ns0:sz ns0:val="24"/>
          <ns0:szCs ns0:val="24"/>
        </ns0:rPr>
        <ns0:t xml:space="preserve">3    8.15    13.98    35.00    10.00    17.86    8.00    3.201    Vertex</ns0:t>
      </ns0:r>
    </ns0:p>
    <ns0:p>
      <ns0:pPr>
        <ns0:spacing ns0:after="120" ns0:line="360" ns0:lineRule="auto"/>
      </ns0:pPr>
      <ns0:r>
        <ns0:rPr>
          <ns0:rFonts ns0:ascii="Times New Roman" ns0:hAnsi="Times New Roman"/>
          <ns0:sz ns0:val="24"/>
          <ns0:szCs ns0:val="24"/>
        </ns0:rPr>
        <ns0:t xml:space="preserve">4    7.94    15.42    30.09    6.55    25.00    8.00    2.981    Vertex</ns0:t>
      </ns0:r>
    </ns0:p>
    <ns0:p>
      <ns0:pPr>
        <ns0:spacing ns0:after="120" ns0:line="360" ns0:lineRule="auto"/>
      </ns0:pPr>
      <ns0:r>
        <ns0:rPr>
          <ns0:rFonts ns0:ascii="Times New Roman" ns0:hAnsi="Times New Roman"/>
          <ns0:sz ns0:val="24"/>
          <ns0:szCs ns0:val="24"/>
        </ns0:rPr>
        <ns0:t xml:space="preserve">5    8.15    13.98    35.00    10.00    17.86    8.00    3.201    Vertex</ns0:t>
      </ns0:r>
    </ns0:p>
    <ns0:p>
      <ns0:pPr>
        <ns0:spacing ns0:after="120" ns0:line="360" ns0:lineRule="auto"/>
      </ns0:pPr>
      <ns0:r>
        <ns0:rPr>
          <ns0:rFonts ns0:ascii="Times New Roman" ns0:hAnsi="Times New Roman"/>
          <ns0:sz ns0:val="24"/>
          <ns0:szCs ns0:val="24"/>
        </ns0:rPr>
        <ns0:t xml:space="preserve">6    5.29    20.00    27.44    7.28    25.00    8.00    2.677    Vertex</ns0:t>
      </ns0:r>
    </ns0:p>
    <ns0:p>
      <ns0:pPr>
        <ns0:spacing ns0:after="120" ns0:line="360" ns0:lineRule="auto"/>
      </ns0:pPr>
      <ns0:r>
        <ns0:rPr>
          <ns0:rFonts ns0:ascii="Times New Roman" ns0:hAnsi="Times New Roman"/>
          <ns0:sz ns0:val="24"/>
          <ns0:szCs ns0:val="24"/>
        </ns0:rPr>
        <ns0:t xml:space="preserve">7    10.00    14.37    25.63    10.00    25.00    8.00    2.816    Centre Edge</ns0:t>
      </ns0:r>
    </ns0:p>
    <ns0:p>
      <ns0:pPr>
        <ns0:spacing ns0:after="120" ns0:line="360" ns0:lineRule="auto"/>
      </ns0:pPr>
      <ns0:r>
        <ns0:rPr>
          <ns0:rFonts ns0:ascii="Times New Roman" ns0:hAnsi="Times New Roman"/>
          <ns0:sz ns0:val="24"/>
          <ns0:szCs ns0:val="24"/>
        </ns0:rPr>
        <ns0:t xml:space="preserve">8    7.94    15.42    30.09    6.55    25.00    8.00    2.981    Centre Edge</ns0:t>
      </ns0:r>
    </ns0:p>
    <ns0:p>
      <ns0:pPr>
        <ns0:spacing ns0:after="120" ns0:line="360" ns0:lineRule="auto"/>
      </ns0:pPr>
      <ns0:r>
        <ns0:rPr>
          <ns0:rFonts ns0:ascii="Times New Roman" ns0:hAnsi="Times New Roman"/>
          <ns0:sz ns0:val="24"/>
          <ns0:szCs ns0:val="24"/>
        </ns0:rPr>
        <ns0:t xml:space="preserve">9    7.94    15.42    30.09    6.55    25.00    8.00    2.981    Centre Edge</ns0:t>
      </ns0:r>
    </ns0:p>
    <ns0:p>
      <ns0:pPr>
        <ns0:spacing ns0:after="120" ns0:line="360" ns0:lineRule="auto"/>
      </ns0:pPr>
      <ns0:r>
        <ns0:rPr>
          <ns0:rFonts ns0:ascii="Times New Roman" ns0:hAnsi="Times New Roman"/>
          <ns0:sz ns0:val="24"/>
          <ns0:szCs ns0:val="24"/>
        </ns0:rPr>
        <ns0:t xml:space="preserve">10    7.99    20.00    28.17    10.00    18.84    8.00    2.322    Centre Edge</ns0:t>
      </ns0:r>
    </ns0:p>
    <ns0:p>
      <ns0:pPr>
        <ns0:spacing ns0:after="120" ns0:line="360" ns0:lineRule="auto"/>
      </ns0:pPr>
      <ns0:r>
        <ns0:rPr>
          <ns0:rFonts ns0:ascii="Times New Roman" ns0:hAnsi="Times New Roman"/>
          <ns0:sz ns0:val="24"/>
          <ns0:szCs ns0:val="24"/>
        </ns0:rPr>
        <ns0:t xml:space="preserve">11    10.00    20.00    26.73    5.00    23.27    8.00    2.100    Centre Edge</ns0:t>
      </ns0:r>
    </ns0:p>
    <ns0:p>
      <ns0:pPr>
        <ns0:spacing ns0:after="120" ns0:line="360" ns0:lineRule="auto"/>
      </ns0:pPr>
      <ns0:r>
        <ns0:rPr>
          <ns0:rFonts ns0:ascii="Times New Roman" ns0:hAnsi="Times New Roman"/>
          <ns0:sz ns0:val="24"/>
          <ns0:szCs ns0:val="24"/>
        </ns0:rPr>
        <ns0:t xml:space="preserve">12    5.02    20.00    33.18    6.31    20.48    8.00    2.717    Centre Edge</ns0:t>
      </ns0:r>
    </ns0:p>
    <ns0:p>
      <ns0:pPr>
        <ns0:spacing ns0:after="120" ns0:line="360" ns0:lineRule="auto"/>
      </ns0:pPr>
      <ns0:r>
        <ns0:rPr>
          <ns0:rFonts ns0:ascii="Times New Roman" ns0:hAnsi="Times New Roman"/>
          <ns0:sz ns0:val="24"/>
          <ns0:szCs ns0:val="24"/>
        </ns0:rPr>
        <ns0:t xml:space="preserve">13    5.00    14.38    30.62    10.00    25.00    8.00    3.799    Centre Edge</ns0:t>
      </ns0:r>
    </ns0:p>
    <ns0:p>
      <ns0:pPr>
        <ns0:spacing ns0:after="120" ns0:line="360" ns0:lineRule="auto"/>
      </ns0:pPr>
      <ns0:r>
        <ns0:rPr>
          <ns0:rFonts ns0:ascii="Times New Roman" ns0:hAnsi="Times New Roman"/>
          <ns0:sz ns0:val="24"/>
          <ns0:szCs ns0:val="24"/>
        </ns0:rPr>
        <ns0:t xml:space="preserve">14    7.99    20.00    28.17    10.00    18.84    8.00    2.322    Centre Edge</ns0:t>
      </ns0:r>
    </ns0:p>
    <ns0:p>
      <ns0:pPr>
        <ns0:spacing ns0:after="120" ns0:line="360" ns0:lineRule="auto"/>
      </ns0:pPr>
      <ns0:r>
        <ns0:rPr>
          <ns0:rFonts ns0:ascii="Times New Roman" ns0:hAnsi="Times New Roman"/>
          <ns0:sz ns0:val="24"/>
          <ns0:szCs ns0:val="24"/>
        </ns0:rPr>
        <ns0:t xml:space="preserve">15    8.79    15.54    35.00    5.35    20.32    8.00    2.823    Centre Edge</ns0:t>
      </ns0:r>
    </ns0:p>
    <ns0:p>
      <ns0:pPr>
        <ns0:spacing ns0:after="120" ns0:line="360" ns0:lineRule="auto"/>
      </ns0:pPr>
      <ns0:r>
        <ns0:rPr>
          <ns0:rFonts ns0:ascii="Times New Roman" ns0:hAnsi="Times New Roman"/>
          <ns0:sz ns0:val="24"/>
          <ns0:szCs ns0:val="24"/>
        </ns0:rPr>
        <ns0:t xml:space="preserve">16    10.00    11.45    35.00    5.00    23.55    8.00    3.337    Plane Centre</ns0:t>
      </ns0:r>
    </ns0:p>
    <ns0:p>
      <ns0:pPr>
        <ns0:spacing ns0:after="120" ns0:line="360" ns0:lineRule="auto"/>
      </ns0:pPr>
      <ns0:r>
        <ns0:rPr>
          <ns0:rFonts ns0:ascii="Times New Roman" ns0:hAnsi="Times New Roman"/>
          <ns0:sz ns0:val="24"/>
          <ns0:szCs ns0:val="24"/>
        </ns0:rPr>
        <ns0:t xml:space="preserve">17    10.00    19.37    31.71    9.51    14.41    8.00    2.166    Plane Centre</ns0:t>
      </ns0:r>
    </ns0:p>
    <ns0:p>
      <ns0:pPr>
        <ns0:spacing ns0:after="120" ns0:line="360" ns0:lineRule="auto"/>
      </ns0:pPr>
      <ns0:r>
        <ns0:rPr>
          <ns0:rFonts ns0:ascii="Times New Roman" ns0:hAnsi="Times New Roman"/>
          <ns0:sz ns0:val="24"/>
          <ns0:szCs ns0:val="24"/>
        </ns0:rPr>
        <ns0:t xml:space="preserve">18    10.00    20.00    35.00    10.00    10.00    8.00    2.100    Plane Centre</ns0:t>
      </ns0:r>
    </ns0:p>
    <ns0:p>
      <ns0:pPr>
        <ns0:spacing ns0:after="120" ns0:line="360" ns0:lineRule="auto"/>
      </ns0:pPr>
      <ns0:r>
        <ns0:rPr>
          <ns0:rFonts ns0:ascii="Times New Roman" ns0:hAnsi="Times New Roman"/>
          <ns0:sz ns0:val="24"/>
          <ns0:szCs ns0:val="24"/>
        </ns0:rPr>
        <ns0:t xml:space="preserve">19    10.00    16.88    31.33    7.89    18.90    8.00    2.461    Plane Centre</ns0:t>
      </ns0:r>
    </ns0:p>
    <ns0:p>
      <ns0:pPr>
        <ns0:spacing ns0:after="120" ns0:line="360" ns0:lineRule="auto"/>
      </ns0:pPr>
      <ns0:r>
        <ns0:rPr>
          <ns0:rFonts ns0:ascii="Times New Roman" ns0:hAnsi="Times New Roman"/>
          <ns0:sz ns0:val="24"/>
          <ns0:szCs ns0:val="24"/>
        </ns0:rPr>
        <ns0:t xml:space="preserve">20    10.00    16.88    31.33    7.89    18.90    8.00    2.461    Plane Centre</ns0:t>
      </ns0:r>
    </ns0:p>
    <ns0:p>
      <ns0:pPr>
        <ns0:spacing ns0:after="120" ns0:line="360" ns0:lineRule="auto"/>
      </ns0:pPr>
      <ns0:r>
        <ns0:rPr>
          <ns0:rFonts ns0:ascii="Times New Roman" ns0:hAnsi="Times New Roman"/>
          <ns0:sz ns0:val="24"/>
          <ns0:szCs ns0:val="24"/>
        </ns0:rPr>
        <ns0:t xml:space="preserve">21    10.00    10.00    30.00    10.00    25.00    8.00    3.650    Plane Centre</ns0:t>
      </ns0:r>
    </ns0:p>
    <ns0:p>
      <ns0:pPr>
        <ns0:spacing ns0:after="120" ns0:line="360" ns0:lineRule="auto"/>
      </ns0:pPr>
      <ns0:r>
        <ns0:rPr>
          <ns0:rFonts ns0:ascii="Times New Roman" ns0:hAnsi="Times New Roman"/>
          <ns0:sz ns0:val="24"/>
          <ns0:szCs ns0:val="24"/>
        </ns0:rPr>
        <ns0:t xml:space="preserve">22    10.00    10.00    34.07    10.00    20.93    8.00    3.650    Plane Centre</ns0:t>
      </ns0:r>
    </ns0:p>
    <ns0:p>
      <ns0:pPr>
        <ns0:spacing ns0:after="120" ns0:line="360" ns0:lineRule="auto"/>
      </ns0:pPr>
      <ns0:r>
        <ns0:rPr>
          <ns0:rFonts ns0:ascii="Times New Roman" ns0:hAnsi="Times New Roman"/>
          <ns0:sz ns0:val="24"/>
          <ns0:szCs ns0:val="24"/>
        </ns0:rPr>
        <ns0:t xml:space="preserve">23    7.97    20.00    35.00    6.01    16.02    8.00    2.326    Plane Centre</ns0:t>
      </ns0:r>
    </ns0:p>
    <ns0:p>
      <ns0:pPr>
        <ns0:spacing ns0:after="120" ns0:line="360" ns0:lineRule="auto"/>
      </ns0:pPr>
      <ns0:r>
        <ns0:rPr>
          <ns0:rFonts ns0:ascii="Times New Roman" ns0:hAnsi="Times New Roman"/>
          <ns0:sz ns0:val="24"/>
          <ns0:szCs ns0:val="24"/>
        </ns0:rPr>
        <ns0:t xml:space="preserve">24    5.00    16.16    35.00    5.00    23.84    8.00    3.395    Plane Centre</ns0:t>
      </ns0:r>
    </ns0:p>
    <ns0:p>
      <ns0:pPr>
        <ns0:spacing ns0:after="120" ns0:line="360" ns0:lineRule="auto"/>
      </ns0:pPr>
      <ns0:r>
        <ns0:rPr>
          <ns0:rFonts ns0:ascii="Times New Roman" ns0:hAnsi="Times New Roman"/>
          <ns0:sz ns0:val="24"/>
          <ns0:szCs ns0:val="24"/>
        </ns0:rPr>
        <ns0:t xml:space="preserve">25    5.00    20.00    35.00    9.30    15.70    8.00    2.720    Overall Centroid</ns0:t>
      </ns0:r>
    </ns0:p>
    <ns0:p>
      <ns0:pPr>
        <ns0:spacing ns0:after="120" ns0:line="360" ns0:lineRule="auto"/>
      </ns0:pPr>
      <ns0:r>
        <ns0:rPr>
          <ns0:rFonts ns0:ascii="Times New Roman" ns0:hAnsi="Times New Roman"/>
          <ns0:sz ns0:val="24"/>
          <ns0:szCs ns0:val="24"/>
        </ns0:rPr>
        <ns0:t xml:space="preserve">The basicity index (BI) of all twenty-five fluxes was calculated using the modified Tulliani equation:</ns0:t>
      </ns0:r>
    </ns0:p>
    <ns0:p>
      <ns0:pPr>
        <ns0:spacing ns0:after="120" ns0:line="360" ns0:lineRule="auto"/>
      </ns0:pPr>
      <ns0:r>
        <ns0:rPr>
          <ns0:rFonts ns0:ascii="Times New Roman" ns0:hAnsi="Times New Roman"/>
          <ns0:sz ns0:val="24"/>
          <ns0:szCs ns0:val="24"/>
          <ns0:b/>
        </ns0:rPr>
        <ns0:t xml:space="preserve">Equation 4.3:</ns0:t>
      </ns0:r>
    </ns0:p>
    <ns0:p>
      <ns0:pPr>
        <ns0:spacing ns0:after="120" ns0:line="360" ns0:lineRule="auto"/>
      </ns0:pPr>
      <ns0:r>
        <ns0:rPr>
          <ns0:rFonts ns0:ascii="Times New Roman" ns0:hAnsi="Times New Roman"/>
          <ns0:sz ns0:val="24"/>
          <ns0:szCs ns0:val="24"/>
        </ns0:rPr>
        <ns0:t xml:space="preserve">$$BI = \frac{(CaO + CaF_2 + MgO + BaO + SrO + Na_2O) + 0.5(MnO + Fe)}{SiO_2 + 0.5(TiO_2 + Al_2O_3 + ZrO_2)}$$</ns0:t>
      </ns0:r>
    </ns0:p>
    <ns0:p>
      <ns0:pPr>
        <ns0:spacing ns0:after="120" ns0:line="360" ns0:lineRule="auto"/>
      </ns0:pPr>
      <ns0:r>
        <ns0:rPr>
          <ns0:rFonts ns0:ascii="Times New Roman" ns0:hAnsi="Times New Roman"/>
          <ns0:sz ns0:val="24"/>
          <ns0:szCs ns0:val="24"/>
        </ns0:rPr>
        <ns0:t xml:space="preserve">The basicity index values ranged from 2.100 to 4.622, spanning from mildly acidic to strongly basic compositions.</ns0:t>
      </ns0:r>
    </ns0:p>
    <ns0:p>
      <ns0:pPr>
        <ns0:spacing ns0:after="120" ns0:line="360" ns0:lineRule="auto"/>
      </ns0:pPr>
      <ns0:r>
        <ns0:rPr>
          <ns0:rFonts ns0:ascii="Times New Roman" ns0:hAnsi="Times New Roman"/>
          <ns0:b/>
          <ns0:sz ns0:val="28"/>
          <ns0:szCs ns0:val="28"/>
        </ns0:rPr>
        <ns0:t xml:space="preserve">4.1.2 Selection of SAW Process Parameters</ns0:t>
      </ns0:r>
    </ns0:p>
    <ns0:p>
      <ns0:pPr>
        <ns0:spacing ns0:after="120" ns0:line="360" ns0:lineRule="auto"/>
      </ns0:pPr>
      <ns0:r>
        <ns0:rPr>
          <ns0:rFonts ns0:ascii="Times New Roman" ns0:hAnsi="Times New Roman"/>
          <ns0:sz ns0:val="24"/>
          <ns0:szCs ns0:val="24"/>
        </ns0:rPr>
        <ns0:t xml:space="preserve">For the multi-pass bead-on-plate experimentation, a single-wire submerged arc welding (SAW) machine was utilized with the following parameters:</ns0:t>
      </ns0:r>
    </ns0:p>
    <ns0:p>
      <ns0:pPr>
        <ns0:spacing ns0:after="120" ns0:line="360" ns0:lineRule="auto"/>
      </ns0:pPr>
      <ns0:r>
        <ns0:rPr>
          <ns0:rFonts ns0:ascii="Times New Roman" ns0:hAnsi="Times New Roman"/>
          <ns0:sz ns0:val="24"/>
          <ns0:szCs ns0:val="24"/>
        </ns0:rPr>
        <ns0:t xml:space="preserve">• Welding current: 230 A (for bead-on-plate); 440 A (for butt joint welding)</ns0:t>
      </ns0:r>
    </ns0:p>
    <ns0:p>
      <ns0:pPr>
        <ns0:spacing ns0:after="120" ns0:line="360" ns0:lineRule="auto"/>
      </ns0:pPr>
      <ns0:r>
        <ns0:rPr>
          <ns0:rFonts ns0:ascii="Times New Roman" ns0:hAnsi="Times New Roman"/>
          <ns0:sz ns0:val="24"/>
          <ns0:szCs ns0:val="24"/>
        </ns0:rPr>
        <ns0:t xml:space="preserve">• Arc voltage: 25 V (for bead-on-plate); 28 V (for butt joint welding)</ns0:t>
      </ns0:r>
    </ns0:p>
    <ns0:p>
      <ns0:pPr>
        <ns0:spacing ns0:after="120" ns0:line="360" ns0:lineRule="auto"/>
      </ns0:pPr>
      <ns0:r>
        <ns0:rPr>
          <ns0:rFonts ns0:ascii="Times New Roman" ns0:hAnsi="Times New Roman"/>
          <ns0:sz ns0:val="24"/>
          <ns0:szCs ns0:val="24"/>
        </ns0:rPr>
        <ns0:t xml:space="preserve">• Welding speed: 8 inches/min (3.39 mm/s) for bead-on-plate; 13 inches/min for butt joints</ns0:t>
      </ns0:r>
    </ns0:p>
    <ns0:p>
      <ns0:pPr>
        <ns0:spacing ns0:after="120" ns0:line="360" ns0:lineRule="auto"/>
      </ns0:pPr>
      <ns0:r>
        <ns0:rPr>
          <ns0:rFonts ns0:ascii="Times New Roman" ns0:hAnsi="Times New Roman"/>
          <ns0:sz ns0:val="24"/>
          <ns0:szCs ns0:val="24"/>
        </ns0:rPr>
        <ns0:t xml:space="preserve">• Polarity: Direct Current Electrode Positive (DCEP)</ns0:t>
      </ns0:r>
    </ns0:p>
    <ns0:p>
      <ns0:pPr>
        <ns0:spacing ns0:after="120" ns0:line="360" ns0:lineRule="auto"/>
      </ns0:pPr>
      <ns0:r>
        <ns0:rPr>
          <ns0:rFonts ns0:ascii="Times New Roman" ns0:hAnsi="Times New Roman"/>
          <ns0:sz ns0:val="24"/>
          <ns0:szCs ns0:val="24"/>
        </ns0:rPr>
        <ns0:t xml:space="preserve">• Electrode: EA2TiB filler wire, 2.4 mm diameter</ns0:t>
      </ns0:r>
    </ns0:p>
    <ns0:p>
      <ns0:pPr>
        <ns0:spacing ns0:after="120" ns0:line="360" ns0:lineRule="auto"/>
      </ns0:pPr>
      <ns0:r>
        <ns0:rPr>
          <ns0:rFonts ns0:ascii="Times New Roman" ns0:hAnsi="Times New Roman"/>
          <ns0:sz ns0:val="24"/>
          <ns0:szCs ns0:val="24"/>
        </ns0:rPr>
        <ns0:t xml:space="preserve">• Arc efficiency (η): 0.75</ns0:t>
      </ns0:r>
    </ns0:p>
    <ns0:p>
      <ns0:pPr>
        <ns0:spacing ns0:after="120" ns0:line="360" ns0:lineRule="auto"/>
      </ns0:pPr>
      <ns0:r>
        <ns0:rPr>
          <ns0:rFonts ns0:ascii="Times New Roman" ns0:hAnsi="Times New Roman"/>
          <ns0:sz ns0:val="24"/>
          <ns0:szCs ns0:val="24"/>
        </ns0:rPr>
        <ns0:t xml:space="preserve">The heat input was calculated using the standard formula:</ns0:t>
      </ns0:r>
    </ns0:p>
    <ns0:p>
      <ns0:pPr>
        <ns0:spacing ns0:after="120" ns0:line="360" ns0:lineRule="auto"/>
      </ns0:pPr>
      <ns0:r>
        <ns0:rPr>
          <ns0:rFonts ns0:ascii="Times New Roman" ns0:hAnsi="Times New Roman"/>
          <ns0:sz ns0:val="24"/>
          <ns0:szCs ns0:val="24"/>
          <ns0:b/>
        </ns0:rPr>
        <ns0:t xml:space="preserve">Equation 4.4:</ns0:t>
      </ns0:r>
    </ns0:p>
    <ns0:p>
      <ns0:pPr>
        <ns0:spacing ns0:after="120" ns0:line="360" ns0:lineRule="auto"/>
      </ns0:pPr>
      <ns0:r>
        <ns0:rPr>
          <ns0:rFonts ns0:ascii="Times New Roman" ns0:hAnsi="Times New Roman"/>
          <ns0:sz ns0:val="24"/>
          <ns0:szCs ns0:val="24"/>
        </ns0:rPr>
        <ns0:t xml:space="preserve">$$HI = \frac{V \times I \times 60}{S} \times \eta$$</ns0:t>
      </ns0:r>
    </ns0:p>
    <ns0:p>
      <ns0:pPr>
        <ns0:spacing ns0:after="120" ns0:line="360" ns0:lineRule="auto"/>
      </ns0:pPr>
      <ns0:r>
        <ns0:rPr>
          <ns0:rFonts ns0:ascii="Times New Roman" ns0:hAnsi="Times New Roman"/>
          <ns0:sz ns0:val="24"/>
          <ns0:szCs ns0:val="24"/>
        </ns0:rPr>
        <ns0:t xml:space="preserve">where V is the welding voltage, I is the welding current, S is the welding speed, and η is the arc efficiency.</ns0:t>
      </ns0:r>
    </ns0:p>
    <ns0:p>
      <ns0:pPr>
        <ns0:spacing ns0:after="120" ns0:line="360" ns0:lineRule="auto"/>
      </ns0:pPr>
      <ns0:r>
        <ns0:rPr>
          <ns0:rFonts ns0:ascii="Times New Roman" ns0:hAnsi="Times New Roman"/>
          <ns0:sz ns0:val="24"/>
          <ns0:szCs ns0:val="24"/>
        </ns0:rPr>
        <ns0:t xml:space="preserve">For bead-on-plate experiments, the calculated heat input was approximately 1.02 kJ/mm, which is within the recommended range of 0.8–2.5 kJ/mm for X70 pipeline steel welding. This range prevents excessive coarsening of the heat-affected zone while ensuring full flux melting and sufficient slag-metal reaction time.</ns0:t>
      </ns0:r>
    </ns0:p>
    <ns0:p>
      <ns0:pPr>
        <ns0:spacing ns0:after="120" ns0:line="360" ns0:lineRule="auto"/>
      </ns0:pPr>
      <ns0:r>
        <ns0:rPr>
          <ns0:rFonts ns0:ascii="Times New Roman" ns0:hAnsi="Times New Roman"/>
          <ns0:sz ns0:val="24"/>
          <ns0:szCs ns0:val="24"/>
        </ns0:rPr>
        <ns0:t xml:space="preserve">The interpass temperature was rigorously maintained at 120°C to 150°C, monitored at 25 mm from the weld bead centerline using a contact thermocouple sensor. This relatively low interpass temperature ensured that no coarse grains or martensite would form in the multipass weld metal, promoting acicular ferrite microstructure formation.</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32"/>
          <ns0:szCs ns0:val="32"/>
        </ns0:rPr>
        <ns0:t xml:space="preserve">4.2 SAW Flux Preparation</ns0:t>
      </ns0:r>
    </ns0:p>
    <ns0:p>
      <ns0:pPr>
        <ns0:spacing ns0:after="120" ns0:line="360" ns0:lineRule="auto"/>
      </ns0:pPr>
      <ns0:r>
        <ns0:rPr>
          <ns0:rFonts ns0:ascii="Times New Roman" ns0:hAnsi="Times New Roman"/>
          <ns0:sz ns0:val="24"/>
          <ns0:szCs ns0:val="24"/>
        </ns0:rPr>
        <ns0:t xml:space="preserve">The preparation of the agglomerated fluxes was performed in the laboratory following a systematic protocol:</ns0:t>
      </ns0:r>
    </ns0:p>
    <ns0:p>
      <ns0:pPr>
        <ns0:spacing ns0:after="120" ns0:line="360" ns0:lineRule="auto"/>
      </ns0:pPr>
      <ns0:r>
        <ns0:rPr>
          <ns0:rFonts ns0:ascii="Times New Roman" ns0:hAnsi="Times New Roman"/>
          <ns0:sz ns0:val="24"/>
          <ns0:szCs ns0:val="24"/>
          <ns0:b/>
        </ns0:rPr>
        <ns0:t xml:space="preserve">Step 1: Mineral Powder Preparation</ns0:t>
      </ns0:r>
    </ns0:p>
    <ns0:p>
      <ns0:pPr>
        <ns0:spacing ns0:after="120" ns0:line="360" ns0:lineRule="auto"/>
      </ns0:pPr>
      <ns0:r>
        <ns0:rPr>
          <ns0:rFonts ns0:ascii="Times New Roman" ns0:hAnsi="Times New Roman"/>
          <ns0:sz ns0:val="24"/>
          <ns0:szCs ns0:val="24"/>
        </ns0:rPr>
        <ns0:t xml:space="preserve">Each mineral constituent was individually milled to a particle size less than 45 µm (passing through a 325-mesh sieve). This particle size was selected to maximize the contact surface area, ensure uniform distribution of binder, achieve ideal agglomeration, and eliminate segregation of high-density oxides (BaO, MnO) during handling and welding.</ns0:t>
      </ns0:r>
    </ns0:p>
    <ns0:p>
      <ns0:pPr>
        <ns0:spacing ns0:after="120" ns0:line="360" ns0:lineRule="auto"/>
      </ns0:pPr>
      <ns0:r>
        <ns0:rPr>
          <ns0:rFonts ns0:ascii="Times New Roman" ns0:hAnsi="Times New Roman"/>
          <ns0:sz ns0:val="24"/>
          <ns0:szCs ns0:val="24"/>
          <ns0:b/>
        </ns0:rPr>
        <ns0:t xml:space="preserve">Step 2: Weighing and Mixing</ns0:t>
      </ns0:r>
    </ns0:p>
    <ns0:p>
      <ns0:pPr>
        <ns0:spacing ns0:after="120" ns0:line="360" ns0:lineRule="auto"/>
      </ns0:pPr>
      <ns0:r>
        <ns0:rPr>
          <ns0:rFonts ns0:ascii="Times New Roman" ns0:hAnsi="Times New Roman"/>
          <ns0:sz ns0:val="24"/>
          <ns0:szCs ns0:val="24"/>
        </ns0:rPr>
        <ns0:t xml:space="preserve">Mineral components were weighed accurately using a digital weighing balance (precision ±1 mg) based on the design matrix (Table 4.2). The powders were then combined in a turbula mixer for 30 minutes to obtain a homogeneous mixture.</ns0:t>
      </ns0:r>
    </ns0:p>
    <ns0:p>
      <ns0:pPr>
        <ns0:spacing ns0:after="120" ns0:line="360" ns0:lineRule="auto"/>
      </ns0:pPr>
      <ns0:r>
        <ns0:rPr>
          <ns0:rFonts ns0:ascii="Times New Roman" ns0:hAnsi="Times New Roman"/>
          <ns0:sz ns0:val="24"/>
          <ns0:szCs ns0:val="24"/>
          <ns0:b/>
        </ns0:rPr>
        <ns0:t xml:space="preserve">Step 3: Binder Addition</ns0:t>
      </ns0:r>
    </ns0:p>
    <ns0:p>
      <ns0:pPr>
        <ns0:spacing ns0:after="120" ns0:line="360" ns0:lineRule="auto"/>
      </ns0:pPr>
      <ns0:r>
        <ns0:rPr>
          <ns0:rFonts ns0:ascii="Times New Roman" ns0:hAnsi="Times New Roman"/>
          <ns0:sz ns0:val="24"/>
          <ns0:szCs ns0:val="24"/>
        </ns0:rPr>
        <ns0:t xml:space="preserve">Potassium silicate solution (K₂SiO₃) at 5 wt.% of the total batch mass was used as the inorganic binder. The binder was diluted in distilled water at a 1:3 ratio to lower viscosity and was gradually poured into the powdered mixture while continually stirring to ensure complete homogenization.</ns0:t>
      </ns0:r>
    </ns0:p>
    <ns0:p>
      <ns0:pPr>
        <ns0:spacing ns0:after="120" ns0:line="360" ns0:lineRule="auto"/>
      </ns0:pPr>
      <ns0:r>
        <ns0:rPr>
          <ns0:rFonts ns0:ascii="Times New Roman" ns0:hAnsi="Times New Roman"/>
          <ns0:sz ns0:val="24"/>
          <ns0:szCs ns0:val="24"/>
          <ns0:b/>
        </ns0:rPr>
        <ns0:t xml:space="preserve">Step 4: Agglomeration</ns0:t>
      </ns0:r>
    </ns0:p>
    <ns0:p>
      <ns0:pPr>
        <ns0:spacing ns0:after="120" ns0:line="360" ns0:lineRule="auto"/>
      </ns0:pPr>
      <ns0:r>
        <ns0:rPr>
          <ns0:rFonts ns0:ascii="Times New Roman" ns0:hAnsi="Times New Roman"/>
          <ns0:sz ns0:val="24"/>
          <ns0:szCs ns0:val="24"/>
        </ns0:rPr>
        <ns0:t xml:space="preserve">After uniform homogenization, a 1.0 mm sieve was used to form the wet mixture into green agglomerates.</ns0:t>
      </ns0:r>
    </ns0:p>
    <ns0:p>
      <ns0:pPr>
        <ns0:spacing ns0:after="120" ns0:line="360" ns0:lineRule="auto"/>
      </ns0:pPr>
      <ns0:r>
        <ns0:rPr>
          <ns0:rFonts ns0:ascii="Times New Roman" ns0:hAnsi="Times New Roman"/>
          <ns0:sz ns0:val="24"/>
          <ns0:szCs ns0:val="24"/>
          <ns0:b/>
        </ns0:rPr>
        <ns0:t xml:space="preserve">Step 5: Drying</ns0:t>
      </ns0:r>
    </ns0:p>
    <ns0:p>
      <ns0:pPr>
        <ns0:spacing ns0:after="120" ns0:line="360" ns0:lineRule="auto"/>
      </ns0:pPr>
      <ns0:r>
        <ns0:rPr>
          <ns0:rFonts ns0:ascii="Times New Roman" ns0:hAnsi="Times New Roman"/>
          <ns0:sz ns0:val="24"/>
          <ns0:szCs ns0:val="24"/>
        </ns0:rPr>
        <ns0:t xml:space="preserve">The green agglomerates were dried in an oven at 100°C for 2 hours to remove absorbed moisture and prevent cracking.</ns0:t>
      </ns0:r>
    </ns0:p>
    <ns0:p>
      <ns0:pPr>
        <ns0:spacing ns0:after="120" ns0:line="360" ns0:lineRule="auto"/>
      </ns0:pPr>
      <ns0:r>
        <ns0:rPr>
          <ns0:rFonts ns0:ascii="Times New Roman" ns0:hAnsi="Times New Roman"/>
          <ns0:sz ns0:val="24"/>
          <ns0:szCs ns0:val="24"/>
          <ns0:b/>
        </ns0:rPr>
        <ns0:t xml:space="preserve">Step 6: Crushing and Sieving</ns0:t>
      </ns0:r>
    </ns0:p>
    <ns0:p>
      <ns0:pPr>
        <ns0:spacing ns0:after="120" ns0:line="360" ns0:lineRule="auto"/>
      </ns0:pPr>
      <ns0:r>
        <ns0:rPr>
          <ns0:rFonts ns0:ascii="Times New Roman" ns0:hAnsi="Times New Roman"/>
          <ns0:sz ns0:val="24"/>
          <ns0:szCs ns0:val="24"/>
        </ns0:rPr>
        <ns0:t xml:space="preserve">The dried agglomerates were crushed and sieved to achieve a final particle size distribution of 0.5 mm to 1.4 mm (ASTM 14–35 mesh).</ns0:t>
      </ns0:r>
    </ns0:p>
    <ns0:p>
      <ns0:pPr>
        <ns0:spacing ns0:after="120" ns0:line="360" ns0:lineRule="auto"/>
      </ns0:pPr>
      <ns0:r>
        <ns0:rPr>
          <ns0:rFonts ns0:ascii="Times New Roman" ns0:hAnsi="Times New Roman"/>
          <ns0:sz ns0:val="24"/>
          <ns0:szCs ns0:val="24"/>
          <ns0:b/>
        </ns0:rPr>
        <ns0:t xml:space="preserve">Step 7: Final Baking</ns0:t>
      </ns0:r>
    </ns0:p>
    <ns0:p>
      <ns0:pPr>
        <ns0:spacing ns0:after="120" ns0:line="360" ns0:lineRule="auto"/>
      </ns0:pPr>
      <ns0:r>
        <ns0:rPr>
          <ns0:rFonts ns0:ascii="Times New Roman" ns0:hAnsi="Times New Roman"/>
          <ns0:sz ns0:val="24"/>
          <ns0:szCs ns0:val="24"/>
        </ns0:rPr>
        <ns0:t xml:space="preserve">The sieved fluxes were placed in sealed jars at 120°C overnight before welding to remove all remaining hydroxyl groups, thus reducing the probability of hydrogen-induced cracking in the multipass SAW beads.</ns0:t>
      </ns0:r>
    </ns0:p>
    <ns0:p>
      <ns0:pPr>
        <ns0:spacing ns0:after="120" ns0:line="360" ns0:lineRule="auto"/>
      </ns0:pPr>
      <ns0:r>
        <ns0:rPr>
          <ns0:rFonts ns0:ascii="Times New Roman" ns0:hAnsi="Times New Roman"/>
          <ns0:sz ns0:val="24"/>
          <ns0:szCs ns0:val="24"/>
        </ns0:rPr>
        <ns0:t xml:space="preserve">For the butt joint welding experiments (Paper 3), an additional high-temperature treatment was employed: the mixed flux was baked at 200°C, followed by heating in a muffle furnace at 900°C, then cooled in air, crushed, and sieved to the required particle size before final packaging in airtight bags.</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32"/>
          <ns0:szCs ns0:val="32"/>
        </ns0:rPr>
        <ns0:t xml:space="preserve">4.3 Characterization of Physicochemical and Thermophysical Properties of SAW Fluxes</ns0:t>
      </ns0:r>
    </ns0:p>
    <ns0:p>
      <ns0:pPr>
        <ns0:spacing ns0:after="120" ns0:line="360" ns0:lineRule="auto"/>
      </ns0:pPr>
      <ns0:r>
        <ns0:rPr>
          <ns0:rFonts ns0:ascii="Times New Roman" ns0:hAnsi="Times New Roman"/>
          <ns0:b/>
          <ns0:sz ns0:val="28"/>
          <ns0:szCs ns0:val="28"/>
        </ns0:rPr>
        <ns0:t xml:space="preserve">4.3.1 Measurement of Density of Fluxes</ns0:t>
      </ns0:r>
    </ns0:p>
    <ns0:p>
      <ns0:pPr>
        <ns0:spacing ns0:after="120" ns0:line="360" ns0:lineRule="auto"/>
      </ns0:pPr>
      <ns0:r>
        <ns0:rPr>
          <ns0:rFonts ns0:ascii="Times New Roman" ns0:hAnsi="Times New Roman"/>
          <ns0:sz ns0:val="24"/>
          <ns0:szCs ns0:val="24"/>
        </ns0:rPr>
        <ns0:t xml:space="preserve">Bulk density measurements were performed using the tapped-density methodology. The flux powders were placed into known cylindrical flasks (10 mL) with a standardized number of taps to ensure uniformity of particle distribution, then weighed using precise analytical balances.</ns0:t>
      </ns0:r>
    </ns0:p>
    <ns0:p>
      <ns0:pPr>
        <ns0:spacing ns0:after="120" ns0:line="360" ns0:lineRule="auto"/>
      </ns0:pPr>
      <ns0:r>
        <ns0:rPr>
          <ns0:rFonts ns0:ascii="Times New Roman" ns0:hAnsi="Times New Roman"/>
          <ns0:sz ns0:val="24"/>
          <ns0:szCs ns0:val="24"/>
        </ns0:rPr>
        <ns0:t xml:space="preserve">The density calculation followed:</ns0:t>
      </ns0:r>
    </ns0:p>
    <ns0:p>
      <ns0:pPr>
        <ns0:spacing ns0:after="120" ns0:line="360" ns0:lineRule="auto"/>
      </ns0:pPr>
      <ns0:r>
        <ns0:rPr>
          <ns0:rFonts ns0:ascii="Times New Roman" ns0:hAnsi="Times New Roman"/>
          <ns0:sz ns0:val="24"/>
          <ns0:szCs ns0:val="24"/>
          <ns0:b/>
        </ns0:rPr>
        <ns0:t xml:space="preserve">Equation 4.5:</ns0:t>
      </ns0:r>
    </ns0:p>
    <ns0:p>
      <ns0:pPr>
        <ns0:spacing ns0:after="120" ns0:line="360" ns0:lineRule="auto"/>
      </ns0:pPr>
      <ns0:r>
        <ns0:rPr>
          <ns0:rFonts ns0:ascii="Times New Roman" ns0:hAnsi="Times New Roman"/>
          <ns0:sz ns0:val="24"/>
          <ns0:szCs ns0:val="24"/>
        </ns0:rPr>
        <ns0:t xml:space="preserve">$$\rho = \frac{Mass}{Volume}$$</ns0:t>
      </ns0:r>
    </ns0:p>
    <ns0:p>
      <ns0:pPr>
        <ns0:spacing ns0:after="120" ns0:line="360" ns0:lineRule="auto"/>
      </ns0:pPr>
      <ns0:r>
        <ns0:rPr>
          <ns0:rFonts ns0:ascii="Times New Roman" ns0:hAnsi="Times New Roman"/>
          <ns0:sz ns0:val="24"/>
          <ns0:szCs ns0:val="24"/>
        </ns0:rPr>
        <ns0:t xml:space="preserve">This method determines the bulk properties and packing characteristics of the granular welding materials, which directly influence welding performance parameters such as flux flow and arc coverage.</ns0:t>
      </ns0:r>
    </ns0:p>
    <ns0:p>
      <ns0:pPr>
        <ns0:spacing ns0:after="120" ns0:line="360" ns0:lineRule="auto"/>
      </ns0:pPr>
      <ns0:r>
        <ns0:rPr>
          <ns0:rFonts ns0:ascii="Times New Roman" ns0:hAnsi="Times New Roman"/>
          <ns0:b/>
          <ns0:sz ns0:val="28"/>
          <ns0:szCs ns0:val="28"/>
        </ns0:rPr>
        <ns0:t xml:space="preserve">4.3.2 Thermal Properties Measurement (Thermal Conductivity, Thermal Diffusivity, and Specific Heat)</ns0:t>
      </ns0:r>
    </ns0:p>
    <ns0:p>
      <ns0:pPr>
        <ns0:spacing ns0:after="120" ns0:line="360" ns0:lineRule="auto"/>
      </ns0:pPr>
      <ns0:r>
        <ns0:rPr>
          <ns0:rFonts ns0:ascii="Times New Roman" ns0:hAnsi="Times New Roman"/>
          <ns0:sz ns0:val="24"/>
          <ns0:szCs ns0:val="24"/>
        </ns0:rPr>
        <ns0:t xml:space="preserve">Thermal conductivity, specific heat capacity, and thermal diffusivity measurements were made simultaneously using the Hot Disk Transient Plane Source (TPS-2500S) instrument, which follows the international standard method ISO 22007-2.</ns0:t>
      </ns0:r>
    </ns0:p>
    <ns0:p>
      <ns0:pPr>
        <ns0:spacing ns0:after="120" ns0:line="360" ns0:lineRule="auto"/>
      </ns0:pPr>
      <ns0:r>
        <ns0:rPr>
          <ns0:rFonts ns0:ascii="Times New Roman" ns0:hAnsi="Times New Roman"/>
          <ns0:sz ns0:val="24"/>
          <ns0:szCs ns0:val="24"/>
        </ns0:rPr>
        <ns0:t xml:space="preserve">The TPS technique utilizes a nickel sensor enclosed in two thin insulating coatings, acting both as a heat source and resistance thermometer. The symmetric testing setup, with sensors placed between identical flux samples, eliminates the effect of thermal contact resistance and provides true bulk property results.</ns0:t>
      </ns0:r>
    </ns0:p>
    <ns0:p>
      <ns0:pPr>
        <ns0:spacing ns0:after="120" ns0:line="360" ns0:lineRule="auto"/>
      </ns0:pPr>
      <ns0:r>
        <ns0:rPr>
          <ns0:rFonts ns0:ascii="Times New Roman" ns0:hAnsi="Times New Roman"/>
          <ns0:sz ns0:val="24"/>
          <ns0:szCs ns0:val="24"/>
        </ns0:rPr>
        <ns0:t xml:space="preserve">Measurement uncertainties are typically less than ±3% for thermal conductivity and ±5% for thermal diffusivity.</ns0:t>
      </ns0:r>
    </ns0:p>
    <ns0:p>
      <ns0:pPr>
        <ns0:spacing ns0:after="120" ns0:line="360" ns0:lineRule="auto"/>
      </ns0:pPr>
      <ns0:r>
        <ns0:rPr>
          <ns0:rFonts ns0:ascii="Times New Roman" ns0:hAnsi="Times New Roman"/>
          <ns0:sz ns0:val="24"/>
          <ns0:szCs ns0:val="24"/>
        </ns0:rPr>
        <ns0:t xml:space="preserve">The thermal diffusivity was calculated using the fundamental relationship:</ns0:t>
      </ns0:r>
    </ns0:p>
    <ns0:p>
      <ns0:pPr>
        <ns0:spacing ns0:after="120" ns0:line="360" ns0:lineRule="auto"/>
      </ns0:pPr>
      <ns0:r>
        <ns0:rPr>
          <ns0:rFonts ns0:ascii="Times New Roman" ns0:hAnsi="Times New Roman"/>
          <ns0:sz ns0:val="24"/>
          <ns0:szCs ns0:val="24"/>
          <ns0:b/>
        </ns0:rPr>
        <ns0:t xml:space="preserve">Equation 4.6:</ns0:t>
      </ns0:r>
    </ns0:p>
    <ns0:p>
      <ns0:pPr>
        <ns0:spacing ns0:after="120" ns0:line="360" ns0:lineRule="auto"/>
      </ns0:pPr>
      <ns0:r>
        <ns0:rPr>
          <ns0:rFonts ns0:ascii="Times New Roman" ns0:hAnsi="Times New Roman"/>
          <ns0:sz ns0:val="24"/>
          <ns0:szCs ns0:val="24"/>
        </ns0:rPr>
        <ns0:t xml:space="preserve">$$\alpha = \frac{k}{\rho \cdot C_p}$$</ns0:t>
      </ns0:r>
    </ns0:p>
    <ns0:p>
      <ns0:pPr>
        <ns0:spacing ns0:after="120" ns0:line="360" ns0:lineRule="auto"/>
      </ns0:pPr>
      <ns0:r>
        <ns0:rPr>
          <ns0:rFonts ns0:ascii="Times New Roman" ns0:hAnsi="Times New Roman"/>
          <ns0:sz ns0:val="24"/>
          <ns0:szCs ns0:val="24"/>
        </ns0:rPr>
        <ns0:t xml:space="preserve">where α is thermal diffusivity, k is thermal conductivity, ρ is density, and C_p is specific heat capacity.</ns0:t>
      </ns0:r>
    </ns0:p>
    <ns0:p>
      <ns0:pPr>
        <ns0:spacing ns0:after="120" ns0:line="360" ns0:lineRule="auto"/>
      </ns0:pPr>
      <ns0:r>
        <ns0:rPr>
          <ns0:rFonts ns0:ascii="Times New Roman" ns0:hAnsi="Times New Roman"/>
          <ns0:sz ns0:val="24"/>
          <ns0:szCs ns0:val="24"/>
        </ns0:rPr>
        <ns0:t xml:space="preserve">The effective thermal conductivity follows the rule-of-mixtures expression:</ns0:t>
      </ns0:r>
    </ns0:p>
    <ns0:p>
      <ns0:pPr>
        <ns0:spacing ns0:after="120" ns0:line="360" ns0:lineRule="auto"/>
      </ns0:pPr>
      <ns0:r>
        <ns0:rPr>
          <ns0:rFonts ns0:ascii="Times New Roman" ns0:hAnsi="Times New Roman"/>
          <ns0:sz ns0:val="24"/>
          <ns0:szCs ns0:val="24"/>
          <ns0:b/>
        </ns0:rPr>
        <ns0:t xml:space="preserve">Equation 4.7:</ns0:t>
      </ns0:r>
    </ns0:p>
    <ns0:p>
      <ns0:pPr>
        <ns0:spacing ns0:after="120" ns0:line="360" ns0:lineRule="auto"/>
      </ns0:pPr>
      <ns0:r>
        <ns0:rPr>
          <ns0:rFonts ns0:ascii="Times New Roman" ns0:hAnsi="Times New Roman"/>
          <ns0:sz ns0:val="24"/>
          <ns0:szCs ns0:val="24"/>
        </ns0:rPr>
        <ns0:t xml:space="preserve">$$k_{eff} = \sum \varphi_i \cdot k_i$$</ns0:t>
      </ns0:r>
    </ns0:p>
    <ns0:p>
      <ns0:pPr>
        <ns0:spacing ns0:after="120" ns0:line="360" ns0:lineRule="auto"/>
      </ns0:pPr>
      <ns0:r>
        <ns0:rPr>
          <ns0:rFonts ns0:ascii="Times New Roman" ns0:hAnsi="Times New Roman"/>
          <ns0:sz ns0:val="24"/>
          <ns0:szCs ns0:val="24"/>
        </ns0:rPr>
        <ns0:t xml:space="preserve">where k_eff represents effective thermal conductivity, φ_i denotes volume fraction, and k_i represents individual phase conductivity.</ns0:t>
      </ns0:r>
    </ns0:p>
    <ns0:p>
      <ns0:pPr>
        <ns0:spacing ns0:after="120" ns0:line="360" ns0:lineRule="auto"/>
      </ns0:pPr>
      <ns0:r>
        <ns0:rPr>
          <ns0:rFonts ns0:ascii="Times New Roman" ns0:hAnsi="Times New Roman"/>
          <ns0:b/>
          <ns0:sz ns0:val="28"/>
          <ns0:szCs ns0:val="28"/>
        </ns0:rPr>
        <ns0:t xml:space="preserve">4.3.3 Phase Analysis of Fluxes</ns0:t>
      </ns0:r>
    </ns0:p>
    <ns0:p>
      <ns0:pPr>
        <ns0:spacing ns0:after="120" ns0:line="360" ns0:lineRule="auto"/>
      </ns0:pPr>
      <ns0:r>
        <ns0:rPr>
          <ns0:rFonts ns0:ascii="Times New Roman" ns0:hAnsi="Times New Roman"/>
          <ns0:sz ns0:val="24"/>
          <ns0:szCs ns0:val="24"/>
        </ns0:rPr>
        <ns0:t xml:space="preserve">X-ray diffraction (XRD) analysis was performed on representative flux mixtures to identify crystalline phase assemblages and determine their relative proportions. The XRD patterns were recorded over the 2θ range of 15° to 65° using Cu-Kα radiation. Crystalline phases including fluorite (CaF₂), rutile (TiO₂), MnO, SiO₂, BaO, and CaO were identified by matching diffraction peaks with standard reference patterns.</ns0:t>
      </ns0:r>
    </ns0:p>
    <ns0:p>
      <ns0:pPr>
        <ns0:spacing ns0:after="120" ns0:line="360" ns0:lineRule="auto"/>
      </ns0:pPr>
      <ns0:r>
        <ns0:rPr>
          <ns0:rFonts ns0:ascii="Times New Roman" ns0:hAnsi="Times New Roman"/>
          <ns0:sz ns0:val="24"/>
          <ns0:szCs ns0:val="24"/>
        </ns0:rPr>
        <ns0:t xml:space="preserve">The crystallite size and degree of crystallinity were qualitatively assessed from the sharpness and intensity of diffraction peaks, with full width at half maximum (FWHM) values used as indicators of crystallite size.</ns0:t>
      </ns0:r>
    </ns0:p>
    <ns0:p>
      <ns0:pPr>
        <ns0:spacing ns0:after="120" ns0:line="360" ns0:lineRule="auto"/>
      </ns0:pPr>
      <ns0:r>
        <ns0:rPr>
          <ns0:rFonts ns0:ascii="Times New Roman" ns0:hAnsi="Times New Roman"/>
          <ns0:b/>
          <ns0:sz ns0:val="28"/>
          <ns0:szCs ns0:val="28"/>
        </ns0:rPr>
        <ns0:t xml:space="preserve">4.3.4 Structural Analysis of Fluxes</ns0:t>
      </ns0:r>
    </ns0:p>
    <ns0:p>
      <ns0:pPr>
        <ns0:spacing ns0:after="120" ns0:line="360" ns0:lineRule="auto"/>
      </ns0:pPr>
      <ns0:r>
        <ns0:rPr>
          <ns0:rFonts ns0:ascii="Times New Roman" ns0:hAnsi="Times New Roman"/>
          <ns0:sz ns0:val="24"/>
          <ns0:szCs ns0:val="24"/>
        </ns0:rPr>
        <ns0:t xml:space="preserve">Fourier Transform Infrared (FTIR) spectroscopy was employed to study the molecular-level structural features of the flux samples. FTIR spectra were recorded in the wavenumber range of 4000–400 cm⁻¹ using the KBr pellet technique.</ns0:t>
      </ns0:r>
    </ns0:p>
    <ns0:p>
      <ns0:pPr>
        <ns0:spacing ns0:after="120" ns0:line="360" ns0:lineRule="auto"/>
      </ns0:pPr>
      <ns0:r>
        <ns0:rPr>
          <ns0:rFonts ns0:ascii="Times New Roman" ns0:hAnsi="Times New Roman"/>
          <ns0:sz ns0:val="24"/>
          <ns0:szCs ns0:val="24"/>
        </ns0:rPr>
        <ns0:t xml:space="preserve">The FTIR analysis focused on:</ns0:t>
      </ns0:r>
    </ns0:p>
    <ns0:p>
      <ns0:pPr>
        <ns0:spacing ns0:after="120" ns0:line="360" ns0:lineRule="auto"/>
      </ns0:pPr>
      <ns0:r>
        <ns0:rPr>
          <ns0:rFonts ns0:ascii="Times New Roman" ns0:hAnsi="Times New Roman"/>
          <ns0:sz ns0:val="24"/>
          <ns0:szCs ns0:val="24"/>
        </ns0:rPr>
        <ns0:t xml:space="preserve">• Si–O–Si asymmetric stretching vibrations (1070–1120 cm⁻¹)</ns0:t>
      </ns0:r>
    </ns0:p>
    <ns0:p>
      <ns0:pPr>
        <ns0:spacing ns0:after="120" ns0:line="360" ns0:lineRule="auto"/>
      </ns0:pPr>
      <ns0:r>
        <ns0:rPr>
          <ns0:rFonts ns0:ascii="Times New Roman" ns0:hAnsi="Times New Roman"/>
          <ns0:sz ns0:val="24"/>
          <ns0:szCs ns0:val="24"/>
        </ns0:rPr>
        <ns0:t xml:space="preserve">• Non-bridging oxygen (Si–O) stretching vibrations (~950 cm⁻¹)</ns0:t>
      </ns0:r>
    </ns0:p>
    <ns0:p>
      <ns0:pPr>
        <ns0:spacing ns0:after="120" ns0:line="360" ns0:lineRule="auto"/>
      </ns0:pPr>
      <ns0:r>
        <ns0:rPr>
          <ns0:rFonts ns0:ascii="Times New Roman" ns0:hAnsi="Times New Roman"/>
          <ns0:sz ns0:val="24"/>
          <ns0:szCs ns0:val="24"/>
        </ns0:rPr>
        <ns0:t xml:space="preserve">• O–H stretching bands (~3400 cm⁻¹)</ns0:t>
      </ns0:r>
    </ns0:p>
    <ns0:p>
      <ns0:pPr>
        <ns0:spacing ns0:after="120" ns0:line="360" ns0:lineRule="auto"/>
      </ns0:pPr>
      <ns0:r>
        <ns0:rPr>
          <ns0:rFonts ns0:ascii="Times New Roman" ns0:hAnsi="Times New Roman"/>
          <ns0:sz ns0:val="24"/>
          <ns0:szCs ns0:val="24"/>
        </ns0:rPr>
        <ns0:t xml:space="preserve">• Ti–O lattice vibration bands (400–800 cm⁻¹)</ns0:t>
      </ns0:r>
    </ns0:p>
    <ns0:p>
      <ns0:pPr>
        <ns0:spacing ns0:after="120" ns0:line="360" ns0:lineRule="auto"/>
      </ns0:pPr>
      <ns0:r>
        <ns0:rPr>
          <ns0:rFonts ns0:ascii="Times New Roman" ns0:hAnsi="Times New Roman"/>
          <ns0:sz ns0:val="24"/>
          <ns0:szCs ns0:val="24"/>
        </ns0:rPr>
        <ns0:t xml:space="preserve">• Si–O–Si bending modes (400–600 cm⁻¹)</ns0:t>
      </ns0:r>
    </ns0:p>
    <ns0:p>
      <ns0:pPr>
        <ns0:spacing ns0:after="120" ns0:line="360" ns0:lineRule="auto"/>
      </ns0:pPr>
      <ns0:r>
        <ns0:rPr>
          <ns0:rFonts ns0:ascii="Times New Roman" ns0:hAnsi="Times New Roman"/>
          <ns0:sz ns0:val="24"/>
          <ns0:szCs ns0:val="24"/>
        </ns0:rPr>
        <ns0:t xml:space="preserve">The intensity ratio I₉₅₀/I₁₁₀₀ was used as a semi-quantitative measure to assess network depolymerization caused by modifier oxides (BaO, MnO, CaO).</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32"/>
          <ns0:szCs ns0:val="32"/>
        </ns0:rPr>
        <ns0:t xml:space="preserve">4.4 Multi-Pass Bead-on-Plate Experimentation Using SAW Fluxes</ns0:t>
      </ns0:r>
    </ns0:p>
    <ns0:p>
      <ns0:pPr>
        <ns0:spacing ns0:after="120" ns0:line="360" ns0:lineRule="auto"/>
      </ns0:pPr>
      <ns0:r>
        <ns0:rPr>
          <ns0:rFonts ns0:ascii="Times New Roman" ns0:hAnsi="Times New Roman"/>
          <ns0:b/>
          <ns0:sz ns0:val="28"/>
          <ns0:szCs ns0:val="28"/>
        </ns0:rPr>
        <ns0:t xml:space="preserve">4.4.1 Multi-Pass Bead-on-Plate Experimentation Using Laboratory Prepared SAW Fluxes</ns0:t>
      </ns0:r>
    </ns0:p>
    <ns0:p>
      <ns0:pPr>
        <ns0:spacing ns0:after="120" ns0:line="360" ns0:lineRule="auto"/>
      </ns0:pPr>
      <ns0:r>
        <ns0:rPr>
          <ns0:rFonts ns0:ascii="Times New Roman" ns0:hAnsi="Times New Roman"/>
          <ns0:sz ns0:val="24"/>
          <ns0:szCs ns0:val="24"/>
        </ns0:rPr>
        <ns0:t xml:space="preserve">Using the twenty-five laboratory-prepared basic fluxes, multi-pass SAW weld beads were deposited in flat position configuration on API X70 pipeline steel plates of 16 mm thickness. No edge preparation was performed for the bead-on-plate experiments.</ns0:t>
      </ns0:r>
    </ns0:p>
    <ns0:p>
      <ns0:pPr>
        <ns0:spacing ns0:after="120" ns0:line="360" ns0:lineRule="auto"/>
      </ns0:pPr>
      <ns0:r>
        <ns0:rPr>
          <ns0:rFonts ns0:ascii="Times New Roman" ns0:hAnsi="Times New Roman"/>
          <ns0:sz ns0:val="24"/>
          <ns0:szCs ns0:val="24"/>
        </ns0:rPr>
        <ns0:t xml:space="preserve">Five passes were deposited over each bead for each flux composition. The first pass served as the root/bead-on-plate, and subsequent four passes were deposited under controlled cooling conditions with interpass temperature maintained at 120–150°C.</ns0:t>
      </ns0:r>
    </ns0:p>
    <ns0:p>
      <ns0:pPr>
        <ns0:spacing ns0:after="120" ns0:line="360" ns0:lineRule="auto"/>
      </ns0:pPr>
      <ns0:r>
        <ns0:rPr>
          <ns0:rFonts ns0:ascii="Times New Roman" ns0:hAnsi="Times New Roman"/>
          <ns0:sz ns0:val="24"/>
          <ns0:szCs ns0:val="24"/>
        </ns0:rPr>
        <ns0:t xml:space="preserve">Fig. 4.2: Photograph of twenty-five multi-pass SAW beads deposited on API X70 steel plate.</ns0:t>
      </ns0:r>
    </ns0:p>
    <ns0:p>
      <ns0:pPr>
        <ns0:spacing ns0:after="120" ns0:line="360" ns0:lineRule="auto"/>
      </ns0:pPr>
      <ns0:r>
        <ns0:rPr>
          <ns0:rFonts ns0:ascii="Times New Roman" ns0:hAnsi="Times New Roman"/>
          <ns0:b/>
          <ns0:sz ns0:val="28"/>
          <ns0:szCs ns0:val="28"/>
        </ns0:rPr>
        <ns0:t xml:space="preserve">4.4.2 Chemical Analysis of Laboratory Prepared SAW Fluxes</ns0:t>
      </ns0:r>
    </ns0:p>
    <ns0:p>
      <ns0:pPr>
        <ns0:spacing ns0:after="120" ns0:line="360" ns0:lineRule="auto"/>
      </ns0:pPr>
      <ns0:r>
        <ns0:rPr>
          <ns0:rFonts ns0:ascii="Times New Roman" ns0:hAnsi="Times New Roman"/>
          <ns0:sz ns0:val="24"/>
          <ns0:szCs ns0:val="24"/>
        </ns0:rPr>
        <ns0:t xml:space="preserve">To analyze the chemical composition of each multipass weld bead, Atomic Absorption Spectroscopy (AAS) was employed. A transverse section (approximately 10 mm thick) was cut from the central area of each bead-on-plate weld using an abrasive cut-off wheel, avoiding dilution from the base metal or heat-affected zone.</ns0:t>
      </ns0:r>
    </ns0:p>
    <ns0:p>
      <ns0:pPr>
        <ns0:spacing ns0:after="120" ns0:line="360" ns0:lineRule="auto"/>
      </ns0:pPr>
      <ns0:r>
        <ns0:rPr>
          <ns0:rFonts ns0:ascii="Times New Roman" ns0:hAnsi="Times New Roman"/>
          <ns0:sz ns0:val="24"/>
          <ns0:szCs ns0:val="24"/>
        </ns0:rPr>
        <ns0:t xml:space="preserve">The extracted weld metal was ground (SiC abrasive papers: 220, 400, 600, 800, and 1200 grit) to remove surface contaminants and oxide scale, then ultrasonically cleaned in acetone for 10 minutes before analysis.</ns0:t>
      </ns0:r>
    </ns0:p>
    <ns0:p>
      <ns0:pPr>
        <ns0:spacing ns0:after="120" ns0:line="360" ns0:lineRule="auto"/>
      </ns0:pPr>
      <ns0:r>
        <ns0:rPr>
          <ns0:rFonts ns0:ascii="Times New Roman" ns0:hAnsi="Times New Roman"/>
          <ns0:sz ns0:val="24"/>
          <ns0:szCs ns0:val="24"/>
        </ns0:rPr>
        <ns0:t xml:space="preserve">Table 4.3: Chemical composition of base metal and filler wire</ns0:t>
      </ns0:r>
    </ns0:p>
    <ns0:p>
      <ns0:pPr>
        <ns0:spacing ns0:after="120" ns0:line="360" ns0:lineRule="auto"/>
      </ns0:pPr>
      <ns0:r>
        <ns0:rPr>
          <ns0:rFonts ns0:ascii="Times New Roman" ns0:hAnsi="Times New Roman"/>
          <ns0:sz ns0:val="24"/>
          <ns0:szCs ns0:val="24"/>
        </ns0:rPr>
        <ns0:t xml:space="preserve">Material    C    Si    Mn    P    S    Mo    Ni    Cr    Fe</ns0:t>
      </ns0:r>
    </ns0:p>
    <ns0:p>
      <ns0:pPr>
        <ns0:spacing ns0:after="120" ns0:line="360" ns0:lineRule="auto"/>
      </ns0:pPr>
      <ns0:r>
        <ns0:rPr>
          <ns0:rFonts ns0:ascii="Times New Roman" ns0:hAnsi="Times New Roman"/>
          <ns0:sz ns0:val="24"/>
          <ns0:szCs ns0:val="24"/>
        </ns0:rPr>
        <ns0:t xml:space="preserve">BM (X70)    0.058    0.331    1.590    0.006    0.002    0.003    0.219    0.007    98.1</ns0:t>
      </ns0:r>
    </ns0:p>
    <ns0:p>
      <ns0:pPr>
        <ns0:spacing ns0:after="120" ns0:line="360" ns0:lineRule="auto"/>
      </ns0:pPr>
      <ns0:r>
        <ns0:rPr>
          <ns0:rFonts ns0:ascii="Times New Roman" ns0:hAnsi="Times New Roman"/>
          <ns0:sz ns0:val="24"/>
          <ns0:szCs ns0:val="24"/>
        </ns0:rPr>
        <ns0:t xml:space="preserve">FW (EA2TiB)    0.03    0.078    0.781    0.020    0.005    0.317    0.090    0.042    98.8</ns0:t>
      </ns0:r>
    </ns0:p>
    <ns0:p>
      <ns0:pPr>
        <ns0:spacing ns0:after="120" ns0:line="360" ns0:lineRule="auto"/>
      </ns0:pPr>
      <ns0:r>
        <ns0:rPr>
          <ns0:rFonts ns0:ascii="Times New Roman" ns0:hAnsi="Times New Roman"/>
          <ns0:b/>
          <ns0:sz ns0:val="28"/>
          <ns0:szCs ns0:val="28"/>
        </ns0:rPr>
        <ns0:t xml:space="preserve">4.4.3 Microhardness Measurement of Beads</ns0:t>
      </ns0:r>
    </ns0:p>
    <ns0:p>
      <ns0:pPr>
        <ns0:spacing ns0:after="120" ns0:line="360" ns0:lineRule="auto"/>
      </ns0:pPr>
      <ns0:r>
        <ns0:rPr>
          <ns0:rFonts ns0:ascii="Times New Roman" ns0:hAnsi="Times New Roman"/>
          <ns0:sz ns0:val="24"/>
          <ns0:szCs ns0:val="24"/>
        </ns0:rPr>
        <ns0:t xml:space="preserve">Microhardness of all twenty-five weld beads was measured using a Vickers microhardness tester under the following conditions:</ns0:t>
      </ns0:r>
    </ns0:p>
    <ns0:p>
      <ns0:pPr>
        <ns0:spacing ns0:after="120" ns0:line="360" ns0:lineRule="auto"/>
      </ns0:pPr>
      <ns0:r>
        <ns0:rPr>
          <ns0:rFonts ns0:ascii="Times New Roman" ns0:hAnsi="Times New Roman"/>
          <ns0:sz ns0:val="24"/>
          <ns0:szCs ns0:val="24"/>
        </ns0:rPr>
        <ns0:t xml:space="preserve">• Load: 50 kgf</ns0:t>
      </ns0:r>
    </ns0:p>
    <ns0:p>
      <ns0:pPr>
        <ns0:spacing ns0:after="120" ns0:line="360" ns0:lineRule="auto"/>
      </ns0:pPr>
      <ns0:r>
        <ns0:rPr>
          <ns0:rFonts ns0:ascii="Times New Roman" ns0:hAnsi="Times New Roman"/>
          <ns0:sz ns0:val="24"/>
          <ns0:szCs ns0:val="24"/>
        </ns0:rPr>
        <ns0:t xml:space="preserve">• Dwell time: 10 seconds</ns0:t>
      </ns0:r>
    </ns0:p>
    <ns0:p>
      <ns0:pPr>
        <ns0:spacing ns0:after="120" ns0:line="360" ns0:lineRule="auto"/>
      </ns0:pPr>
      <ns0:r>
        <ns0:rPr>
          <ns0:rFonts ns0:ascii="Times New Roman" ns0:hAnsi="Times New Roman"/>
          <ns0:sz ns0:val="24"/>
          <ns0:szCs ns0:val="24"/>
        </ns0:rPr>
        <ns0:t xml:space="preserve">The carbon equivalent (CE) was calculated using the IIW formula to assess hardenability and weldability of the weld metal.</ns0:t>
      </ns0:r>
    </ns0:p>
    <ns0:p>
      <ns0:pPr>
        <ns0:spacing ns0:after="120" ns0:line="360" ns0:lineRule="auto"/>
      </ns0:pPr>
      <ns0:r>
        <ns0:rPr>
          <ns0:rFonts ns0:ascii="Times New Roman" ns0:hAnsi="Times New Roman"/>
          <ns0:b/>
          <ns0:sz ns0:val="28"/>
          <ns0:szCs ns0:val="28"/>
        </ns0:rPr>
        <ns0:t xml:space="preserve">4.4.4 Selection of Adequate Fluxes by Qualitatively Analysing Multi-Pass Beads</ns0:t>
      </ns0:r>
    </ns0:p>
    <ns0:p>
      <ns0:pPr>
        <ns0:spacing ns0:after="120" ns0:line="360" ns0:lineRule="auto"/>
      </ns0:pPr>
      <ns0:r>
        <ns0:rPr>
          <ns0:rFonts ns0:ascii="Times New Roman" ns0:hAnsi="Times New Roman"/>
          <ns0:sz ns0:val="24"/>
          <ns0:szCs ns0:val="24"/>
        </ns0:rPr>
        <ns0:t xml:space="preserve">Following multi-pass bead-on-plate experimentation, all twenty-five beads were visually examined to assess:</ns0:t>
      </ns0:r>
    </ns0:p>
    <ns0:p>
      <ns0:pPr>
        <ns0:spacing ns0:after="120" ns0:line="360" ns0:lineRule="auto"/>
      </ns0:pPr>
      <ns0:r>
        <ns0:rPr>
          <ns0:rFonts ns0:ascii="Times New Roman" ns0:hAnsi="Times New Roman"/>
          <ns0:sz ns0:val="24"/>
          <ns0:szCs ns0:val="24"/>
        </ns0:rPr>
        <ns0:t xml:space="preserve">• Bead morphology (uniformity, smoothness)</ns0:t>
      </ns0:r>
    </ns0:p>
    <ns0:p>
      <ns0:pPr>
        <ns0:spacing ns0:after="120" ns0:line="360" ns0:lineRule="auto"/>
      </ns0:pPr>
      <ns0:r>
        <ns0:rPr>
          <ns0:rFonts ns0:ascii="Times New Roman" ns0:hAnsi="Times New Roman"/>
          <ns0:sz ns0:val="24"/>
          <ns0:szCs ns0:val="24"/>
        </ns0:rPr>
        <ns0:t xml:space="preserve">• Porosity level (low, medium, high)</ns0:t>
      </ns0:r>
    </ns0:p>
    <ns0:p>
      <ns0:pPr>
        <ns0:spacing ns0:after="120" ns0:line="360" ns0:lineRule="auto"/>
      </ns0:pPr>
      <ns0:r>
        <ns0:rPr>
          <ns0:rFonts ns0:ascii="Times New Roman" ns0:hAnsi="Times New Roman"/>
          <ns0:sz ns0:val="24"/>
          <ns0:szCs ns0:val="24"/>
        </ns0:rPr>
        <ns0:t xml:space="preserve">• Slag detachability (easy, medium, difficult)</ns0:t>
      </ns0:r>
    </ns0:p>
    <ns0:p>
      <ns0:pPr>
        <ns0:spacing ns0:after="120" ns0:line="360" ns0:lineRule="auto"/>
      </ns0:pPr>
      <ns0:r>
        <ns0:rPr>
          <ns0:rFonts ns0:ascii="Times New Roman" ns0:hAnsi="Times New Roman"/>
          <ns0:sz ns0:val="24"/>
          <ns0:szCs ns0:val="24"/>
        </ns0:rPr>
        <ns0:t xml:space="preserve">Based on this preliminary screening, three fluxes from the basic flux system—F6B, F20B, and F22B—were selected for further investigation based on their exhibiting good bead morphology, minimum porosity, and satisfactory slag detachability characteristics.</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32"/>
          <ns0:szCs ns0:val="32"/>
        </ns0:rPr>
        <ns0:t xml:space="preserve">4.5 Materials and Experimental Setup</ns0:t>
      </ns0:r>
    </ns0:p>
    <ns0:p>
      <ns0:pPr>
        <ns0:spacing ns0:after="120" ns0:line="360" ns0:lineRule="auto"/>
      </ns0:pPr>
      <ns0:r>
        <ns0:rPr>
          <ns0:rFonts ns0:ascii="Times New Roman" ns0:hAnsi="Times New Roman"/>
          <ns0:b/>
          <ns0:sz ns0:val="28"/>
          <ns0:szCs ns0:val="28"/>
        </ns0:rPr>
        <ns0:t xml:space="preserve">4.5.1 Submerged Arc Welding Using Adequate Fluxes for Various Characterizations</ns0:t>
      </ns0:r>
    </ns0:p>
    <ns0:p>
      <ns0:pPr>
        <ns0:spacing ns0:after="120" ns0:line="360" ns0:lineRule="auto"/>
      </ns0:pPr>
      <ns0:r>
        <ns0:rPr>
          <ns0:rFonts ns0:ascii="Times New Roman" ns0:hAnsi="Times New Roman"/>
          <ns0:b/>
          <ns0:sz ns0:val="26"/>
          <ns0:szCs ns0:val="26"/>
        </ns0:rPr>
        <ns0:t xml:space="preserve">4.5.1.1 Formation of Weld Coupon</ns0:t>
      </ns0:r>
    </ns0:p>
    <ns0:p>
      <ns0:pPr>
        <ns0:spacing ns0:after="120" ns0:line="360" ns0:lineRule="auto"/>
      </ns0:pPr>
      <ns0:r>
        <ns0:rPr>
          <ns0:rFonts ns0:ascii="Times New Roman" ns0:hAnsi="Times New Roman"/>
          <ns0:sz ns0:val="24"/>
          <ns0:szCs ns0:val="24"/>
        </ns0:rPr>
        <ns0:t xml:space="preserve">API X70 steel base plates of dimension 140 mm × 140 mm × 22 mm were prepared for butt welding. A single-V groove joint configuration was adopted with:</ns0:t>
      </ns0:r>
    </ns0:p>
    <ns0:p>
      <ns0:pPr>
        <ns0:spacing ns0:after="120" ns0:line="360" ns0:lineRule="auto"/>
      </ns0:pPr>
      <ns0:r>
        <ns0:rPr>
          <ns0:rFonts ns0:ascii="Times New Roman" ns0:hAnsi="Times New Roman"/>
          <ns0:sz ns0:val="24"/>
          <ns0:szCs ns0:val="24"/>
        </ns0:rPr>
        <ns0:t xml:space="preserve">• Groove angle: 60°</ns0:t>
      </ns0:r>
    </ns0:p>
    <ns0:p>
      <ns0:pPr>
        <ns0:spacing ns0:after="120" ns0:line="360" ns0:lineRule="auto"/>
      </ns0:pPr>
      <ns0:r>
        <ns0:rPr>
          <ns0:rFonts ns0:ascii="Times New Roman" ns0:hAnsi="Times New Roman"/>
          <ns0:sz ns0:val="24"/>
          <ns0:szCs ns0:val="24"/>
        </ns0:rPr>
        <ns0:t xml:space="preserve">• Root gap: 2 mm</ns0:t>
      </ns0:r>
    </ns0:p>
    <ns0:p>
      <ns0:pPr>
        <ns0:spacing ns0:after="120" ns0:line="360" ns0:lineRule="auto"/>
      </ns0:pPr>
      <ns0:r>
        <ns0:rPr>
          <ns0:rFonts ns0:ascii="Times New Roman" ns0:hAnsi="Times New Roman"/>
          <ns0:sz ns0:val="24"/>
          <ns0:szCs ns0:val="24"/>
        </ns0:rPr>
        <ns0:t xml:space="preserve">• Root face: 2 mm</ns0:t>
      </ns0:r>
    </ns0:p>
    <ns0:p>
      <ns0:pPr>
        <ns0:spacing ns0:after="120" ns0:line="360" ns0:lineRule="auto"/>
      </ns0:pPr>
      <ns0:r>
        <ns0:rPr>
          <ns0:rFonts ns0:ascii="Times New Roman" ns0:hAnsi="Times New Roman"/>
          <ns0:sz ns0:val="24"/>
          <ns0:szCs ns0:val="24"/>
        </ns0:rPr>
        <ns0:t xml:space="preserve">Fig. 4.3: Schematic representation of butt weld joint configuration showing V-groove geometry with 60° included angle, 2 mm root gap, and 22 mm plate thickness.</ns0:t>
      </ns0:r>
    </ns0:p>
    <ns0:p>
      <ns0:pPr>
        <ns0:spacing ns0:after="120" ns0:line="360" ns0:lineRule="auto"/>
      </ns0:pPr>
      <ns0:r>
        <ns0:rPr>
          <ns0:rFonts ns0:ascii="Times New Roman" ns0:hAnsi="Times New Roman"/>
          <ns0:b/>
          <ns0:sz ns0:val="26"/>
          <ns0:szCs ns0:val="26"/>
        </ns0:rPr>
        <ns0:t xml:space="preserve">4.5.1.2 Submerged Arc Welding of Plates</ns0:t>
      </ns0:r>
    </ns0:p>
    <ns0:p>
      <ns0:pPr>
        <ns0:spacing ns0:after="120" ns0:line="360" ns0:lineRule="auto"/>
      </ns0:pPr>
      <ns0:r>
        <ns0:rPr>
          <ns0:rFonts ns0:ascii="Times New Roman" ns0:hAnsi="Times New Roman"/>
          <ns0:sz ns0:val="24"/>
          <ns0:szCs ns0:val="24"/>
        </ns0:rPr>
        <ns0:t xml:space="preserve">All experimental welding was conducted with Direct Current Electrode Positive (DCEP) polarity using a single-wire submerged arc welding machine. The final welding parameters, established through pre-trial tests, were:</ns0:t>
      </ns0:r>
    </ns0:p>
    <ns0:p>
      <ns0:pPr>
        <ns0:spacing ns0:after="120" ns0:line="360" ns0:lineRule="auto"/>
      </ns0:pPr>
      <ns0:r>
        <ns0:rPr>
          <ns0:rFonts ns0:ascii="Times New Roman" ns0:hAnsi="Times New Roman"/>
          <ns0:sz ns0:val="24"/>
          <ns0:szCs ns0:val="24"/>
        </ns0:rPr>
        <ns0:t xml:space="preserve">• Welding current: 440 A</ns0:t>
      </ns0:r>
    </ns0:p>
    <ns0:p>
      <ns0:pPr>
        <ns0:spacing ns0:after="120" ns0:line="360" ns0:lineRule="auto"/>
      </ns0:pPr>
      <ns0:r>
        <ns0:rPr>
          <ns0:rFonts ns0:ascii="Times New Roman" ns0:hAnsi="Times New Roman"/>
          <ns0:sz ns0:val="24"/>
          <ns0:szCs ns0:val="24"/>
        </ns0:rPr>
        <ns0:t xml:space="preserve">• Arc voltage: 28 V</ns0:t>
      </ns0:r>
    </ns0:p>
    <ns0:p>
      <ns0:pPr>
        <ns0:spacing ns0:after="120" ns0:line="360" ns0:lineRule="auto"/>
      </ns0:pPr>
      <ns0:r>
        <ns0:rPr>
          <ns0:rFonts ns0:ascii="Times New Roman" ns0:hAnsi="Times New Roman"/>
          <ns0:sz ns0:val="24"/>
          <ns0:szCs ns0:val="24"/>
        </ns0:rPr>
        <ns0:t xml:space="preserve">• Welding speed: 13 inches/min</ns0:t>
      </ns0:r>
    </ns0:p>
    <ns0:p>
      <ns0:pPr>
        <ns0:spacing ns0:after="120" ns0:line="360" ns0:lineRule="auto"/>
      </ns0:pPr>
      <ns0:r>
        <ns0:rPr>
          <ns0:rFonts ns0:ascii="Times New Roman" ns0:hAnsi="Times New Roman"/>
          <ns0:sz ns0:val="24"/>
          <ns0:szCs ns0:val="24"/>
        </ns0:rPr>
        <ns0:t xml:space="preserve">• Contact tip-to-work distance: 20 mm</ns0:t>
      </ns0:r>
    </ns0:p>
    <ns0:p>
      <ns0:pPr>
        <ns0:spacing ns0:after="120" ns0:line="360" ns0:lineRule="auto"/>
      </ns0:pPr>
      <ns0:r>
        <ns0:rPr>
          <ns0:rFonts ns0:ascii="Times New Roman" ns0:hAnsi="Times New Roman"/>
          <ns0:sz ns0:val="24"/>
          <ns0:szCs ns0:val="24"/>
        </ns0:rPr>
        <ns0:t xml:space="preserve">Four weld joints were fabricated:</ns0:t>
      </ns0:r>
    </ns0:p>
    <ns0:p>
      <ns0:pPr>
        <ns0:spacing ns0:after="120" ns0:line="360" ns0:lineRule="auto"/>
      </ns0:pPr>
      <ns0:r>
        <ns0:rPr>
          <ns0:rFonts ns0:ascii="Times New Roman" ns0:hAnsi="Times New Roman"/>
          <ns0:sz ns0:val="24"/>
          <ns0:szCs ns0:val="24"/>
        </ns0:rPr>
        <ns0:t xml:space="preserve">• Three joints using selected laboratory-prepared fluxes (F6B, F20B, F22B)</ns0:t>
      </ns0:r>
    </ns0:p>
    <ns0:p>
      <ns0:pPr>
        <ns0:spacing ns0:after="120" ns0:line="360" ns0:lineRule="auto"/>
      </ns0:pPr>
      <ns0:r>
        <ns0:rPr>
          <ns0:rFonts ns0:ascii="Times New Roman" ns0:hAnsi="Times New Roman"/>
          <ns0:sz ns0:val="24"/>
          <ns0:szCs ns0:val="24"/>
        </ns0:rPr>
        <ns0:t xml:space="preserve">• One reference joint using a commercial flux (C.F.)</ns0:t>
      </ns0:r>
    </ns0:p>
    <ns0:p>
      <ns0:pPr>
        <ns0:spacing ns0:after="120" ns0:line="360" ns0:lineRule="auto"/>
      </ns0:pPr>
      <ns0:r>
        <ns0:rPr>
          <ns0:rFonts ns0:ascii="Times New Roman" ns0:hAnsi="Times New Roman"/>
          <ns0:b/>
          <ns0:sz ns0:val="26"/>
          <ns0:szCs ns0:val="26"/>
        </ns0:rPr>
        <ns0:t xml:space="preserve">4.5.1.3 Weld Specimen Cutting</ns0:t>
      </ns0:r>
    </ns0:p>
    <ns0:p>
      <ns0:pPr>
        <ns0:spacing ns0:after="120" ns0:line="360" ns0:lineRule="auto"/>
      </ns0:pPr>
      <ns0:r>
        <ns0:rPr>
          <ns0:rFonts ns0:ascii="Times New Roman" ns0:hAnsi="Times New Roman"/>
          <ns0:sz ns0:val="24"/>
          <ns0:szCs ns0:val="24"/>
        </ns0:rPr>
        <ns0:t xml:space="preserve">Following weld fabrication, specimens were extracted from each weld joint for comprehensive mechanical and microstructural characterization using wire-cut EDM and abrasive cutting techniques as per relevant ASTM standards.</ns0:t>
      </ns0:r>
    </ns0:p>
    <ns0:p>
      <ns0:pPr>
        <ns0:spacing ns0:after="120" ns0:line="360" ns0:lineRule="auto"/>
      </ns0:pPr>
      <ns0:r>
        <ns0:rPr>
          <ns0:rFonts ns0:ascii="Times New Roman" ns0:hAnsi="Times New Roman"/>
          <ns0:b/>
          <ns0:sz ns0:val="26"/>
          <ns0:szCs ns0:val="26"/>
        </ns0:rPr>
        <ns0:t xml:space="preserve">4.5.2 Weld Specimen Mechanical Characterization</ns0:t>
      </ns0:r>
    </ns0:p>
    <ns0:p>
      <ns0:pPr>
        <ns0:spacing ns0:after="120" ns0:line="360" ns0:lineRule="auto"/>
      </ns0:pPr>
      <ns0:r>
        <ns0:rPr>
          <ns0:rFonts ns0:ascii="Times New Roman" ns0:hAnsi="Times New Roman"/>
          <ns0:b/>
          <ns0:sz ns0:val="24"/>
          <ns0:szCs ns0:val="24"/>
        </ns0:rPr>
        <ns0:t xml:space="preserve">4.5.2.1 Weld Specimen Tensile Testing</ns0:t>
      </ns0:r>
    </ns0:p>
    <ns0:p>
      <ns0:pPr>
        <ns0:spacing ns0:after="120" ns0:line="360" ns0:lineRule="auto"/>
      </ns0:pPr>
      <ns0:r>
        <ns0:rPr>
          <ns0:rFonts ns0:ascii="Times New Roman" ns0:hAnsi="Times New Roman"/>
          <ns0:sz ns0:val="24"/>
          <ns0:szCs ns0:val="24"/>
        </ns0:rPr>
        <ns0:t xml:space="preserve">Transverse tensile specimens were prepared and tested in accordance with ASTM E8 standard to determine ultimate tensile strength, yield strength, and elongation of the weld joints.</ns0:t>
      </ns0:r>
    </ns0:p>
    <ns0:p>
      <ns0:pPr>
        <ns0:spacing ns0:after="120" ns0:line="360" ns0:lineRule="auto"/>
      </ns0:pPr>
      <ns0:r>
        <ns0:rPr>
          <ns0:rFonts ns0:ascii="Times New Roman" ns0:hAnsi="Times New Roman"/>
          <ns0:b/>
          <ns0:sz ns0:val="24"/>
          <ns0:szCs ns0:val="24"/>
        </ns0:rPr>
        <ns0:t xml:space="preserve">4.5.2.2 Weld Specimen Impact Testing</ns0:t>
      </ns0:r>
    </ns0:p>
    <ns0:p>
      <ns0:pPr>
        <ns0:spacing ns0:after="120" ns0:line="360" ns0:lineRule="auto"/>
      </ns0:pPr>
      <ns0:r>
        <ns0:rPr>
          <ns0:rFonts ns0:ascii="Times New Roman" ns0:hAnsi="Times New Roman"/>
          <ns0:sz ns0:val="24"/>
          <ns0:szCs ns0:val="24"/>
        </ns0:rPr>
        <ns0:t xml:space="preserve">Charpy V-notch impact testing was performed at two temperatures:</ns0:t>
      </ns0:r>
    </ns0:p>
    <ns0:p>
      <ns0:pPr>
        <ns0:spacing ns0:after="120" ns0:line="360" ns0:lineRule="auto"/>
      </ns0:pPr>
      <ns0:r>
        <ns0:rPr>
          <ns0:rFonts ns0:ascii="Times New Roman" ns0:hAnsi="Times New Roman"/>
          <ns0:sz ns0:val="24"/>
          <ns0:szCs ns0:val="24"/>
        </ns0:rPr>
        <ns0:t xml:space="preserve">• Room temperature (~25°C)</ns0:t>
      </ns0:r>
    </ns0:p>
    <ns0:p>
      <ns0:pPr>
        <ns0:spacing ns0:after="120" ns0:line="360" ns0:lineRule="auto"/>
      </ns0:pPr>
      <ns0:r>
        <ns0:rPr>
          <ns0:rFonts ns0:ascii="Times New Roman" ns0:hAnsi="Times New Roman"/>
          <ns0:sz ns0:val="24"/>
          <ns0:szCs ns0:val="24"/>
        </ns0:rPr>
        <ns0:t xml:space="preserve">• Sub-zero temperature (-55°C)</ns0:t>
      </ns0:r>
    </ns0:p>
    <ns0:p>
      <ns0:pPr>
        <ns0:spacing ns0:after="120" ns0:line="360" ns0:lineRule="auto"/>
      </ns0:pPr>
      <ns0:r>
        <ns0:rPr>
          <ns0:rFonts ns0:ascii="Times New Roman" ns0:hAnsi="Times New Roman"/>
          <ns0:sz ns0:val="24"/>
          <ns0:szCs ns0:val="24"/>
        </ns0:rPr>
        <ns0:t xml:space="preserve">Specimens were extracted from both the fusion zone (FZ) and the heat-affected zone (HAZ) of each weld joint. Standard 10 mm × 10 mm × 55 mm Charpy specimens with a 2 mm deep, 45° V-notch were used.</ns0:t>
      </ns0:r>
    </ns0:p>
    <ns0:p>
      <ns0:pPr>
        <ns0:spacing ns0:after="120" ns0:line="360" ns0:lineRule="auto"/>
      </ns0:pPr>
      <ns0:r>
        <ns0:rPr>
          <ns0:rFonts ns0:ascii="Times New Roman" ns0:hAnsi="Times New Roman"/>
          <ns0:b/>
          <ns0:sz ns0:val="24"/>
          <ns0:szCs ns0:val="24"/>
        </ns0:rPr>
        <ns0:t xml:space="preserve">4.5.2.3 Fractography Analysis of Weld Specimens</ns0:t>
      </ns0:r>
    </ns0:p>
    <ns0:p>
      <ns0:pPr>
        <ns0:spacing ns0:after="120" ns0:line="360" ns0:lineRule="auto"/>
      </ns0:pPr>
      <ns0:r>
        <ns0:rPr>
          <ns0:rFonts ns0:ascii="Times New Roman" ns0:hAnsi="Times New Roman"/>
          <ns0:sz ns0:val="24"/>
          <ns0:szCs ns0:val="24"/>
        </ns0:rPr>
        <ns0:t xml:space="preserve">Fracture surfaces of impact-tested specimens were examined using a Scanning Electron Microscope (SEM) operated at 10–15 kV accelerating voltage in secondary electron imaging mode at 1000× magnification. Fractographic features including dimples, cleavage facets, river patterns, microvoids, and fibrous tearing were identified and correlated with the mechanical performance.</ns0:t>
      </ns0:r>
    </ns0:p>
    <ns0:p>
      <ns0:pPr>
        <ns0:spacing ns0:after="120" ns0:line="360" ns0:lineRule="auto"/>
      </ns0:pPr>
      <ns0:r>
        <ns0:rPr>
          <ns0:rFonts ns0:ascii="Times New Roman" ns0:hAnsi="Times New Roman"/>
          <ns0:b/>
          <ns0:sz ns0:val="24"/>
          <ns0:szCs ns0:val="24"/>
        </ns0:rPr>
        <ns0:t xml:space="preserve">4.5.2.4 Weld Specimen Microhardness Testing</ns0:t>
      </ns0:r>
    </ns0:p>
    <ns0:p>
      <ns0:pPr>
        <ns0:spacing ns0:after="120" ns0:line="360" ns0:lineRule="auto"/>
      </ns0:pPr>
      <ns0:r>
        <ns0:rPr>
          <ns0:rFonts ns0:ascii="Times New Roman" ns0:hAnsi="Times New Roman"/>
          <ns0:sz ns0:val="24"/>
          <ns0:szCs ns0:val="24"/>
        </ns0:rPr>
        <ns0:t xml:space="preserve">Vickers microhardness profiles were obtained across the weld cross-section (base metal → HAZ → fusion zone → HAZ → base metal) using:</ns0:t>
      </ns0:r>
    </ns0:p>
    <ns0:p>
      <ns0:pPr>
        <ns0:spacing ns0:after="120" ns0:line="360" ns0:lineRule="auto"/>
      </ns0:pPr>
      <ns0:r>
        <ns0:rPr>
          <ns0:rFonts ns0:ascii="Times New Roman" ns0:hAnsi="Times New Roman"/>
          <ns0:sz ns0:val="24"/>
          <ns0:szCs ns0:val="24"/>
        </ns0:rPr>
        <ns0:t xml:space="preserve">• Load: 500 gf (HV0.5)</ns0:t>
      </ns0:r>
    </ns0:p>
    <ns0:p>
      <ns0:pPr>
        <ns0:spacing ns0:after="120" ns0:line="360" ns0:lineRule="auto"/>
      </ns0:pPr>
      <ns0:r>
        <ns0:rPr>
          <ns0:rFonts ns0:ascii="Times New Roman" ns0:hAnsi="Times New Roman"/>
          <ns0:sz ns0:val="24"/>
          <ns0:szCs ns0:val="24"/>
        </ns0:rPr>
        <ns0:t xml:space="preserve">• Dwell time: 10 seconds</ns0:t>
      </ns0:r>
    </ns0:p>
    <ns0:p>
      <ns0:pPr>
        <ns0:spacing ns0:after="120" ns0:line="360" ns0:lineRule="auto"/>
      </ns0:pPr>
      <ns0:r>
        <ns0:rPr>
          <ns0:rFonts ns0:ascii="Times New Roman" ns0:hAnsi="Times New Roman"/>
          <ns0:sz ns0:val="24"/>
          <ns0:szCs ns0:val="24"/>
        </ns0:rPr>
        <ns0:t xml:space="preserve">• Spacing: 0.5 mm between indentations</ns0:t>
      </ns0:r>
    </ns0:p>
    <ns0:p>
      <ns0:pPr>
        <ns0:spacing ns0:after="120" ns0:line="360" ns0:lineRule="auto"/>
      </ns0:pPr>
      <ns0:r>
        <ns0:rPr>
          <ns0:rFonts ns0:ascii="Times New Roman" ns0:hAnsi="Times New Roman"/>
          <ns0:sz ns0:val="24"/>
          <ns0:szCs ns0:val="24"/>
        </ns0:rPr>
        <ns0:t xml:space="preserve">Measurements were taken in both the fusion zone and HAZ regions to map the hardness distribution.</ns0:t>
      </ns0:r>
    </ns0:p>
    <ns0:p>
      <ns0:pPr>
        <ns0:spacing ns0:after="120" ns0:line="360" ns0:lineRule="auto"/>
      </ns0:pPr>
      <ns0:r>
        <ns0:rPr>
          <ns0:rFonts ns0:ascii="Times New Roman" ns0:hAnsi="Times New Roman"/>
          <ns0:b/>
          <ns0:sz ns0:val="24"/>
          <ns0:szCs ns0:val="24"/>
        </ns0:rPr>
        <ns0:t xml:space="preserve">4.5.2.5 Weld Specimen Microstructure Analysis</ns0:t>
      </ns0:r>
    </ns0:p>
    <ns0:p>
      <ns0:pPr>
        <ns0:spacing ns0:after="120" ns0:line="360" ns0:lineRule="auto"/>
      </ns0:pPr>
      <ns0:r>
        <ns0:rPr>
          <ns0:rFonts ns0:ascii="Times New Roman" ns0:hAnsi="Times New Roman"/>
          <ns0:sz ns0:val="24"/>
          <ns0:szCs ns0:val="24"/>
        </ns0:rPr>
        <ns0:t xml:space="preserve">Metallographic specimens were prepared using standard techniques:</ns0:t>
      </ns0:r>
    </ns0:p>
    <ns0:p>
      <ns0:pPr>
        <ns0:spacing ns0:after="120" ns0:line="360" ns0:lineRule="auto"/>
      </ns0:pPr>
      <ns0:r>
        <ns0:rPr>
          <ns0:rFonts ns0:ascii="Times New Roman" ns0:hAnsi="Times New Roman"/>
          <ns0:sz ns0:val="24"/>
          <ns0:szCs ns0:val="24"/>
        </ns0:rPr>
        <ns0:t xml:space="preserve">1. Sequential grinding with ascending grits of emery paper (220, 400, 600, 800, 1200 grit)</ns0:t>
      </ns0:r>
    </ns0:p>
    <ns0:p>
      <ns0:pPr>
        <ns0:spacing ns0:after="120" ns0:line="360" ns0:lineRule="auto"/>
      </ns0:pPr>
      <ns0:r>
        <ns0:rPr>
          <ns0:rFonts ns0:ascii="Times New Roman" ns0:hAnsi="Times New Roman"/>
          <ns0:sz ns0:val="24"/>
          <ns0:szCs ns0:val="24"/>
        </ns0:rPr>
        <ns0:t xml:space="preserve">2. Polishing with diamond paste to achieve a mirror-like surface finish</ns0:t>
      </ns0:r>
    </ns0:p>
    <ns0:p>
      <ns0:pPr>
        <ns0:spacing ns0:after="120" ns0:line="360" ns0:lineRule="auto"/>
      </ns0:pPr>
      <ns0:r>
        <ns0:rPr>
          <ns0:rFonts ns0:ascii="Times New Roman" ns0:hAnsi="Times New Roman"/>
          <ns0:sz ns0:val="24"/>
          <ns0:szCs ns0:val="24"/>
        </ns0:rPr>
        <ns0:t xml:space="preserve">3. Etching with 2% Nital solution to reveal microstructural features</ns0:t>
      </ns0:r>
    </ns0:p>
    <ns0:p>
      <ns0:pPr>
        <ns0:spacing ns0:after="120" ns0:line="360" ns0:lineRule="auto"/>
      </ns0:pPr>
      <ns0:r>
        <ns0:rPr>
          <ns0:rFonts ns0:ascii="Times New Roman" ns0:hAnsi="Times New Roman"/>
          <ns0:sz ns0:val="24"/>
          <ns0:szCs ns0:val="24"/>
        </ns0:rPr>
        <ns0:t xml:space="preserve">Optical microscopy was performed at 50× magnification (50 µm scale bar) to identify and characterize:</ns0:t>
      </ns0:r>
    </ns0:p>
    <ns0:p>
      <ns0:pPr>
        <ns0:spacing ns0:after="120" ns0:line="360" ns0:lineRule="auto"/>
      </ns0:pPr>
      <ns0:r>
        <ns0:rPr>
          <ns0:rFonts ns0:ascii="Times New Roman" ns0:hAnsi="Times New Roman"/>
          <ns0:sz ns0:val="24"/>
          <ns0:szCs ns0:val="24"/>
        </ns0:rPr>
        <ns0:t xml:space="preserve">• Acicular ferrite (AF)</ns0:t>
      </ns0:r>
    </ns0:p>
    <ns0:p>
      <ns0:pPr>
        <ns0:spacing ns0:after="120" ns0:line="360" ns0:lineRule="auto"/>
      </ns0:pPr>
      <ns0:r>
        <ns0:rPr>
          <ns0:rFonts ns0:ascii="Times New Roman" ns0:hAnsi="Times New Roman"/>
          <ns0:sz ns0:val="24"/>
          <ns0:szCs ns0:val="24"/>
        </ns0:rPr>
        <ns0:t xml:space="preserve">• Polygonal ferrite (PF)</ns0:t>
      </ns0:r>
    </ns0:p>
    <ns0:p>
      <ns0:pPr>
        <ns0:spacing ns0:after="120" ns0:line="360" ns0:lineRule="auto"/>
      </ns0:pPr>
      <ns0:r>
        <ns0:rPr>
          <ns0:rFonts ns0:ascii="Times New Roman" ns0:hAnsi="Times New Roman"/>
          <ns0:sz ns0:val="24"/>
          <ns0:szCs ns0:val="24"/>
        </ns0:rPr>
        <ns0:t xml:space="preserve">• Grain boundary ferrite (GBF)</ns0:t>
      </ns0:r>
    </ns0:p>
    <ns0:p>
      <ns0:pPr>
        <ns0:spacing ns0:after="120" ns0:line="360" ns0:lineRule="auto"/>
      </ns0:pPr>
      <ns0:r>
        <ns0:rPr>
          <ns0:rFonts ns0:ascii="Times New Roman" ns0:hAnsi="Times New Roman"/>
          <ns0:sz ns0:val="24"/>
          <ns0:szCs ns0:val="24"/>
        </ns0:rPr>
        <ns0:t xml:space="preserve">• Widmanstätten ferrite (WF)</ns0:t>
      </ns0:r>
    </ns0:p>
    <ns0:p>
      <ns0:pPr>
        <ns0:spacing ns0:after="120" ns0:line="360" ns0:lineRule="auto"/>
      </ns0:pPr>
      <ns0:r>
        <ns0:rPr>
          <ns0:rFonts ns0:ascii="Times New Roman" ns0:hAnsi="Times New Roman"/>
          <ns0:sz ns0:val="24"/>
          <ns0:szCs ns0:val="24"/>
        </ns0:rPr>
        <ns0:t xml:space="preserve">• Bainite (upper and lower)</ns0:t>
      </ns0:r>
    </ns0:p>
    <ns0:p>
      <ns0:pPr>
        <ns0:spacing ns0:after="120" ns0:line="360" ns0:lineRule="auto"/>
      </ns0:pPr>
      <ns0:r>
        <ns0:rPr>
          <ns0:rFonts ns0:ascii="Times New Roman" ns0:hAnsi="Times New Roman"/>
          <ns0:sz ns0:val="24"/>
          <ns0:szCs ns0:val="24"/>
        </ns0:rPr>
        <ns0:t xml:space="preserve">• Martensite-austenite (M/A) constituents</ns0:t>
      </ns0:r>
    </ns0:p>
    <ns0:p>
      <ns0:pPr>
        <ns0:spacing ns0:after="120" ns0:line="360" ns0:lineRule="auto"/>
      </ns0:pPr>
      <ns0:r>
        <ns0:rPr>
          <ns0:rFonts ns0:ascii="Times New Roman" ns0:hAnsi="Times New Roman"/>
          <ns0:sz ns0:val="24"/>
          <ns0:szCs ns0:val="24"/>
        </ns0:rPr>
        <ns0:t xml:space="preserve">• Pearlite (P)</ns0:t>
      </ns0:r>
    </ns0:p>
    <ns0:p>
      <ns0:pPr>
        <ns0:spacing ns0:after="120" ns0:line="360" ns0:lineRule="auto"/>
      </ns0:pPr>
      <ns0:r>
        <ns0:rPr>
          <ns0:rFonts ns0:ascii="Times New Roman" ns0:hAnsi="Times New Roman"/>
          <ns0:b/>
          <ns0:sz ns0:val="24"/>
          <ns0:szCs ns0:val="24"/>
        </ns0:rPr>
        <ns0:t xml:space="preserve">4.5.2.6 Weld Specimen Corrosion Analysis</ns0:t>
      </ns0:r>
    </ns0:p>
    <ns0:p>
      <ns0:pPr>
        <ns0:spacing ns0:after="120" ns0:line="360" ns0:lineRule="auto"/>
      </ns0:pPr>
      <ns0:r>
        <ns0:rPr>
          <ns0:rFonts ns0:ascii="Times New Roman" ns0:hAnsi="Times New Roman"/>
          <ns0:sz ns0:val="24"/>
          <ns0:szCs ns0:val="24"/>
        </ns0:rPr>
        <ns0:t xml:space="preserve">Electrochemical corrosion testing was performed to evaluate the corrosion resistance of the weld metal in simulated service environments, following standard electrochemical techniques to determine corrosion potential and corrosion rate.</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32"/>
          <ns0:szCs ns0:val="32"/>
        </ns0:rPr>
        <ns0:t xml:space="preserve">4.6 Statistical Analysis and Regression Modelling</ns0:t>
      </ns0:r>
    </ns0:p>
    <ns0:p>
      <ns0:pPr>
        <ns0:spacing ns0:after="120" ns0:line="360" ns0:lineRule="auto"/>
      </ns0:pPr>
      <ns0:r>
        <ns0:rPr>
          <ns0:rFonts ns0:ascii="Times New Roman" ns0:hAnsi="Times New Roman"/>
          <ns0:b/>
          <ns0:sz ns0:val="28"/>
          <ns0:szCs ns0:val="28"/>
        </ns0:rPr>
        <ns0:t xml:space="preserve">4.6.1 Mixture Regression Modelling</ns0:t>
      </ns0:r>
    </ns0:p>
    <ns0:p>
      <ns0:pPr>
        <ns0:spacing ns0:after="120" ns0:line="360" ns0:lineRule="auto"/>
      </ns0:pPr>
      <ns0:r>
        <ns0:rPr>
          <ns0:rFonts ns0:ascii="Times New Roman" ns0:hAnsi="Times New Roman"/>
          <ns0:sz ns0:val="24"/>
          <ns0:szCs ns0:val="24"/>
        </ns0:rPr>
        <ns0:t xml:space="preserve">The regression equations for predicting weld metal composition were developed using mixture design methodology with Scheffé canonical mixture models. Due to the summation constraint (∑t_i = 85 wt.%), standard polynomial regression cannot be applied.</ns0:t>
      </ns0:r>
    </ns0:p>
    <ns0:p>
      <ns0:pPr>
        <ns0:spacing ns0:after="120" ns0:line="360" ns0:lineRule="auto"/>
      </ns0:pPr>
      <ns0:r>
        <ns0:rPr>
          <ns0:rFonts ns0:ascii="Times New Roman" ns0:hAnsi="Times New Roman"/>
          <ns0:sz ns0:val="24"/>
          <ns0:szCs ns0:val="24"/>
        </ns0:rPr>
        <ns0:t xml:space="preserve">The general model forms used were:</ns0:t>
      </ns0:r>
    </ns0:p>
    <ns0:p>
      <ns0:pPr>
        <ns0:spacing ns0:after="120" ns0:line="360" ns0:lineRule="auto"/>
      </ns0:pPr>
      <ns0:r>
        <ns0:rPr>
          <ns0:rFonts ns0:ascii="Times New Roman" ns0:hAnsi="Times New Roman"/>
          <ns0:sz ns0:val="24"/>
          <ns0:szCs ns0:val="24"/>
          <ns0:b/>
        </ns0:rPr>
        <ns0:t xml:space="preserve">Linear (first-order) mixture model (Equation 4.8):</ns0:t>
      </ns0:r>
    </ns0:p>
    <ns0:p>
      <ns0:pPr>
        <ns0:spacing ns0:after="120" ns0:line="360" ns0:lineRule="auto"/>
      </ns0:pPr>
      <ns0:r>
        <ns0:rPr>
          <ns0:rFonts ns0:ascii="Times New Roman" ns0:hAnsi="Times New Roman"/>
          <ns0:sz ns0:val="24"/>
          <ns0:szCs ns0:val="24"/>
        </ns0:rPr>
        <ns0:t xml:space="preserve">$$\hat{y} = \sum_{i=1}^{q} \beta_i t_i$$</ns0:t>
      </ns0:r>
    </ns0:p>
    <ns0:p>
      <ns0:pPr>
        <ns0:spacing ns0:after="120" ns0:line="360" ns0:lineRule="auto"/>
      </ns0:pPr>
      <ns0:r>
        <ns0:rPr>
          <ns0:rFonts ns0:ascii="Times New Roman" ns0:hAnsi="Times New Roman"/>
          <ns0:sz ns0:val="24"/>
          <ns0:szCs ns0:val="24"/>
          <ns0:b/>
        </ns0:rPr>
        <ns0:t xml:space="preserve">Quadratic (second-order) mixture model (Equation 4.9):</ns0:t>
      </ns0:r>
    </ns0:p>
    <ns0:p>
      <ns0:pPr>
        <ns0:spacing ns0:after="120" ns0:line="360" ns0:lineRule="auto"/>
      </ns0:pPr>
      <ns0:r>
        <ns0:rPr>
          <ns0:rFonts ns0:ascii="Times New Roman" ns0:hAnsi="Times New Roman"/>
          <ns0:sz ns0:val="24"/>
          <ns0:szCs ns0:val="24"/>
        </ns0:rPr>
        <ns0:t xml:space="preserve">$$\hat{y} = \sum_{i=1}^{q} \beta_i t_i + \sum_{i&lt;j}^{q} \beta_{ij} t_i t_j$$</ns0:t>
      </ns0:r>
    </ns0:p>
    <ns0:p>
      <ns0:pPr>
        <ns0:spacing ns0:after="120" ns0:line="360" ns0:lineRule="auto"/>
      </ns0:pPr>
      <ns0:r>
        <ns0:rPr>
          <ns0:rFonts ns0:ascii="Times New Roman" ns0:hAnsi="Times New Roman"/>
          <ns0:sz ns0:val="24"/>
          <ns0:szCs ns0:val="24"/>
          <ns0:b/>
        </ns0:rPr>
        <ns0:t xml:space="preserve">Special cubic (third-order) mixture model (Equation 4.10):</ns0:t>
      </ns0:r>
    </ns0:p>
    <ns0:p>
      <ns0:pPr>
        <ns0:spacing ns0:after="120" ns0:line="360" ns0:lineRule="auto"/>
      </ns0:pPr>
      <ns0:r>
        <ns0:rPr>
          <ns0:rFonts ns0:ascii="Times New Roman" ns0:hAnsi="Times New Roman"/>
          <ns0:sz ns0:val="24"/>
          <ns0:szCs ns0:val="24"/>
        </ns0:rPr>
        <ns0:t xml:space="preserve">$$\hat{y} = \sum_{i=1}^{q} \beta_i t_i + \sum_{i&lt;j}^{q} \beta_{ij} t_i t_j + \sum_{i&lt;j&lt;k}^{q} \beta_{ijk} t_i t_j t_k$$</ns0:t>
      </ns0:r>
    </ns0:p>
    <ns0:p>
      <ns0:pPr>
        <ns0:spacing ns0:after="120" ns0:line="360" ns0:lineRule="auto"/>
      </ns0:pPr>
      <ns0:r>
        <ns0:rPr>
          <ns0:rFonts ns0:ascii="Times New Roman" ns0:hAnsi="Times New Roman"/>
          <ns0:sz ns0:val="24"/>
          <ns0:szCs ns0:val="24"/>
        </ns0:rPr>
        <ns0:t xml:space="preserve">The coefficient vector was obtained using ordinary least squares (OLS):</ns0:t>
      </ns0:r>
    </ns0:p>
    <ns0:p>
      <ns0:pPr>
        <ns0:spacing ns0:after="120" ns0:line="360" ns0:lineRule="auto"/>
      </ns0:pPr>
      <ns0:r>
        <ns0:rPr>
          <ns0:rFonts ns0:ascii="Times New Roman" ns0:hAnsi="Times New Roman"/>
          <ns0:sz ns0:val="24"/>
          <ns0:szCs ns0:val="24"/>
          <ns0:b/>
        </ns0:rPr>
        <ns0:t xml:space="preserve">Equation 4.11:</ns0:t>
      </ns0:r>
    </ns0:p>
    <ns0:p>
      <ns0:pPr>
        <ns0:spacing ns0:after="120" ns0:line="360" ns0:lineRule="auto"/>
      </ns0:pPr>
      <ns0:r>
        <ns0:rPr>
          <ns0:rFonts ns0:ascii="Times New Roman" ns0:hAnsi="Times New Roman"/>
          <ns0:sz ns0:val="24"/>
          <ns0:szCs ns0:val="24"/>
        </ns0:rPr>
        <ns0:t xml:space="preserve">$$\boldsymbol{\beta} = (X^T X)^{-1} X^T y$$</ns0:t>
      </ns0:r>
    </ns0:p>
    <ns0:p>
      <ns0:pPr>
        <ns0:spacing ns0:after="120" ns0:line="360" ns0:lineRule="auto"/>
      </ns0:pPr>
      <ns0:r>
        <ns0:rPr>
          <ns0:rFonts ns0:ascii="Times New Roman" ns0:hAnsi="Times New Roman"/>
          <ns0:sz ns0:val="24"/>
          <ns0:szCs ns0:val="24"/>
        </ns0:rPr>
        <ns0:t xml:space="preserve">Model selection was performed using ANOVA with terms retained if p &lt; 0.05. Model adequacy was verified using R² values (0.76–0.95), F-tests, lack-of-fit tests, and predicted versus actual plots.</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sz ns0:val="24"/>
          <ns0:szCs ns0:val="24"/>
        </ns0:rPr>
        <ns0:t xml:space="preserve">*End of Chapter 4*</ns0:t>
      </ns0:r>
    </ns0:p>
  </ns0:body>
</ns0:document>
</file>

<file path=word/_rels/document.xml.rels><?xml version="1.0" encoding="UTF-8" standalone="yes"?><Relationships xmlns="http://schemas.openxmlformats.org/package/2006/relationships" />
</file>