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0" w:after="200"/>
      </w:pPr>
      <w:r>
        <w:rPr>
          <w:b/>
          <w:sz w:val="32"/>
          <w:szCs w:val="32"/>
          <w:highlight w:val="yellow"/>
        </w:rPr>
        <w:t xml:space="preserve">Investigation on the Weldability of 430-Grade Ferritic Stainless Steel Using Three Different Filler Wire Grades (Austenitic 309L, Martensitic 410, and Duplex 2594)</w:t>
      </w:r>
    </w:p>
    <w:p>
      <w:pPr>
        <w:spacing w:before="160" w:after="100"/>
      </w:pPr>
      <w:r>
        <w:rPr>
          <w:b/>
          <w:sz w:val="28"/>
          <w:szCs w:val="28"/>
        </w:rPr>
        <w:t xml:space="preserve">Abstract</w:t>
      </w:r>
    </w:p>
    <w:p>
      <w:pPr>
        <w:spacing w:before="0" w:after="120"/>
      </w:pPr>
      <w:r>
        <w:t xml:space="preserve">430 grade ferritic stainless steel is widely used for industrial applications such as automotive exhaust systems, kitchen appliances, and architectural panels because it is cost-effective and resists corrosion, yet it remains difficult to weld. This study explores the role of different filler metals on the welding characteristics and joint performance of this industrially relevant alloy. </w:t>
      </w:r>
      <w:r>
        <w:rPr>
          <w:highlight w:val="yellow"/>
        </w:rPr>
        <w:t xml:space="preserve">Twelve-millimetre-thick AISI 430 plate (coupons of 75 × 75 × 12 mm, wire-EDM sectioned) was joined by gas metal arc welding (GMAW/MIG) using three filler wire grades — austenitic ER309L, martensitic ER410, and duplex ER2594 — in a four-pass single-V butt joint (60° included groove angle, 2 mm root gap) with DCEP polarity, 110 A, a 150 °C interpass temperature, and an ≈ 2.98 kJ/mm cumulative heat input. The joints were characterised across the fusion zone (FZ), heat-affected zone (HAZ), and base metal (BM) by optical microscopy (OM), SEM fractography, X-ray diffraction (XRD), Vickers microhardness (VHN), Charpy V-notch impact testing, and potentiodynamic polarization, and compared with Schaeffler-diagram and solidification-mode predictions.</w:t>
      </w:r>
      <w:r>
        <w:t xml:space="preserve"> The 309L welds gave the highest fusion-zone impact toughness (125 J), attributed to their austenitic solidification and excellent cracking resistance. The martensitic 410 filler provided the greatest fusion-zone hardness (320 VHN) but the lowest HAZ impact toughness (45 J). The duplex 2594 filler offered a balanced combination of toughness (100 J) with a reasonable fusion-zone hardness (300 VHN). Grain coarsening and sensitization in the HAZ were common to all fillers and most pronounced under multi-pass thermal cycling. Microstructural predictions from the Schaeffler diagram and solidification-mode theory agreed broadly with experiment, with deviations due to real welding factors. These results emphasize the critical nature of filler selection according to service needs (toughness, hardness, or corrosion performance). XRD showed distinct fusion-zone phase constitutions: γ-austenite with δ/α-ferrite in F309, α′ martensite in F410, and a balanced ferrite–austenite duplex structure in F2594. Potentiodynamic polarization showed superior corrosion resistance for the F2594 weld (high chromium content and stable passivation), while F410 showed the greatest corrosion susceptibility.</w:t>
      </w:r>
    </w:p>
    <w:p>
      <w:pPr>
        <w:spacing w:before="0" w:after="120"/>
      </w:pPr>
      <w:r>
        <w:rPr>
          <w:i/>
        </w:rPr>
        <w:t xml:space="preserve">Keywords: Welding metallurgy; Ferritic stainless steel; Filler metal effect; Heat affected zone; Microstructure–performance relationship.</w:t>
      </w:r>
    </w:p>
    <w:p>
      <w:pPr>
        <w:spacing w:before="160" w:after="100"/>
      </w:pPr>
      <w:r>
        <w:rPr>
          <w:b/>
          <w:sz w:val="28"/>
          <w:szCs w:val="28"/>
        </w:rPr>
        <w:t xml:space="preserve">1. Introduction</w:t>
      </w:r>
    </w:p>
    <w:p>
      <w:pPr>
        <w:spacing w:before="0" w:after="120"/>
      </w:pPr>
      <w:r>
        <w:t xml:space="preserve">Ferritic stainless steels (FSS) are a subgroup of stainless alloys with a body-centered cubic (BCC) crystal structure, consisting mainly of iron and chromium with little or no nickel [1]. Chromium contents of typically 10.5–30% provide their oxidation resistance and low cost [2]. Compared with austenitic grades, FSS offer better resistance to stress-corrosion cracking, higher thermal conductivity, and lower thermal expansion [3], making them suitable for components exposed to temperature fluctuations [4]. Common applications of AISI 430 include kitchen appliances, automotive exhausts, and architectural panels [5]. However, grain coarsening and chromium-carbide-driven intergranular corrosion during welding have historically limited their use in welded structural applications [6, 7].</w:t>
      </w:r>
    </w:p>
    <w:p>
      <w:pPr>
        <w:spacing w:before="0" w:after="120"/>
      </w:pPr>
      <w:r>
        <w:rPr>
          <w:highlight w:val="yellow"/>
        </w:rPr>
        <w:t xml:space="preserve">In conventional unstabilized FSS, carbon and nitrogen promote chromium-carbide precipitation at grain boundaries, causing sensitization and intergranular corrosion. Stabilization with titanium and niobium (forming stable TiC/NbC) and ultra-low-interstitial (ULI) processing (C + N &lt; 50 ppm) mitigate this, and stabilized grades such as AISI 441 and 444 show improved weldability. AISI 430, however, is a non-stabilized grade that remains susceptible to these effects and is therefore an informative model alloy for studying weldability [8–18].</w:t>
      </w:r>
    </w:p>
    <w:p>
      <w:pPr>
        <w:spacing w:before="0" w:after="120"/>
      </w:pPr>
      <w:r>
        <w:t xml:space="preserve">Welding remains the principal limitation for FSS. Because the ferritic structure is retained through heating and cooling, no austenite transformation refines the grains, so rapid grain coarsening occurs in the HAZ above ~950 °C [19, 20]; HAZ grain sizes above 100 µm markedly reduce toughness [21]. Embrittling sigma phase can precipitate between 600–900 °C [22], high-carbon zones can transform to martensite on rapid cooling [23], and fully ferritic solidification lacks the crack-healing benefit of dual-phase microstructures [24]. These issues have motivated low-heat-input and grain-refining approaches such as pulsed-laser, active-TIG, and friction-stir welding, together with post-weld treatments to dissolve chromium carbides and redistribute stabilizing precipitates [25].</w:t>
      </w:r>
    </w:p>
    <w:p>
      <w:pPr>
        <w:spacing w:before="0" w:after="120"/>
      </w:pPr>
      <w:r>
        <w:rPr>
          <w:highlight w:val="yellow"/>
        </w:rPr>
        <w:t xml:space="preserve">The choice of filler metal is central to overcoming these problems, and recent studies quantify its effect. Anttila et al. reported that ferritic 409/430-type filler welds retain acceptable tensile strength and ductility but suffer from poor impact toughness in the weld region, confirming that ferritic fillers alone do not solve the toughness problem. Comparative filler studies on 430 FSS show that austenitic fillers produce columnar austenite with retained ferrite, whereas ferritic/martensitic fillers such as 410 yield acicular ferrite with martensite and austenite, giving higher weld-metal strength and hardness. Ostovan et al. showed that increasing molybdenum in GTAW AISI 316 welds raises the δ-ferrite fraction in the fusion zone and improves both mechanical strength and pitting-corrosion resistance — a direct rationale for examining a high-Mo super-duplex (ER2594) filler on 430. Related studies on ferritic/duplex weldments reinforce that filler-driven phase balance governs HAZ sensitization and passive-film stability. Collectively, these works establish that austenitic, martensitic, and duplex fillers trade off toughness, hardness, and corrosion resistance differently, yet a single, controlled comparison of all three on identical 430 joints under one welding schedule is lacking — the gap this study addresses (content rephrased for compliance).</w:t>
      </w:r>
    </w:p>
    <w:p>
      <w:pPr>
        <w:spacing w:before="0" w:after="120"/>
      </w:pPr>
      <w:r>
        <w:rPr>
          <w:highlight w:val="yellow"/>
        </w:rPr>
        <w:t xml:space="preserve">Filler practice for AISI 430 and rationale for the present selection. In current research and industrial practice, austenitic fillers — chiefly ER309L — are the most widely used consumables for welding 430, because the ductile, crack-tolerant austenitic weld metal compensates for the low toughness of fully ferritic welds. Ferritic/martensitic fillers (ER430, ER410) are chosen when colour match, magnetic response, or higher weld-metal strength and hardness is required, while duplex/super-duplex fillers (ER2209, ER2594) are comparatively rare for 430 and used mainly where elevated strength plus pitting/crevice-corrosion resistance is needed. Each option has documented limits: ferritic fillers give poor weld toughness; martensitic ER410 is hard but brittle and generally needs post-weld heat treatment; and austenitic ER309L overcomes the toughness problem but raises thermal-expansion-mismatch and galvanic concerns at the fusion boundary. Across all fillers the ferritic HAZ of 430 still coarsens and can sensitize, so the filler primarily governs fusion-zone behaviour. Accordingly, one representative filler was selected from each family — austenitic ER309L, martensitic ER410, and super-duplex ER2594 — to isolate the effect of weld-metal solidification mode and phase balance under one welding schedule.</w:t>
      </w:r>
    </w:p>
    <w:p>
      <w:pPr>
        <w:spacing w:before="0" w:after="120"/>
      </w:pPr>
      <w:r>
        <w:t xml:space="preserve">AISI 430 is an economical ferritic grade used in automotive exhaust systems, household appliances, and architecture, making the results of this study directly relevant to a large area of manufacturing [26]. As a non-stabilised grade, 430 is more prone to chromium-carbide precipitation, high-temperature HAZ coarsening, and sensitisation than stabilised or higher-alloy grades [27, 28], which makes it an ideal model alloy for assessing basic weldability issues and for comparative filler evaluation under realistic fabrication conditions. Investigating AISI 430 also aligns with current efforts toward low-cost, sustainable stainless-steel solutions [29–31], and insights for this baseline grade inform the welding behaviour of related grades such as 409, 410, and 440.</w:t>
      </w:r>
    </w:p>
    <w:p>
      <w:pPr>
        <w:spacing w:before="0" w:after="120"/>
      </w:pPr>
      <w:r>
        <w:t xml:space="preserve">The key motivation of this research is to understand how weldability and filler-metal selection influence welded-joint performance. The study systematically compares austenitic ER309L, martensitic ER410, and duplex ER2594 fillers on 430 FSS and correlates fusion-zone and HAZ hardness, impact toughness, and fracture morphology, with the goal of providing clear guidelines for filler selection against specific service requirements.</w:t>
      </w:r>
    </w:p>
    <w:p>
      <w:pPr>
        <w:spacing w:before="160" w:after="100"/>
      </w:pPr>
      <w:r>
        <w:rPr>
          <w:b/>
          <w:sz w:val="28"/>
          <w:szCs w:val="28"/>
          <w:highlight w:val="yellow"/>
        </w:rPr>
        <w:t xml:space="preserve">2. Materials and Methods</w:t>
      </w:r>
    </w:p>
    <w:p>
      <w:pPr>
        <w:spacing w:before="120" w:after="80"/>
      </w:pPr>
      <w:r>
        <w:rPr>
          <w:b/>
          <w:sz w:val="26"/>
          <w:szCs w:val="26"/>
          <w:highlight w:val="yellow"/>
        </w:rPr>
        <w:t xml:space="preserve">2.1 Materials, joint design, and welding</w:t>
      </w:r>
    </w:p>
    <w:p>
      <w:pPr>
        <w:spacing w:before="0" w:after="120"/>
      </w:pPr>
      <w:r>
        <w:t xml:space="preserve">The base material was AISI 430 ferritic stainless steel. Coupons measuring 75 × 75 × 12 mm (Fig. 1) were sectioned from plate using a wire-EDM machine (Electronica 5535-EZNC) to minimise thermal input and ensure stress-free preparation. </w:t>
      </w:r>
      <w:r>
        <w:rPr>
          <w:highlight w:val="yellow"/>
        </w:rPr>
        <w:t xml:space="preserve">Single-V butt joints with a 60° included groove angle and a 2 mm root gap were welded by gas metal arc welding (GMAW/MIG) to ensure full penetration.</w:t>
      </w:r>
      <w:r>
        <w:t xml:space="preserve"> Three coupons were welded per filler for statistical reliability (nine coupons total), yielding specimens for mechanical testing and metallography. Three commercial fillers were compared: austenitic ER309L, martensitic ER410, and duplex ER2594 (2.14 mm diameter). The base metal and fillers were supplied by Star Metal Solution in accordance with AWS A5.9 / ASME SFA-5.9 and EN ISO 14343. Chemical compositions were determined by optical emission spectrometry (OES) at IAHT Ludhiana (Table 1); </w:t>
      </w:r>
      <w:r>
        <w:rPr>
          <w:highlight w:val="yellow"/>
        </w:rPr>
        <w:t xml:space="preserve">nominal, as-supplied</w:t>
      </w:r>
      <w:r>
        <w:t xml:space="preserve"> mechanical properties of the base and filler materials are given in Table 2.</w:t>
      </w:r>
    </w:p>
    <w:p>
      <w:pPr>
        <w:spacing w:before="0" w:after="160"/>
      </w:pPr>
      <w:r>
        <w:rPr>
          <w:i/>
          <w:sz w:val="20"/>
          <w:szCs w:val="20"/>
        </w:rPr>
        <w:t xml:space="preserve">Table 1. Chemical composition (wt%) and equivalents of the stainless steel and filler metals.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80"/>
        <w:gridCol w:w="780"/>
        <w:gridCol w:w="780"/>
        <w:gridCol w:w="780"/>
        <w:gridCol w:w="780"/>
        <w:gridCol w:w="780"/>
        <w:gridCol w:w="780"/>
        <w:gridCol w:w="780"/>
        <w:gridCol w:w="780"/>
        <w:gridCol w:w="780"/>
        <w:gridCol w:w="780"/>
        <w:gridCol w:w="780"/>
      </w:tblGrid>
      <w:tr>
        <w:tc>
          <w:tcPr>
            <w:tcW w:w="780" w:type="dxa"/>
            <w:shd w:val="clear" w:color="auto" w:fill="D9D9D9"/>
          </w:tcPr>
          <w:p>
            <w:pPr>
              <w:spacing w:before="20" w:after="20"/>
            </w:pPr>
            <w:r>
              <w:rPr>
                <w:b/>
                <w:sz w:val="18"/>
                <w:szCs w:val="18"/>
              </w:rPr>
              <w:t xml:space="preserve">Category</w:t>
            </w:r>
          </w:p>
        </w:tc>
        <w:tc>
          <w:tcPr>
            <w:tcW w:w="780" w:type="dxa"/>
            <w:shd w:val="clear" w:color="auto" w:fill="D9D9D9"/>
          </w:tcPr>
          <w:p>
            <w:pPr>
              <w:spacing w:before="20" w:after="20"/>
            </w:pPr>
            <w:r>
              <w:rPr>
                <w:b/>
                <w:sz w:val="18"/>
                <w:szCs w:val="18"/>
              </w:rPr>
              <w:t xml:space="preserve">Material</w:t>
            </w:r>
          </w:p>
        </w:tc>
        <w:tc>
          <w:tcPr>
            <w:tcW w:w="780" w:type="dxa"/>
            <w:shd w:val="clear" w:color="auto" w:fill="D9D9D9"/>
          </w:tcPr>
          <w:p>
            <w:pPr>
              <w:spacing w:before="20" w:after="20"/>
            </w:pPr>
            <w:r>
              <w:rPr>
                <w:b/>
                <w:sz w:val="18"/>
                <w:szCs w:val="18"/>
              </w:rPr>
              <w:t xml:space="preserve">C</w:t>
            </w:r>
          </w:p>
        </w:tc>
        <w:tc>
          <w:tcPr>
            <w:tcW w:w="780" w:type="dxa"/>
            <w:shd w:val="clear" w:color="auto" w:fill="D9D9D9"/>
          </w:tcPr>
          <w:p>
            <w:pPr>
              <w:spacing w:before="20" w:after="20"/>
            </w:pPr>
            <w:r>
              <w:rPr>
                <w:b/>
                <w:sz w:val="18"/>
                <w:szCs w:val="18"/>
              </w:rPr>
              <w:t xml:space="preserve">Ni</w:t>
            </w:r>
          </w:p>
        </w:tc>
        <w:tc>
          <w:tcPr>
            <w:tcW w:w="780" w:type="dxa"/>
            <w:shd w:val="clear" w:color="auto" w:fill="D9D9D9"/>
          </w:tcPr>
          <w:p>
            <w:pPr>
              <w:spacing w:before="20" w:after="20"/>
            </w:pPr>
            <w:r>
              <w:rPr>
                <w:b/>
                <w:sz w:val="18"/>
                <w:szCs w:val="18"/>
              </w:rPr>
              <w:t xml:space="preserve">Cr</w:t>
            </w:r>
          </w:p>
        </w:tc>
        <w:tc>
          <w:tcPr>
            <w:tcW w:w="780" w:type="dxa"/>
            <w:shd w:val="clear" w:color="auto" w:fill="D9D9D9"/>
          </w:tcPr>
          <w:p>
            <w:pPr>
              <w:spacing w:before="20" w:after="20"/>
            </w:pPr>
            <w:r>
              <w:rPr>
                <w:b/>
                <w:sz w:val="18"/>
                <w:szCs w:val="18"/>
              </w:rPr>
              <w:t xml:space="preserve">Si</w:t>
            </w:r>
          </w:p>
        </w:tc>
        <w:tc>
          <w:tcPr>
            <w:tcW w:w="780" w:type="dxa"/>
            <w:shd w:val="clear" w:color="auto" w:fill="D9D9D9"/>
          </w:tcPr>
          <w:p>
            <w:pPr>
              <w:spacing w:before="20" w:after="20"/>
            </w:pPr>
            <w:r>
              <w:rPr>
                <w:b/>
                <w:sz w:val="18"/>
                <w:szCs w:val="18"/>
              </w:rPr>
              <w:t xml:space="preserve">Mn</w:t>
            </w:r>
          </w:p>
        </w:tc>
        <w:tc>
          <w:tcPr>
            <w:tcW w:w="780" w:type="dxa"/>
            <w:shd w:val="clear" w:color="auto" w:fill="D9D9D9"/>
          </w:tcPr>
          <w:p>
            <w:pPr>
              <w:spacing w:before="20" w:after="20"/>
            </w:pPr>
            <w:r>
              <w:rPr>
                <w:b/>
                <w:sz w:val="18"/>
                <w:szCs w:val="18"/>
              </w:rPr>
              <w:t xml:space="preserve">Mo</w:t>
            </w:r>
          </w:p>
        </w:tc>
        <w:tc>
          <w:tcPr>
            <w:tcW w:w="780" w:type="dxa"/>
            <w:shd w:val="clear" w:color="auto" w:fill="D9D9D9"/>
          </w:tcPr>
          <w:p>
            <w:pPr>
              <w:spacing w:before="20" w:after="20"/>
            </w:pPr>
            <w:r>
              <w:rPr>
                <w:b/>
                <w:sz w:val="18"/>
                <w:szCs w:val="18"/>
              </w:rPr>
              <w:t xml:space="preserve">Fe</w:t>
            </w:r>
          </w:p>
        </w:tc>
        <w:tc>
          <w:tcPr>
            <w:tcW w:w="780" w:type="dxa"/>
            <w:shd w:val="clear" w:color="auto" w:fill="D9D9D9"/>
          </w:tcPr>
          <w:p>
            <w:pPr>
              <w:spacing w:before="20" w:after="20"/>
            </w:pPr>
            <w:r>
              <w:rPr>
                <w:b/>
                <w:sz w:val="18"/>
                <w:szCs w:val="18"/>
              </w:rPr>
              <w:t xml:space="preserve">Cr_eq</w:t>
            </w:r>
          </w:p>
        </w:tc>
        <w:tc>
          <w:tcPr>
            <w:tcW w:w="780" w:type="dxa"/>
            <w:shd w:val="clear" w:color="auto" w:fill="D9D9D9"/>
          </w:tcPr>
          <w:p>
            <w:pPr>
              <w:spacing w:before="20" w:after="20"/>
            </w:pPr>
            <w:r>
              <w:rPr>
                <w:b/>
                <w:sz w:val="18"/>
                <w:szCs w:val="18"/>
              </w:rPr>
              <w:t xml:space="preserve">Ni_eq</w:t>
            </w:r>
          </w:p>
        </w:tc>
        <w:tc>
          <w:tcPr>
            <w:tcW w:w="780" w:type="dxa"/>
            <w:shd w:val="clear" w:color="auto" w:fill="D9D9D9"/>
          </w:tcPr>
          <w:p>
            <w:pPr>
              <w:spacing w:before="20" w:after="20"/>
            </w:pPr>
            <w:r>
              <w:rPr>
                <w:b/>
                <w:sz w:val="18"/>
                <w:szCs w:val="18"/>
              </w:rPr>
              <w:t xml:space="preserve">Primary Use</w:t>
            </w:r>
          </w:p>
        </w:tc>
      </w:tr>
      <w:tr>
        <w:tc>
          <w:tcPr>
            <w:tcW w:w="780" w:type="dxa"/>
          </w:tcPr>
          <w:p>
            <w:pPr>
              <w:spacing w:before="20" w:after="20"/>
            </w:pPr>
            <w:r>
              <w:rPr>
                <w:sz w:val="18"/>
                <w:szCs w:val="18"/>
              </w:rPr>
              <w:t xml:space="preserve">Base Metal</w:t>
            </w:r>
          </w:p>
        </w:tc>
        <w:tc>
          <w:tcPr>
            <w:tcW w:w="780" w:type="dxa"/>
          </w:tcPr>
          <w:p>
            <w:pPr>
              <w:spacing w:before="20" w:after="20"/>
            </w:pPr>
            <w:r>
              <w:rPr>
                <w:sz w:val="18"/>
                <w:szCs w:val="18"/>
              </w:rPr>
              <w:t xml:space="preserve">SS 430</w:t>
            </w:r>
          </w:p>
        </w:tc>
        <w:tc>
          <w:tcPr>
            <w:tcW w:w="780" w:type="dxa"/>
          </w:tcPr>
          <w:p>
            <w:pPr>
              <w:spacing w:before="20" w:after="20"/>
            </w:pPr>
            <w:r>
              <w:rPr>
                <w:sz w:val="18"/>
                <w:szCs w:val="18"/>
              </w:rPr>
              <w:t xml:space="preserve">0.12</w:t>
            </w:r>
          </w:p>
        </w:tc>
        <w:tc>
          <w:tcPr>
            <w:tcW w:w="780" w:type="dxa"/>
          </w:tcPr>
          <w:p>
            <w:pPr>
              <w:spacing w:before="20" w:after="20"/>
            </w:pPr>
            <w:r>
              <w:rPr>
                <w:sz w:val="18"/>
                <w:szCs w:val="18"/>
              </w:rPr>
              <w:t xml:space="preserve">0.5</w:t>
            </w:r>
          </w:p>
        </w:tc>
        <w:tc>
          <w:tcPr>
            <w:tcW w:w="780" w:type="dxa"/>
          </w:tcPr>
          <w:p>
            <w:pPr>
              <w:spacing w:before="20" w:after="20"/>
            </w:pPr>
            <w:r>
              <w:rPr>
                <w:sz w:val="18"/>
                <w:szCs w:val="18"/>
              </w:rPr>
              <w:t xml:space="preserve">12.5</w:t>
            </w:r>
          </w:p>
        </w:tc>
        <w:tc>
          <w:tcPr>
            <w:tcW w:w="780" w:type="dxa"/>
          </w:tcPr>
          <w:p>
            <w:pPr>
              <w:spacing w:before="20" w:after="20"/>
            </w:pPr>
            <w:r>
              <w:rPr>
                <w:sz w:val="18"/>
                <w:szCs w:val="18"/>
              </w:rPr>
              <w:t xml:space="preserve">0.5</w:t>
            </w:r>
          </w:p>
        </w:tc>
        <w:tc>
          <w:tcPr>
            <w:tcW w:w="780" w:type="dxa"/>
          </w:tcPr>
          <w:p>
            <w:pPr>
              <w:spacing w:before="20" w:after="20"/>
            </w:pPr>
            <w:r>
              <w:rPr>
                <w:sz w:val="18"/>
                <w:szCs w:val="18"/>
              </w:rPr>
              <w:t xml:space="preserve">1.0</w:t>
            </w:r>
          </w:p>
        </w:tc>
        <w:tc>
          <w:tcPr>
            <w:tcW w:w="780" w:type="dxa"/>
          </w:tcPr>
          <w:p>
            <w:pPr>
              <w:spacing w:before="20" w:after="20"/>
            </w:pPr>
            <w:r>
              <w:rPr>
                <w:sz w:val="18"/>
                <w:szCs w:val="18"/>
              </w:rPr>
              <w:t xml:space="preserve">0.5</w:t>
            </w:r>
          </w:p>
        </w:tc>
        <w:tc>
          <w:tcPr>
            <w:tcW w:w="780" w:type="dxa"/>
          </w:tcPr>
          <w:p>
            <w:pPr>
              <w:spacing w:before="20" w:after="20"/>
            </w:pPr>
            <w:r>
              <w:rPr>
                <w:sz w:val="18"/>
                <w:szCs w:val="18"/>
              </w:rPr>
              <w:t xml:space="preserve">Rem</w:t>
            </w:r>
          </w:p>
        </w:tc>
        <w:tc>
          <w:tcPr>
            <w:tcW w:w="780" w:type="dxa"/>
          </w:tcPr>
          <w:p>
            <w:pPr>
              <w:spacing w:before="20" w:after="20"/>
            </w:pPr>
            <w:r>
              <w:rPr>
                <w:sz w:val="18"/>
                <w:szCs w:val="18"/>
              </w:rPr>
              <w:t xml:space="preserve">13.3</w:t>
            </w:r>
          </w:p>
        </w:tc>
        <w:tc>
          <w:tcPr>
            <w:tcW w:w="780" w:type="dxa"/>
          </w:tcPr>
          <w:p>
            <w:pPr>
              <w:spacing w:before="20" w:after="20"/>
            </w:pPr>
            <w:r>
              <w:rPr>
                <w:sz w:val="18"/>
                <w:szCs w:val="18"/>
              </w:rPr>
              <w:t xml:space="preserve">1.8</w:t>
            </w:r>
          </w:p>
        </w:tc>
        <w:tc>
          <w:tcPr>
            <w:tcW w:w="780" w:type="dxa"/>
          </w:tcPr>
          <w:p>
            <w:pPr>
              <w:spacing w:before="20" w:after="20"/>
            </w:pPr>
            <w:r>
              <w:rPr>
                <w:sz w:val="18"/>
                <w:szCs w:val="18"/>
              </w:rPr>
              <w:t xml:space="preserve">Ferritic applications</w:t>
            </w:r>
          </w:p>
        </w:tc>
      </w:tr>
      <w:tr>
        <w:tc>
          <w:tcPr>
            <w:tcW w:w="780" w:type="dxa"/>
          </w:tcPr>
          <w:p>
            <w:pPr>
              <w:spacing w:before="20" w:after="20"/>
            </w:pPr>
            <w:r>
              <w:rPr>
                <w:sz w:val="18"/>
                <w:szCs w:val="18"/>
              </w:rPr>
              <w:t xml:space="preserve">Filler</w:t>
            </w:r>
          </w:p>
        </w:tc>
        <w:tc>
          <w:tcPr>
            <w:tcW w:w="780" w:type="dxa"/>
          </w:tcPr>
          <w:p>
            <w:pPr>
              <w:spacing w:before="20" w:after="20"/>
            </w:pPr>
            <w:r>
              <w:rPr>
                <w:sz w:val="18"/>
                <w:szCs w:val="18"/>
              </w:rPr>
              <w:t xml:space="preserve">FW 309L</w:t>
            </w:r>
          </w:p>
        </w:tc>
        <w:tc>
          <w:tcPr>
            <w:tcW w:w="780" w:type="dxa"/>
          </w:tcPr>
          <w:p>
            <w:pPr>
              <w:spacing w:before="20" w:after="20"/>
            </w:pPr>
            <w:r>
              <w:rPr>
                <w:sz w:val="18"/>
                <w:szCs w:val="18"/>
              </w:rPr>
              <w:t xml:space="preserve">0.02</w:t>
            </w:r>
          </w:p>
        </w:tc>
        <w:tc>
          <w:tcPr>
            <w:tcW w:w="780" w:type="dxa"/>
          </w:tcPr>
          <w:p>
            <w:pPr>
              <w:spacing w:before="20" w:after="20"/>
            </w:pPr>
            <w:r>
              <w:rPr>
                <w:sz w:val="18"/>
                <w:szCs w:val="18"/>
              </w:rPr>
              <w:t xml:space="preserve">12.0</w:t>
            </w:r>
          </w:p>
        </w:tc>
        <w:tc>
          <w:tcPr>
            <w:tcW w:w="780" w:type="dxa"/>
          </w:tcPr>
          <w:p>
            <w:pPr>
              <w:spacing w:before="20" w:after="20"/>
            </w:pPr>
            <w:r>
              <w:rPr>
                <w:sz w:val="18"/>
                <w:szCs w:val="18"/>
              </w:rPr>
              <w:t xml:space="preserve">23.0</w:t>
            </w:r>
          </w:p>
        </w:tc>
        <w:tc>
          <w:tcPr>
            <w:tcW w:w="780" w:type="dxa"/>
          </w:tcPr>
          <w:p>
            <w:pPr>
              <w:spacing w:before="20" w:after="20"/>
            </w:pPr>
            <w:r>
              <w:rPr>
                <w:sz w:val="18"/>
                <w:szCs w:val="18"/>
              </w:rPr>
              <w:t xml:space="preserve">0.6</w:t>
            </w:r>
          </w:p>
        </w:tc>
        <w:tc>
          <w:tcPr>
            <w:tcW w:w="780" w:type="dxa"/>
          </w:tcPr>
          <w:p>
            <w:pPr>
              <w:spacing w:before="20" w:after="20"/>
            </w:pPr>
            <w:r>
              <w:rPr>
                <w:sz w:val="18"/>
                <w:szCs w:val="18"/>
              </w:rPr>
              <w:t xml:space="preserve">1.5</w:t>
            </w:r>
          </w:p>
        </w:tc>
        <w:tc>
          <w:tcPr>
            <w:tcW w:w="780" w:type="dxa"/>
          </w:tcPr>
          <w:p>
            <w:pPr>
              <w:spacing w:before="20" w:after="20"/>
            </w:pPr>
            <w:r>
              <w:rPr>
                <w:sz w:val="18"/>
                <w:szCs w:val="18"/>
              </w:rPr>
              <w:t xml:space="preserve">0.3</w:t>
            </w:r>
          </w:p>
        </w:tc>
        <w:tc>
          <w:tcPr>
            <w:tcW w:w="780" w:type="dxa"/>
          </w:tcPr>
          <w:p>
            <w:pPr>
              <w:spacing w:before="20" w:after="20"/>
            </w:pPr>
            <w:r>
              <w:rPr>
                <w:sz w:val="18"/>
                <w:szCs w:val="18"/>
              </w:rPr>
              <w:t xml:space="preserve">Rem</w:t>
            </w:r>
          </w:p>
        </w:tc>
        <w:tc>
          <w:tcPr>
            <w:tcW w:w="780" w:type="dxa"/>
          </w:tcPr>
          <w:p>
            <w:pPr>
              <w:spacing w:before="20" w:after="20"/>
            </w:pPr>
            <w:r>
              <w:rPr>
                <w:sz w:val="18"/>
                <w:szCs w:val="18"/>
              </w:rPr>
              <w:t xml:space="preserve">23.9</w:t>
            </w:r>
          </w:p>
        </w:tc>
        <w:tc>
          <w:tcPr>
            <w:tcW w:w="780" w:type="dxa"/>
          </w:tcPr>
          <w:p>
            <w:pPr>
              <w:spacing w:before="20" w:after="20"/>
            </w:pPr>
            <w:r>
              <w:rPr>
                <w:sz w:val="18"/>
                <w:szCs w:val="18"/>
              </w:rPr>
              <w:t xml:space="preserve">13.8</w:t>
            </w:r>
          </w:p>
        </w:tc>
        <w:tc>
          <w:tcPr>
            <w:tcW w:w="780" w:type="dxa"/>
          </w:tcPr>
          <w:p>
            <w:pPr>
              <w:spacing w:before="20" w:after="20"/>
            </w:pPr>
            <w:r>
              <w:rPr>
                <w:sz w:val="18"/>
                <w:szCs w:val="18"/>
              </w:rPr>
              <w:t xml:space="preserve">Dissimilar welding, high-temp</w:t>
            </w:r>
          </w:p>
        </w:tc>
      </w:tr>
      <w:tr>
        <w:tc>
          <w:tcPr>
            <w:tcW w:w="780" w:type="dxa"/>
          </w:tcPr>
          <w:p>
            <w:pPr>
              <w:spacing w:before="20" w:after="20"/>
            </w:pPr>
            <w:r>
              <w:rPr>
                <w:sz w:val="18"/>
                <w:szCs w:val="18"/>
              </w:rPr>
              <w:t xml:space="preserve">Filler</w:t>
            </w:r>
          </w:p>
        </w:tc>
        <w:tc>
          <w:tcPr>
            <w:tcW w:w="780" w:type="dxa"/>
          </w:tcPr>
          <w:p>
            <w:pPr>
              <w:spacing w:before="20" w:after="20"/>
            </w:pPr>
            <w:r>
              <w:rPr>
                <w:sz w:val="18"/>
                <w:szCs w:val="18"/>
              </w:rPr>
              <w:t xml:space="preserve">FW 410</w:t>
            </w:r>
          </w:p>
        </w:tc>
        <w:tc>
          <w:tcPr>
            <w:tcW w:w="780" w:type="dxa"/>
          </w:tcPr>
          <w:p>
            <w:pPr>
              <w:spacing w:before="20" w:after="20"/>
            </w:pPr>
            <w:r>
              <w:rPr>
                <w:sz w:val="18"/>
                <w:szCs w:val="18"/>
              </w:rPr>
              <w:t xml:space="preserve">0.08</w:t>
            </w:r>
          </w:p>
        </w:tc>
        <w:tc>
          <w:tcPr>
            <w:tcW w:w="780" w:type="dxa"/>
          </w:tcPr>
          <w:p>
            <w:pPr>
              <w:spacing w:before="20" w:after="20"/>
            </w:pPr>
            <w:r>
              <w:rPr>
                <w:sz w:val="18"/>
                <w:szCs w:val="18"/>
              </w:rPr>
              <w:t xml:space="preserve">0.6</w:t>
            </w:r>
          </w:p>
        </w:tc>
        <w:tc>
          <w:tcPr>
            <w:tcW w:w="780" w:type="dxa"/>
          </w:tcPr>
          <w:p>
            <w:pPr>
              <w:spacing w:before="20" w:after="20"/>
            </w:pPr>
            <w:r>
              <w:rPr>
                <w:sz w:val="18"/>
                <w:szCs w:val="18"/>
              </w:rPr>
              <w:t xml:space="preserve">12.5</w:t>
            </w:r>
          </w:p>
        </w:tc>
        <w:tc>
          <w:tcPr>
            <w:tcW w:w="780" w:type="dxa"/>
          </w:tcPr>
          <w:p>
            <w:pPr>
              <w:spacing w:before="20" w:after="20"/>
            </w:pPr>
            <w:r>
              <w:rPr>
                <w:sz w:val="18"/>
                <w:szCs w:val="18"/>
              </w:rPr>
              <w:t xml:space="preserve">0.5</w:t>
            </w:r>
          </w:p>
        </w:tc>
        <w:tc>
          <w:tcPr>
            <w:tcW w:w="780" w:type="dxa"/>
          </w:tcPr>
          <w:p>
            <w:pPr>
              <w:spacing w:before="20" w:after="20"/>
            </w:pPr>
            <w:r>
              <w:rPr>
                <w:sz w:val="18"/>
                <w:szCs w:val="18"/>
              </w:rPr>
              <w:t xml:space="preserve">1.0</w:t>
            </w:r>
          </w:p>
        </w:tc>
        <w:tc>
          <w:tcPr>
            <w:tcW w:w="780" w:type="dxa"/>
          </w:tcPr>
          <w:p>
            <w:pPr>
              <w:spacing w:before="20" w:after="20"/>
            </w:pPr>
            <w:r>
              <w:rPr>
                <w:sz w:val="18"/>
                <w:szCs w:val="18"/>
              </w:rPr>
              <w:t xml:space="preserve">0.5</w:t>
            </w:r>
          </w:p>
        </w:tc>
        <w:tc>
          <w:tcPr>
            <w:tcW w:w="780" w:type="dxa"/>
          </w:tcPr>
          <w:p>
            <w:pPr>
              <w:spacing w:before="20" w:after="20"/>
            </w:pPr>
            <w:r>
              <w:rPr>
                <w:sz w:val="18"/>
                <w:szCs w:val="18"/>
              </w:rPr>
              <w:t xml:space="preserve">Rem</w:t>
            </w:r>
          </w:p>
        </w:tc>
        <w:tc>
          <w:tcPr>
            <w:tcW w:w="780" w:type="dxa"/>
          </w:tcPr>
          <w:p>
            <w:pPr>
              <w:spacing w:before="20" w:after="20"/>
            </w:pPr>
            <w:r>
              <w:rPr>
                <w:sz w:val="18"/>
                <w:szCs w:val="18"/>
              </w:rPr>
              <w:t xml:space="preserve">13.3</w:t>
            </w:r>
          </w:p>
        </w:tc>
        <w:tc>
          <w:tcPr>
            <w:tcW w:w="780" w:type="dxa"/>
          </w:tcPr>
          <w:p>
            <w:pPr>
              <w:spacing w:before="20" w:after="20"/>
            </w:pPr>
            <w:r>
              <w:rPr>
                <w:sz w:val="18"/>
                <w:szCs w:val="18"/>
              </w:rPr>
              <w:t xml:space="preserve">2.0</w:t>
            </w:r>
          </w:p>
        </w:tc>
        <w:tc>
          <w:tcPr>
            <w:tcW w:w="780" w:type="dxa"/>
          </w:tcPr>
          <w:p>
            <w:pPr>
              <w:spacing w:before="20" w:after="20"/>
            </w:pPr>
            <w:r>
              <w:rPr>
                <w:sz w:val="18"/>
                <w:szCs w:val="18"/>
              </w:rPr>
              <w:t xml:space="preserve">Matching SS 410 welds</w:t>
            </w:r>
          </w:p>
        </w:tc>
      </w:tr>
      <w:tr>
        <w:tc>
          <w:tcPr>
            <w:tcW w:w="780" w:type="dxa"/>
          </w:tcPr>
          <w:p>
            <w:pPr>
              <w:spacing w:before="20" w:after="20"/>
            </w:pPr>
            <w:r>
              <w:rPr>
                <w:sz w:val="18"/>
                <w:szCs w:val="18"/>
              </w:rPr>
              <w:t xml:space="preserve">Filler</w:t>
            </w:r>
          </w:p>
        </w:tc>
        <w:tc>
          <w:tcPr>
            <w:tcW w:w="780" w:type="dxa"/>
          </w:tcPr>
          <w:p>
            <w:pPr>
              <w:spacing w:before="20" w:after="20"/>
            </w:pPr>
            <w:r>
              <w:rPr>
                <w:sz w:val="18"/>
                <w:szCs w:val="18"/>
              </w:rPr>
              <w:t xml:space="preserve">FW 2594</w:t>
            </w:r>
          </w:p>
        </w:tc>
        <w:tc>
          <w:tcPr>
            <w:tcW w:w="780" w:type="dxa"/>
          </w:tcPr>
          <w:p>
            <w:pPr>
              <w:spacing w:before="20" w:after="20"/>
            </w:pPr>
            <w:r>
              <w:rPr>
                <w:sz w:val="18"/>
                <w:szCs w:val="18"/>
              </w:rPr>
              <w:t xml:space="preserve">0.017</w:t>
            </w:r>
          </w:p>
        </w:tc>
        <w:tc>
          <w:tcPr>
            <w:tcW w:w="780" w:type="dxa"/>
          </w:tcPr>
          <w:p>
            <w:pPr>
              <w:spacing w:before="20" w:after="20"/>
            </w:pPr>
            <w:r>
              <w:rPr>
                <w:sz w:val="18"/>
                <w:szCs w:val="18"/>
              </w:rPr>
              <w:t xml:space="preserve">9.5</w:t>
            </w:r>
          </w:p>
        </w:tc>
        <w:tc>
          <w:tcPr>
            <w:tcW w:w="780" w:type="dxa"/>
          </w:tcPr>
          <w:p>
            <w:pPr>
              <w:spacing w:before="20" w:after="20"/>
            </w:pPr>
            <w:r>
              <w:rPr>
                <w:sz w:val="18"/>
                <w:szCs w:val="18"/>
              </w:rPr>
              <w:t xml:space="preserve">24.9</w:t>
            </w:r>
          </w:p>
        </w:tc>
        <w:tc>
          <w:tcPr>
            <w:tcW w:w="780" w:type="dxa"/>
          </w:tcPr>
          <w:p>
            <w:pPr>
              <w:spacing w:before="20" w:after="20"/>
            </w:pPr>
            <w:r>
              <w:rPr>
                <w:sz w:val="18"/>
                <w:szCs w:val="18"/>
              </w:rPr>
              <w:t xml:space="preserve">0.5</w:t>
            </w:r>
          </w:p>
        </w:tc>
        <w:tc>
          <w:tcPr>
            <w:tcW w:w="780" w:type="dxa"/>
          </w:tcPr>
          <w:p>
            <w:pPr>
              <w:spacing w:before="20" w:after="20"/>
            </w:pPr>
            <w:r>
              <w:rPr>
                <w:sz w:val="18"/>
                <w:szCs w:val="18"/>
              </w:rPr>
              <w:t xml:space="preserve">0.6</w:t>
            </w:r>
          </w:p>
        </w:tc>
        <w:tc>
          <w:tcPr>
            <w:tcW w:w="780" w:type="dxa"/>
          </w:tcPr>
          <w:p>
            <w:pPr>
              <w:spacing w:before="20" w:after="20"/>
            </w:pPr>
            <w:r>
              <w:rPr>
                <w:sz w:val="18"/>
                <w:szCs w:val="18"/>
              </w:rPr>
              <w:t xml:space="preserve">3.85</w:t>
            </w:r>
          </w:p>
        </w:tc>
        <w:tc>
          <w:tcPr>
            <w:tcW w:w="780" w:type="dxa"/>
          </w:tcPr>
          <w:p>
            <w:pPr>
              <w:spacing w:before="20" w:after="20"/>
            </w:pPr>
            <w:r>
              <w:rPr>
                <w:sz w:val="18"/>
                <w:szCs w:val="18"/>
              </w:rPr>
              <w:t xml:space="preserve">Rem</w:t>
            </w:r>
          </w:p>
        </w:tc>
        <w:tc>
          <w:tcPr>
            <w:tcW w:w="780" w:type="dxa"/>
          </w:tcPr>
          <w:p>
            <w:pPr>
              <w:spacing w:before="20" w:after="20"/>
            </w:pPr>
            <w:r>
              <w:rPr>
                <w:sz w:val="18"/>
                <w:szCs w:val="18"/>
              </w:rPr>
              <w:t xml:space="preserve">30.8</w:t>
            </w:r>
          </w:p>
        </w:tc>
        <w:tc>
          <w:tcPr>
            <w:tcW w:w="780" w:type="dxa"/>
          </w:tcPr>
          <w:p>
            <w:pPr>
              <w:spacing w:before="20" w:after="20"/>
            </w:pPr>
            <w:r>
              <w:rPr>
                <w:sz w:val="18"/>
                <w:szCs w:val="18"/>
              </w:rPr>
              <w:t xml:space="preserve">12.56</w:t>
            </w:r>
          </w:p>
        </w:tc>
        <w:tc>
          <w:tcPr>
            <w:tcW w:w="780" w:type="dxa"/>
          </w:tcPr>
          <w:p>
            <w:pPr>
              <w:spacing w:before="20" w:after="20"/>
            </w:pPr>
            <w:r>
              <w:rPr>
                <w:sz w:val="18"/>
                <w:szCs w:val="18"/>
              </w:rPr>
              <w:t xml:space="preserve">Corrosion-resistant duplex welds</w:t>
            </w:r>
          </w:p>
        </w:tc>
      </w:tr>
    </w:tbl>
    <w:p>
      <w:pPr>
        <w:spacing w:after="120"/>
      </w:pPr>
    </w:p>
    <w:p>
      <w:pPr>
        <w:spacing w:before="0" w:after="160"/>
      </w:pPr>
      <w:r>
        <w:rPr>
          <w:i/>
          <w:sz w:val="20"/>
          <w:szCs w:val="20"/>
          <w:highlight w:val="yellow"/>
        </w:rPr>
        <w:t xml:space="preserve">Table 2. Nominal (as-supplied) mechanical properties of AISI 430 base metal and the filler wires (ER309L, ER410, ER2594), taken from manufacturer datasheets (AWS A5.9 / EN ISO 14343). These are reference properties of the consumables and are not weld-joint measurements.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337"/>
        <w:gridCol w:w="1337"/>
        <w:gridCol w:w="1337"/>
        <w:gridCol w:w="1337"/>
        <w:gridCol w:w="1337"/>
        <w:gridCol w:w="1337"/>
        <w:gridCol w:w="1337"/>
      </w:tblGrid>
      <w:tr>
        <w:tc>
          <w:tcPr>
            <w:tcW w:w="1337" w:type="dxa"/>
            <w:shd w:val="clear" w:color="auto" w:fill="D9D9D9"/>
          </w:tcPr>
          <w:p>
            <w:pPr>
              <w:spacing w:before="20" w:after="20"/>
            </w:pPr>
            <w:r>
              <w:rPr>
                <w:b/>
                <w:sz w:val="18"/>
                <w:szCs w:val="18"/>
              </w:rPr>
              <w:t xml:space="preserve">Material</w:t>
            </w:r>
          </w:p>
        </w:tc>
        <w:tc>
          <w:tcPr>
            <w:tcW w:w="1337" w:type="dxa"/>
            <w:shd w:val="clear" w:color="auto" w:fill="D9D9D9"/>
          </w:tcPr>
          <w:p>
            <w:pPr>
              <w:spacing w:before="20" w:after="20"/>
            </w:pPr>
            <w:r>
              <w:rPr>
                <w:b/>
                <w:sz w:val="18"/>
                <w:szCs w:val="18"/>
              </w:rPr>
              <w:t xml:space="preserve">Yield (MPa)</w:t>
            </w:r>
          </w:p>
        </w:tc>
        <w:tc>
          <w:tcPr>
            <w:tcW w:w="1337" w:type="dxa"/>
            <w:shd w:val="clear" w:color="auto" w:fill="D9D9D9"/>
          </w:tcPr>
          <w:p>
            <w:pPr>
              <w:spacing w:before="20" w:after="20"/>
            </w:pPr>
            <w:r>
              <w:rPr>
                <w:b/>
                <w:sz w:val="18"/>
                <w:szCs w:val="18"/>
              </w:rPr>
              <w:t xml:space="preserve">Tensile (MPa)</w:t>
            </w:r>
          </w:p>
        </w:tc>
        <w:tc>
          <w:tcPr>
            <w:tcW w:w="1337" w:type="dxa"/>
            <w:shd w:val="clear" w:color="auto" w:fill="D9D9D9"/>
          </w:tcPr>
          <w:p>
            <w:pPr>
              <w:spacing w:before="20" w:after="20"/>
            </w:pPr>
            <w:r>
              <w:rPr>
                <w:b/>
                <w:sz w:val="18"/>
                <w:szCs w:val="18"/>
              </w:rPr>
              <w:t xml:space="preserve">Elong. (%)</w:t>
            </w:r>
          </w:p>
        </w:tc>
        <w:tc>
          <w:tcPr>
            <w:tcW w:w="1337" w:type="dxa"/>
            <w:shd w:val="clear" w:color="auto" w:fill="D9D9D9"/>
          </w:tcPr>
          <w:p>
            <w:pPr>
              <w:spacing w:before="20" w:after="20"/>
            </w:pPr>
            <w:r>
              <w:rPr>
                <w:b/>
                <w:sz w:val="18"/>
                <w:szCs w:val="18"/>
              </w:rPr>
              <w:t xml:space="preserve">Hardness (VHN)</w:t>
            </w:r>
          </w:p>
        </w:tc>
        <w:tc>
          <w:tcPr>
            <w:tcW w:w="1337" w:type="dxa"/>
            <w:shd w:val="clear" w:color="auto" w:fill="D9D9D9"/>
          </w:tcPr>
          <w:p>
            <w:pPr>
              <w:spacing w:before="20" w:after="20"/>
            </w:pPr>
            <w:r>
              <w:rPr>
                <w:b/>
                <w:sz w:val="18"/>
                <w:szCs w:val="18"/>
              </w:rPr>
              <w:t xml:space="preserve">Impact (J)</w:t>
            </w:r>
          </w:p>
        </w:tc>
        <w:tc>
          <w:tcPr>
            <w:tcW w:w="1337" w:type="dxa"/>
            <w:shd w:val="clear" w:color="auto" w:fill="D9D9D9"/>
          </w:tcPr>
          <w:p>
            <w:pPr>
              <w:spacing w:before="20" w:after="20"/>
            </w:pPr>
            <w:r>
              <w:rPr>
                <w:b/>
                <w:sz w:val="18"/>
                <w:szCs w:val="18"/>
              </w:rPr>
              <w:t xml:space="preserve">Notable properties</w:t>
            </w:r>
          </w:p>
        </w:tc>
      </w:tr>
      <w:tr>
        <w:tc>
          <w:tcPr>
            <w:tcW w:w="1337" w:type="dxa"/>
          </w:tcPr>
          <w:p>
            <w:pPr>
              <w:spacing w:before="20" w:after="20"/>
            </w:pPr>
            <w:r>
              <w:rPr>
                <w:sz w:val="18"/>
                <w:szCs w:val="18"/>
              </w:rPr>
              <w:t xml:space="preserve">SS 430</w:t>
            </w:r>
          </w:p>
        </w:tc>
        <w:tc>
          <w:tcPr>
            <w:tcW w:w="1337" w:type="dxa"/>
          </w:tcPr>
          <w:p>
            <w:pPr>
              <w:spacing w:before="20" w:after="20"/>
            </w:pPr>
            <w:r>
              <w:rPr>
                <w:sz w:val="18"/>
                <w:szCs w:val="18"/>
              </w:rPr>
              <w:t xml:space="preserve">500 ± 15</w:t>
            </w:r>
          </w:p>
        </w:tc>
        <w:tc>
          <w:tcPr>
            <w:tcW w:w="1337" w:type="dxa"/>
          </w:tcPr>
          <w:p>
            <w:pPr>
              <w:spacing w:before="20" w:after="20"/>
            </w:pPr>
            <w:r>
              <w:rPr>
                <w:sz w:val="18"/>
                <w:szCs w:val="18"/>
              </w:rPr>
              <w:t xml:space="preserve">700 ± 20</w:t>
            </w:r>
          </w:p>
        </w:tc>
        <w:tc>
          <w:tcPr>
            <w:tcW w:w="1337" w:type="dxa"/>
          </w:tcPr>
          <w:p>
            <w:pPr>
              <w:spacing w:before="20" w:after="20"/>
            </w:pPr>
            <w:r>
              <w:rPr>
                <w:sz w:val="18"/>
                <w:szCs w:val="18"/>
              </w:rPr>
              <w:t xml:space="preserve">18 ± 2</w:t>
            </w:r>
          </w:p>
        </w:tc>
        <w:tc>
          <w:tcPr>
            <w:tcW w:w="1337" w:type="dxa"/>
          </w:tcPr>
          <w:p>
            <w:pPr>
              <w:spacing w:before="20" w:after="20"/>
            </w:pPr>
            <w:r>
              <w:rPr>
                <w:sz w:val="18"/>
                <w:szCs w:val="18"/>
              </w:rPr>
              <w:t xml:space="preserve">225 ± 10</w:t>
            </w:r>
          </w:p>
        </w:tc>
        <w:tc>
          <w:tcPr>
            <w:tcW w:w="1337" w:type="dxa"/>
          </w:tcPr>
          <w:p>
            <w:pPr>
              <w:spacing w:before="20" w:after="20"/>
            </w:pPr>
            <w:r>
              <w:rPr>
                <w:sz w:val="18"/>
                <w:szCs w:val="18"/>
              </w:rPr>
              <w:t xml:space="preserve">38 ± 3</w:t>
            </w:r>
          </w:p>
        </w:tc>
        <w:tc>
          <w:tcPr>
            <w:tcW w:w="1337" w:type="dxa"/>
          </w:tcPr>
          <w:p>
            <w:pPr>
              <w:spacing w:before="20" w:after="20"/>
            </w:pPr>
            <w:r>
              <w:rPr>
                <w:sz w:val="18"/>
                <w:szCs w:val="18"/>
              </w:rPr>
              <w:t xml:space="preserve">Ferritic, moderate corrosion resistance</w:t>
            </w:r>
          </w:p>
        </w:tc>
      </w:tr>
      <w:tr>
        <w:tc>
          <w:tcPr>
            <w:tcW w:w="1337" w:type="dxa"/>
          </w:tcPr>
          <w:p>
            <w:pPr>
              <w:spacing w:before="20" w:after="20"/>
            </w:pPr>
            <w:r>
              <w:rPr>
                <w:sz w:val="18"/>
                <w:szCs w:val="18"/>
              </w:rPr>
              <w:t xml:space="preserve">ER 309L</w:t>
            </w:r>
          </w:p>
        </w:tc>
        <w:tc>
          <w:tcPr>
            <w:tcW w:w="1337" w:type="dxa"/>
          </w:tcPr>
          <w:p>
            <w:pPr>
              <w:spacing w:before="20" w:after="20"/>
            </w:pPr>
            <w:r>
              <w:rPr>
                <w:sz w:val="18"/>
                <w:szCs w:val="18"/>
              </w:rPr>
              <w:t xml:space="preserve">400 ± 12</w:t>
            </w:r>
          </w:p>
        </w:tc>
        <w:tc>
          <w:tcPr>
            <w:tcW w:w="1337" w:type="dxa"/>
          </w:tcPr>
          <w:p>
            <w:pPr>
              <w:spacing w:before="20" w:after="20"/>
            </w:pPr>
            <w:r>
              <w:rPr>
                <w:sz w:val="18"/>
                <w:szCs w:val="18"/>
              </w:rPr>
              <w:t xml:space="preserve">650 ± 18</w:t>
            </w:r>
          </w:p>
        </w:tc>
        <w:tc>
          <w:tcPr>
            <w:tcW w:w="1337" w:type="dxa"/>
          </w:tcPr>
          <w:p>
            <w:pPr>
              <w:spacing w:before="20" w:after="20"/>
            </w:pPr>
            <w:r>
              <w:rPr>
                <w:sz w:val="18"/>
                <w:szCs w:val="18"/>
              </w:rPr>
              <w:t xml:space="preserve">35 ± 3</w:t>
            </w:r>
          </w:p>
        </w:tc>
        <w:tc>
          <w:tcPr>
            <w:tcW w:w="1337" w:type="dxa"/>
          </w:tcPr>
          <w:p>
            <w:pPr>
              <w:spacing w:before="20" w:after="20"/>
            </w:pPr>
            <w:r>
              <w:rPr>
                <w:sz w:val="18"/>
                <w:szCs w:val="18"/>
              </w:rPr>
              <w:t xml:space="preserve">175 ± 8</w:t>
            </w:r>
          </w:p>
        </w:tc>
        <w:tc>
          <w:tcPr>
            <w:tcW w:w="1337" w:type="dxa"/>
          </w:tcPr>
          <w:p>
            <w:pPr>
              <w:spacing w:before="20" w:after="20"/>
            </w:pPr>
            <w:r>
              <w:rPr>
                <w:sz w:val="18"/>
                <w:szCs w:val="18"/>
              </w:rPr>
              <w:t xml:space="preserve">125 ± 8</w:t>
            </w:r>
          </w:p>
        </w:tc>
        <w:tc>
          <w:tcPr>
            <w:tcW w:w="1337" w:type="dxa"/>
          </w:tcPr>
          <w:p>
            <w:pPr>
              <w:spacing w:before="20" w:after="20"/>
            </w:pPr>
            <w:r>
              <w:rPr>
                <w:sz w:val="18"/>
                <w:szCs w:val="18"/>
              </w:rPr>
              <w:t xml:space="preserve">Austenitic, excellent crack resistance</w:t>
            </w:r>
          </w:p>
        </w:tc>
      </w:tr>
      <w:tr>
        <w:tc>
          <w:tcPr>
            <w:tcW w:w="1337" w:type="dxa"/>
          </w:tcPr>
          <w:p>
            <w:pPr>
              <w:spacing w:before="20" w:after="20"/>
            </w:pPr>
            <w:r>
              <w:rPr>
                <w:sz w:val="18"/>
                <w:szCs w:val="18"/>
              </w:rPr>
              <w:t xml:space="preserve">ER 410</w:t>
            </w:r>
          </w:p>
        </w:tc>
        <w:tc>
          <w:tcPr>
            <w:tcW w:w="1337" w:type="dxa"/>
          </w:tcPr>
          <w:p>
            <w:pPr>
              <w:spacing w:before="20" w:after="20"/>
            </w:pPr>
            <w:r>
              <w:rPr>
                <w:sz w:val="18"/>
                <w:szCs w:val="18"/>
              </w:rPr>
              <w:t xml:space="preserve">550 ± 25</w:t>
            </w:r>
          </w:p>
        </w:tc>
        <w:tc>
          <w:tcPr>
            <w:tcW w:w="1337" w:type="dxa"/>
          </w:tcPr>
          <w:p>
            <w:pPr>
              <w:spacing w:before="20" w:after="20"/>
            </w:pPr>
            <w:r>
              <w:rPr>
                <w:sz w:val="18"/>
                <w:szCs w:val="18"/>
              </w:rPr>
              <w:t xml:space="preserve">750 ± 22</w:t>
            </w:r>
          </w:p>
        </w:tc>
        <w:tc>
          <w:tcPr>
            <w:tcW w:w="1337" w:type="dxa"/>
          </w:tcPr>
          <w:p>
            <w:pPr>
              <w:spacing w:before="20" w:after="20"/>
            </w:pPr>
            <w:r>
              <w:rPr>
                <w:sz w:val="18"/>
                <w:szCs w:val="18"/>
              </w:rPr>
              <w:t xml:space="preserve">15 ± 2</w:t>
            </w:r>
          </w:p>
        </w:tc>
        <w:tc>
          <w:tcPr>
            <w:tcW w:w="1337" w:type="dxa"/>
          </w:tcPr>
          <w:p>
            <w:pPr>
              <w:spacing w:before="20" w:after="20"/>
            </w:pPr>
            <w:r>
              <w:rPr>
                <w:sz w:val="18"/>
                <w:szCs w:val="18"/>
              </w:rPr>
              <w:t xml:space="preserve">250 ± 12</w:t>
            </w:r>
          </w:p>
        </w:tc>
        <w:tc>
          <w:tcPr>
            <w:tcW w:w="1337" w:type="dxa"/>
          </w:tcPr>
          <w:p>
            <w:pPr>
              <w:spacing w:before="20" w:after="20"/>
            </w:pPr>
            <w:r>
              <w:rPr>
                <w:sz w:val="18"/>
                <w:szCs w:val="18"/>
              </w:rPr>
              <w:t xml:space="preserve">45 ± 4</w:t>
            </w:r>
          </w:p>
        </w:tc>
        <w:tc>
          <w:tcPr>
            <w:tcW w:w="1337" w:type="dxa"/>
          </w:tcPr>
          <w:p>
            <w:pPr>
              <w:spacing w:before="20" w:after="20"/>
            </w:pPr>
            <w:r>
              <w:rPr>
                <w:sz w:val="18"/>
                <w:szCs w:val="18"/>
              </w:rPr>
              <w:t xml:space="preserve">Martensitic, typically needs PWHT</w:t>
            </w:r>
          </w:p>
        </w:tc>
      </w:tr>
      <w:tr>
        <w:tc>
          <w:tcPr>
            <w:tcW w:w="1337" w:type="dxa"/>
          </w:tcPr>
          <w:p>
            <w:pPr>
              <w:spacing w:before="20" w:after="20"/>
            </w:pPr>
            <w:r>
              <w:rPr>
                <w:sz w:val="18"/>
                <w:szCs w:val="18"/>
              </w:rPr>
              <w:t xml:space="preserve">ER 2594</w:t>
            </w:r>
          </w:p>
        </w:tc>
        <w:tc>
          <w:tcPr>
            <w:tcW w:w="1337" w:type="dxa"/>
          </w:tcPr>
          <w:p>
            <w:pPr>
              <w:spacing w:before="20" w:after="20"/>
            </w:pPr>
            <w:r>
              <w:rPr>
                <w:sz w:val="18"/>
                <w:szCs w:val="18"/>
              </w:rPr>
              <w:t xml:space="preserve">750 ± 30</w:t>
            </w:r>
          </w:p>
        </w:tc>
        <w:tc>
          <w:tcPr>
            <w:tcW w:w="1337" w:type="dxa"/>
          </w:tcPr>
          <w:p>
            <w:pPr>
              <w:spacing w:before="20" w:after="20"/>
            </w:pPr>
            <w:r>
              <w:rPr>
                <w:sz w:val="18"/>
                <w:szCs w:val="18"/>
              </w:rPr>
              <w:t xml:space="preserve">950 ± 25</w:t>
            </w:r>
          </w:p>
        </w:tc>
        <w:tc>
          <w:tcPr>
            <w:tcW w:w="1337" w:type="dxa"/>
          </w:tcPr>
          <w:p>
            <w:pPr>
              <w:spacing w:before="20" w:after="20"/>
            </w:pPr>
            <w:r>
              <w:rPr>
                <w:sz w:val="18"/>
                <w:szCs w:val="18"/>
              </w:rPr>
              <w:t xml:space="preserve">30 ± 2</w:t>
            </w:r>
          </w:p>
        </w:tc>
        <w:tc>
          <w:tcPr>
            <w:tcW w:w="1337" w:type="dxa"/>
          </w:tcPr>
          <w:p>
            <w:pPr>
              <w:spacing w:before="20" w:after="20"/>
            </w:pPr>
            <w:r>
              <w:rPr>
                <w:sz w:val="18"/>
                <w:szCs w:val="18"/>
              </w:rPr>
              <w:t xml:space="preserve">300 ± 15</w:t>
            </w:r>
          </w:p>
        </w:tc>
        <w:tc>
          <w:tcPr>
            <w:tcW w:w="1337" w:type="dxa"/>
          </w:tcPr>
          <w:p>
            <w:pPr>
              <w:spacing w:before="20" w:after="20"/>
            </w:pPr>
            <w:r>
              <w:rPr>
                <w:sz w:val="18"/>
                <w:szCs w:val="18"/>
              </w:rPr>
              <w:t xml:space="preserve">100 ± 6</w:t>
            </w:r>
          </w:p>
        </w:tc>
        <w:tc>
          <w:tcPr>
            <w:tcW w:w="1337" w:type="dxa"/>
          </w:tcPr>
          <w:p>
            <w:pPr>
              <w:spacing w:before="20" w:after="20"/>
            </w:pPr>
            <w:r>
              <w:rPr>
                <w:sz w:val="18"/>
                <w:szCs w:val="18"/>
              </w:rPr>
              <w:t xml:space="preserve">Super-duplex, superior pitting/crevice</w:t>
            </w:r>
          </w:p>
        </w:tc>
      </w:tr>
    </w:tbl>
    <w:p>
      <w:pPr>
        <w:spacing w:after="120"/>
      </w:pPr>
    </w:p>
    <w:p>
      <w:pPr>
        <w:spacing w:before="0" w:after="120"/>
      </w:pPr>
      <w:r>
        <w:t xml:space="preserve">Welding parameters (Table 3) were established from ferritic-stainless-steel guidelines and preliminary trials, prioritising full penetration of the 12 mm plates while controlling heat input to limit HAZ grain coarsening, sensitisation, and embrittlement. A higher-energy root pass was followed by lower-energy filler passes to reduce cumulative thermal effects. All welds used DCEP polarity, 110 A, a 150 °C interpass temperature, and a </w:t>
      </w:r>
      <w:r>
        <w:rPr>
          <w:highlight w:val="yellow"/>
        </w:rPr>
        <w:t xml:space="preserve">15 L/min</w:t>
      </w:r>
      <w:r>
        <w:t xml:space="preserve"> shielding-gas flow. A four-pass sequence was adopted to mirror industrial practice for 10–15 mm ferritic plate, limiting per-pass heat input and promoting beneficial interpass tempering.</w:t>
      </w:r>
    </w:p>
    <w:p>
      <w:pPr>
        <w:spacing w:before="0" w:after="120"/>
      </w:pPr>
      <w:r>
        <w:t xml:space="preserve">Heat input was calculated as Heat Input (kJ/mm) = (η × V × I) / (S × 1000) (Eq. 1), where η = 0.8 (arc efficiency), V = voltage, I = current (A), and S = travel speed (mm/s). The root pass (14 V, 150 A, 90 mm/min) gave ≈ 0.84 kJ/mm and each filler pass (12 V, 135 A, 80 mm/min) ≈ 0.729 kJ/mm, for a cumulative input of 2.98 kJ/mm across four passes.</w:t>
      </w:r>
    </w:p>
    <w:p>
      <w:pPr>
        <w:spacing w:before="0" w:after="160"/>
      </w:pPr>
      <w:r>
        <w:rPr>
          <w:i/>
          <w:sz w:val="20"/>
          <w:szCs w:val="20"/>
        </w:rPr>
        <w:t xml:space="preserve">Table 3. MIG (GMAW) welding parameters and process specifications.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c>
          <w:tcPr>
            <w:tcW w:w="4680" w:type="dxa"/>
            <w:shd w:val="clear" w:color="auto" w:fill="D9D9D9"/>
          </w:tcPr>
          <w:p>
            <w:pPr>
              <w:spacing w:before="20" w:after="20"/>
            </w:pPr>
            <w:r>
              <w:rPr>
                <w:b/>
                <w:sz w:val="18"/>
                <w:szCs w:val="18"/>
              </w:rPr>
              <w:t xml:space="preserve">Parameter</w:t>
            </w:r>
          </w:p>
        </w:tc>
        <w:tc>
          <w:tcPr>
            <w:tcW w:w="4680" w:type="dxa"/>
            <w:shd w:val="clear" w:color="auto" w:fill="D9D9D9"/>
          </w:tcPr>
          <w:p>
            <w:pPr>
              <w:spacing w:before="20" w:after="20"/>
            </w:pPr>
            <w:r>
              <w:rPr>
                <w:b/>
                <w:sz w:val="18"/>
                <w:szCs w:val="18"/>
              </w:rPr>
              <w:t xml:space="preserve">Value / description</w:t>
            </w:r>
          </w:p>
        </w:tc>
      </w:tr>
      <w:tr>
        <w:tc>
          <w:tcPr>
            <w:tcW w:w="4680" w:type="dxa"/>
          </w:tcPr>
          <w:p>
            <w:pPr>
              <w:spacing w:before="20" w:after="20"/>
            </w:pPr>
            <w:r>
              <w:rPr>
                <w:sz w:val="18"/>
                <w:szCs w:val="18"/>
              </w:rPr>
              <w:t xml:space="preserve">Welding process</w:t>
            </w:r>
          </w:p>
        </w:tc>
        <w:tc>
          <w:tcPr>
            <w:tcW w:w="4680" w:type="dxa"/>
          </w:tcPr>
          <w:p>
            <w:pPr>
              <w:spacing w:before="20" w:after="20"/>
            </w:pPr>
            <w:r>
              <w:rPr>
                <w:sz w:val="18"/>
                <w:szCs w:val="18"/>
              </w:rPr>
              <w:t xml:space="preserve">MIG (GMAW)</w:t>
            </w:r>
          </w:p>
        </w:tc>
      </w:tr>
      <w:tr>
        <w:tc>
          <w:tcPr>
            <w:tcW w:w="4680" w:type="dxa"/>
          </w:tcPr>
          <w:p>
            <w:pPr>
              <w:spacing w:before="20" w:after="20"/>
            </w:pPr>
            <w:r>
              <w:rPr>
                <w:sz w:val="18"/>
                <w:szCs w:val="18"/>
              </w:rPr>
              <w:t xml:space="preserve">Welding position</w:t>
            </w:r>
          </w:p>
        </w:tc>
        <w:tc>
          <w:tcPr>
            <w:tcW w:w="4680" w:type="dxa"/>
          </w:tcPr>
          <w:p>
            <w:pPr>
              <w:spacing w:before="20" w:after="20"/>
            </w:pPr>
            <w:r>
              <w:rPr>
                <w:sz w:val="18"/>
                <w:szCs w:val="18"/>
              </w:rPr>
              <w:t xml:space="preserve">1G</w:t>
            </w:r>
          </w:p>
        </w:tc>
      </w:tr>
      <w:tr>
        <w:tc>
          <w:tcPr>
            <w:tcW w:w="4680" w:type="dxa"/>
          </w:tcPr>
          <w:p>
            <w:pPr>
              <w:spacing w:before="20" w:after="20"/>
            </w:pPr>
            <w:r>
              <w:rPr>
                <w:sz w:val="18"/>
                <w:szCs w:val="18"/>
                <w:highlight w:val="yellow"/>
              </w:rPr>
              <w:t xml:space="preserve">Groove angle</w:t>
            </w:r>
          </w:p>
        </w:tc>
        <w:tc>
          <w:tcPr>
            <w:tcW w:w="4680" w:type="dxa"/>
          </w:tcPr>
          <w:p>
            <w:pPr>
              <w:spacing w:before="20" w:after="20"/>
            </w:pPr>
            <w:r>
              <w:rPr>
                <w:sz w:val="18"/>
                <w:szCs w:val="18"/>
                <w:highlight w:val="yellow"/>
              </w:rPr>
              <w:t xml:space="preserve">60° (single-V)</w:t>
            </w:r>
          </w:p>
        </w:tc>
      </w:tr>
      <w:tr>
        <w:tc>
          <w:tcPr>
            <w:tcW w:w="4680" w:type="dxa"/>
          </w:tcPr>
          <w:p>
            <w:pPr>
              <w:spacing w:before="20" w:after="20"/>
            </w:pPr>
            <w:r>
              <w:rPr>
                <w:sz w:val="18"/>
                <w:szCs w:val="18"/>
                <w:highlight w:val="yellow"/>
              </w:rPr>
              <w:t xml:space="preserve">Root gap</w:t>
            </w:r>
          </w:p>
        </w:tc>
        <w:tc>
          <w:tcPr>
            <w:tcW w:w="4680" w:type="dxa"/>
          </w:tcPr>
          <w:p>
            <w:pPr>
              <w:spacing w:before="20" w:after="20"/>
            </w:pPr>
            <w:r>
              <w:rPr>
                <w:sz w:val="18"/>
                <w:szCs w:val="18"/>
                <w:highlight w:val="yellow"/>
              </w:rPr>
              <w:t xml:space="preserve">2 mm</w:t>
            </w:r>
          </w:p>
        </w:tc>
      </w:tr>
      <w:tr>
        <w:tc>
          <w:tcPr>
            <w:tcW w:w="4680" w:type="dxa"/>
          </w:tcPr>
          <w:p>
            <w:pPr>
              <w:spacing w:before="20" w:after="20"/>
            </w:pPr>
            <w:r>
              <w:rPr>
                <w:sz w:val="18"/>
                <w:szCs w:val="18"/>
              </w:rPr>
              <w:t xml:space="preserve">Number of passes</w:t>
            </w:r>
          </w:p>
        </w:tc>
        <w:tc>
          <w:tcPr>
            <w:tcW w:w="4680" w:type="dxa"/>
          </w:tcPr>
          <w:p>
            <w:pPr>
              <w:spacing w:before="20" w:after="20"/>
            </w:pPr>
            <w:r>
              <w:rPr>
                <w:sz w:val="18"/>
                <w:szCs w:val="18"/>
              </w:rPr>
              <w:t xml:space="preserve">4</w:t>
            </w:r>
          </w:p>
        </w:tc>
      </w:tr>
      <w:tr>
        <w:tc>
          <w:tcPr>
            <w:tcW w:w="4680" w:type="dxa"/>
          </w:tcPr>
          <w:p>
            <w:pPr>
              <w:spacing w:before="20" w:after="20"/>
            </w:pPr>
            <w:r>
              <w:rPr>
                <w:sz w:val="18"/>
                <w:szCs w:val="18"/>
              </w:rPr>
              <w:t xml:space="preserve">Polarity</w:t>
            </w:r>
          </w:p>
        </w:tc>
        <w:tc>
          <w:tcPr>
            <w:tcW w:w="4680" w:type="dxa"/>
          </w:tcPr>
          <w:p>
            <w:pPr>
              <w:spacing w:before="20" w:after="20"/>
            </w:pPr>
            <w:r>
              <w:rPr>
                <w:sz w:val="18"/>
                <w:szCs w:val="18"/>
              </w:rPr>
              <w:t xml:space="preserve">DCEP</w:t>
            </w:r>
          </w:p>
        </w:tc>
      </w:tr>
      <w:tr>
        <w:tc>
          <w:tcPr>
            <w:tcW w:w="4680" w:type="dxa"/>
          </w:tcPr>
          <w:p>
            <w:pPr>
              <w:spacing w:before="20" w:after="20"/>
            </w:pPr>
            <w:r>
              <w:rPr>
                <w:sz w:val="18"/>
                <w:szCs w:val="18"/>
              </w:rPr>
              <w:t xml:space="preserve">Interpass temperature</w:t>
            </w:r>
          </w:p>
        </w:tc>
        <w:tc>
          <w:tcPr>
            <w:tcW w:w="4680" w:type="dxa"/>
          </w:tcPr>
          <w:p>
            <w:pPr>
              <w:spacing w:before="20" w:after="20"/>
            </w:pPr>
            <w:r>
              <w:rPr>
                <w:sz w:val="18"/>
                <w:szCs w:val="18"/>
              </w:rPr>
              <w:t xml:space="preserve">150 °C</w:t>
            </w:r>
          </w:p>
        </w:tc>
      </w:tr>
      <w:tr>
        <w:tc>
          <w:tcPr>
            <w:tcW w:w="4680" w:type="dxa"/>
          </w:tcPr>
          <w:p>
            <w:pPr>
              <w:spacing w:before="20" w:after="20"/>
            </w:pPr>
            <w:r>
              <w:rPr>
                <w:sz w:val="18"/>
                <w:szCs w:val="18"/>
              </w:rPr>
              <w:t xml:space="preserve">Filler wires</w:t>
            </w:r>
          </w:p>
        </w:tc>
        <w:tc>
          <w:tcPr>
            <w:tcW w:w="4680" w:type="dxa"/>
          </w:tcPr>
          <w:p>
            <w:pPr>
              <w:spacing w:before="20" w:after="20"/>
            </w:pPr>
            <w:r>
              <w:rPr>
                <w:sz w:val="18"/>
                <w:szCs w:val="18"/>
              </w:rPr>
              <w:t xml:space="preserve">FW 309L, FW 410, FW 2594</w:t>
            </w:r>
          </w:p>
        </w:tc>
      </w:tr>
      <w:tr>
        <w:tc>
          <w:tcPr>
            <w:tcW w:w="4680" w:type="dxa"/>
          </w:tcPr>
          <w:p>
            <w:pPr>
              <w:spacing w:before="20" w:after="20"/>
            </w:pPr>
            <w:r>
              <w:rPr>
                <w:sz w:val="18"/>
                <w:szCs w:val="18"/>
                <w:highlight w:val="yellow"/>
              </w:rPr>
              <w:t xml:space="preserve">Shielding gas flow rate</w:t>
            </w:r>
          </w:p>
        </w:tc>
        <w:tc>
          <w:tcPr>
            <w:tcW w:w="4680" w:type="dxa"/>
          </w:tcPr>
          <w:p>
            <w:pPr>
              <w:spacing w:before="20" w:after="20"/>
            </w:pPr>
            <w:r>
              <w:rPr>
                <w:sz w:val="18"/>
                <w:szCs w:val="18"/>
                <w:highlight w:val="yellow"/>
              </w:rPr>
              <w:t xml:space="preserve">15 L/min</w:t>
            </w:r>
          </w:p>
        </w:tc>
      </w:tr>
      <w:tr>
        <w:tc>
          <w:tcPr>
            <w:tcW w:w="4680" w:type="dxa"/>
          </w:tcPr>
          <w:p>
            <w:pPr>
              <w:spacing w:before="20" w:after="20"/>
            </w:pPr>
            <w:r>
              <w:rPr>
                <w:sz w:val="18"/>
                <w:szCs w:val="18"/>
              </w:rPr>
              <w:t xml:space="preserve">Root pass (V / A / speed)</w:t>
            </w:r>
          </w:p>
        </w:tc>
        <w:tc>
          <w:tcPr>
            <w:tcW w:w="4680" w:type="dxa"/>
          </w:tcPr>
          <w:p>
            <w:pPr>
              <w:spacing w:before="20" w:after="20"/>
            </w:pPr>
            <w:r>
              <w:rPr>
                <w:sz w:val="18"/>
                <w:szCs w:val="18"/>
              </w:rPr>
              <w:t xml:space="preserve">14 V / 150 A / 90 mm/min</w:t>
            </w:r>
          </w:p>
        </w:tc>
      </w:tr>
      <w:tr>
        <w:tc>
          <w:tcPr>
            <w:tcW w:w="4680" w:type="dxa"/>
          </w:tcPr>
          <w:p>
            <w:pPr>
              <w:spacing w:before="20" w:after="20"/>
            </w:pPr>
            <w:r>
              <w:rPr>
                <w:sz w:val="18"/>
                <w:szCs w:val="18"/>
              </w:rPr>
              <w:t xml:space="preserve">Root pass avg. heat input</w:t>
            </w:r>
          </w:p>
        </w:tc>
        <w:tc>
          <w:tcPr>
            <w:tcW w:w="4680" w:type="dxa"/>
          </w:tcPr>
          <w:p>
            <w:pPr>
              <w:spacing w:before="20" w:after="20"/>
            </w:pPr>
            <w:r>
              <w:rPr>
                <w:sz w:val="18"/>
                <w:szCs w:val="18"/>
              </w:rPr>
              <w:t xml:space="preserve">0.84 kJ/mm</w:t>
            </w:r>
          </w:p>
        </w:tc>
      </w:tr>
      <w:tr>
        <w:tc>
          <w:tcPr>
            <w:tcW w:w="4680" w:type="dxa"/>
          </w:tcPr>
          <w:p>
            <w:pPr>
              <w:spacing w:before="20" w:after="20"/>
            </w:pPr>
            <w:r>
              <w:rPr>
                <w:sz w:val="18"/>
                <w:szCs w:val="18"/>
              </w:rPr>
              <w:t xml:space="preserve">Filler pass (V / A / speed)</w:t>
            </w:r>
          </w:p>
        </w:tc>
        <w:tc>
          <w:tcPr>
            <w:tcW w:w="4680" w:type="dxa"/>
          </w:tcPr>
          <w:p>
            <w:pPr>
              <w:spacing w:before="20" w:after="20"/>
            </w:pPr>
            <w:r>
              <w:rPr>
                <w:sz w:val="18"/>
                <w:szCs w:val="18"/>
              </w:rPr>
              <w:t xml:space="preserve">12 V / 135 A / 80 mm/min</w:t>
            </w:r>
          </w:p>
        </w:tc>
      </w:tr>
      <w:tr>
        <w:tc>
          <w:tcPr>
            <w:tcW w:w="4680" w:type="dxa"/>
          </w:tcPr>
          <w:p>
            <w:pPr>
              <w:spacing w:before="20" w:after="20"/>
            </w:pPr>
            <w:r>
              <w:rPr>
                <w:sz w:val="18"/>
                <w:szCs w:val="18"/>
              </w:rPr>
              <w:t xml:space="preserve">Filler pass avg. heat input</w:t>
            </w:r>
          </w:p>
        </w:tc>
        <w:tc>
          <w:tcPr>
            <w:tcW w:w="4680" w:type="dxa"/>
          </w:tcPr>
          <w:p>
            <w:pPr>
              <w:spacing w:before="20" w:after="20"/>
            </w:pPr>
            <w:r>
              <w:rPr>
                <w:sz w:val="18"/>
                <w:szCs w:val="18"/>
              </w:rPr>
              <w:t xml:space="preserve">0.729 kJ/mm</w:t>
            </w:r>
          </w:p>
        </w:tc>
      </w:tr>
      <w:tr>
        <w:tc>
          <w:tcPr>
            <w:tcW w:w="4680" w:type="dxa"/>
          </w:tcPr>
          <w:p>
            <w:pPr>
              <w:spacing w:before="20" w:after="20"/>
            </w:pPr>
            <w:r>
              <w:rPr>
                <w:sz w:val="18"/>
                <w:szCs w:val="18"/>
              </w:rPr>
              <w:t xml:space="preserve">Cumulative heat input</w:t>
            </w:r>
          </w:p>
        </w:tc>
        <w:tc>
          <w:tcPr>
            <w:tcW w:w="4680" w:type="dxa"/>
          </w:tcPr>
          <w:p>
            <w:pPr>
              <w:spacing w:before="20" w:after="20"/>
            </w:pPr>
            <w:r>
              <w:rPr>
                <w:sz w:val="18"/>
                <w:szCs w:val="18"/>
              </w:rPr>
              <w:t xml:space="preserve">2.98 kJ/mm</w:t>
            </w:r>
          </w:p>
        </w:tc>
      </w:tr>
    </w:tbl>
    <w:p>
      <w:pPr>
        <w:spacing w:after="120"/>
      </w:pPr>
    </w:p>
    <w:p>
      <w:pPr>
        <w:spacing w:before="0" w:after="120"/>
      </w:pPr>
      <w:r>
        <w:t xml:space="preserve">Before welding, surfaces were cleaned with ethanol. After welding, surface oxides and spatter were removed by mechanical brushing, followed by ultrasonic cleaning in ethanol to give clean, repeatable surfaces for characterisation.</w:t>
      </w:r>
    </w:p>
    <w:p>
      <w:pPr>
        <w:spacing w:before="120" w:after="80"/>
      </w:pPr>
      <w:r>
        <w:rPr>
          <w:b/>
          <w:sz w:val="26"/>
          <w:szCs w:val="26"/>
          <w:highlight w:val="yellow"/>
        </w:rPr>
        <w:t xml:space="preserve">2.2 Characterization</w:t>
      </w:r>
    </w:p>
    <w:p>
      <w:pPr>
        <w:spacing w:before="0" w:after="120"/>
      </w:pPr>
      <w:r>
        <w:t xml:space="preserve">Welded joints were sectioned and prepared by standard metallography: grinding with 400–1200 grit SiC paper and polishing with 0.3 µm alumina. Transverse cross-sections covering BM, HAZ, and FZ were electrolytically etched with 10% oxalic acid (1.6 A/cm², 6 V DC, 10–15 s). </w:t>
      </w:r>
      <w:r>
        <w:rPr>
          <w:highlight w:val="yellow"/>
        </w:rPr>
        <w:t xml:space="preserve">This is a grain-boundary/sensitization etch (ASTM A262 Practice A): it reveals grain boundaries and carbides but does not provide selective ferrite–austenite contrast. Accordingly, no quantitative phase-fraction measurement (point counting, image analysis, Feritscope, or EBSD) was performed, and phase constitution is identified from XRD.</w:t>
      </w:r>
      <w:r>
        <w:t xml:space="preserve"> Microstructures were examined by optical microscopy (OM) and scanning electron microscopy (SEM); macrostructures were imaged with a Nikon SMZ745T stereo-zoom microscope and measured with Image Studio v5.2.</w:t>
      </w:r>
    </w:p>
    <w:p>
      <w:pPr>
        <w:spacing w:before="0" w:after="120"/>
      </w:pPr>
      <w:r>
        <w:t xml:space="preserve">Vickers microhardness was measured on transverse sections (500 gf, 10 s dwell, 0.25 mm spacing) across the weld zone, HAZ, and BM. Charpy V-notch specimens (55 × 10 × 10 mm; 2 mm notch depth, 0.25 mm root radius, 45° angle) were machined per ASTM E23 / ISO 148-1, with notches placed in the FZ centre and in the coarse-grained HAZ near the fusion line; fracture surfaces were examined by SEM. XRD used Cu-Kα radiation (λ = 1.5406 Å, 40 kV, 30 mA) over 20–100° 2θ at 0.2°/min, with phases identified against JCPDS files. Potentiodynamic polarization followed ASTM G5 / G59 in natural seawater using a three-electrode cell (Pt counter, Ag/AgCl reference, ~1 cm² exposed area), 30 min OCP stabilisation, and scanning ±250 mV about OCP at 1 mV/s; E_corr, I_corr, and Tafel slopes were extracted and the corrosion rate computed via Faraday's law, v = (I_corr · M) / (n · F · ρ) (Eq. 2), with M = 55.85 g/mol, n = 2, F = 96 485 C/mol, ρ = 7.8 g/cm³, converted to mm/year.</w:t>
      </w:r>
    </w:p>
    <w:p>
      <w:pPr>
        <w:spacing w:before="160" w:after="100"/>
      </w:pPr>
      <w:r>
        <w:rPr>
          <w:b/>
          <w:sz w:val="28"/>
          <w:szCs w:val="28"/>
          <w:highlight w:val="yellow"/>
        </w:rPr>
        <w:t xml:space="preserve">3. Results and Discussion</w:t>
      </w:r>
    </w:p>
    <w:p>
      <w:pPr>
        <w:spacing w:before="120" w:after="80"/>
      </w:pPr>
      <w:r>
        <w:rPr>
          <w:b/>
          <w:sz w:val="26"/>
          <w:szCs w:val="26"/>
          <w:highlight w:val="yellow"/>
        </w:rPr>
        <w:t xml:space="preserve">3.1 Optical microscopy</w:t>
      </w:r>
    </w:p>
    <w:p>
      <w:pPr>
        <w:spacing w:before="0" w:after="120"/>
      </w:pPr>
      <w:r>
        <w:rPr>
          <w:highlight w:val="yellow"/>
        </w:rPr>
        <w:t xml:space="preserve">The optical micrographs (Fig. 7) reveal grain morphology and the extent of thermal modification in each zone; phase identification is based on the XRD results (Fig. 9), because the oxalic-acid etch highlights grain boundaries and may introduce etch-pit and relief artifacts that should not be interpreted as discrete phases. In the 309L fusion zone (Fig. 7a), elongated columnar grains with interdendritic δ-ferrite in an austenite matrix are observed, consistent with primary-ferrite (FA) solidification and the γ + δ/α-ferrite peaks in Fig. 9; the adjoining HAZ (Fig. 7b) is comparatively fine-grained, indicating a moderate thermal effect. The 410 fusion zone (Fig. 7c) shows a predominantly ferritic/martensitic matrix with columnar grains; the fine dark contrast is consistent with etch pitting and grain-boundary attack rather than a distinct precipitate population, and the XRD pattern shows only α/α′ reflections with no intermetallic peaks, while the HAZ (Fig. 7d) is ferritic with evidence of grain coarsening. In the 2594 fusion zone (Fig. 7e), a two-phase ferrite–austenite (duplex) structure with interdendritic segregation is seen; the weak low-intensity intermetallic reflections in Fig. 9 indicate only a minor secondary-phase fraction, so abundant intermetallics should not be inferred from the optical contrast, and the 2594 HAZ (Fig. 7f) shows elongated/coarsened grains with retained-austenite regions in a ferrite matrix.</w:t>
      </w:r>
    </w:p>
    <w:p>
      <w:pPr>
        <w:spacing w:before="0" w:after="120"/>
      </w:pPr>
      <w:r>
        <w:rPr>
          <w:highlight w:val="yellow"/>
        </w:rPr>
        <w:t xml:space="preserve">The common cause of the reduced HAZ toughness across all three fillers is the characteristic degradation of ferritic HAZs — grain coarsening above ~950 °C combined with chromium-carbide precipitation (sensitization) at grain boundaries during the weld thermal cycle — which together provide low-energy fracture paths. This is referred to below as “HAZ degradation.” Overall, the optical observations establish grain morphology and the degree of HAZ coarsening, while the fusion-zone phase constitution is defined by XRD.</w:t>
      </w:r>
    </w:p>
    <w:p>
      <w:pPr>
        <w:spacing w:before="120" w:after="80"/>
      </w:pPr>
      <w:r>
        <w:rPr>
          <w:b/>
          <w:sz w:val="26"/>
          <w:szCs w:val="26"/>
          <w:highlight w:val="yellow"/>
        </w:rPr>
        <w:t xml:space="preserve">3.2 Scanning electron microscopy</w:t>
      </w:r>
    </w:p>
    <w:p>
      <w:pPr>
        <w:spacing w:before="0" w:after="120"/>
      </w:pPr>
      <w:r>
        <w:rPr>
          <w:highlight w:val="yellow"/>
        </w:rPr>
        <w:t xml:space="preserve">SEM (Fig. 8) confirms the optical observations. The 309L FZ (Fig. 8a) shows dendritic and globular δ-ferrite in austenite, consistent with good ductility, and its HAZ (Fig. 8b) shows scattered features and partial dendritic back-transformation without excessive coarsening. The 410 FZ (Fig. 8c) shows columnar dendrites with interdendritic second-phase particles in a ferritic/martensitic matrix (high hardness, low toughness); the HAZ (Fig. 8d) is dendritic ferrite with occasional inclusions that can act as stress concentrators. The 2594 FZ (Fig. 8e) shows a duplex ferrite–austenite structure with localised Cr/Mo-rich second-phase particles from segregation during solidification, and the HAZ (Fig. 8f) shows acicular second-phase particles along columnar boundaries, indicating a high thermal gradient. Because no EDS analysis was performed, these features are described as second-phase particles rather than identified intermetallic or eutectic constituents; phase identification rests on XRD (Fig. 9).</w:t>
      </w:r>
    </w:p>
    <w:p>
      <w:pPr>
        <w:spacing w:before="120" w:after="80"/>
      </w:pPr>
      <w:r>
        <w:rPr>
          <w:b/>
          <w:sz w:val="26"/>
          <w:szCs w:val="26"/>
          <w:highlight w:val="yellow"/>
        </w:rPr>
        <w:t xml:space="preserve">3.3 Phase prediction and XRD analysis</w:t>
      </w:r>
    </w:p>
    <w:p>
      <w:pPr>
        <w:spacing w:before="0" w:after="120"/>
      </w:pPr>
      <w:r>
        <w:t xml:space="preserve">The Schaeffler diagram (Fig. 6a) places 309L in the austenite + ferrite field (ductile, crack-resistant), 410 in the martensitic–ferritic field (hard, low toughness), and 2594 in the balanced ferrite–austenite field. The pseudo-binary diagram (Fig. 6b) indicates F/FA solidification for all three, with the Cr_eq/Ni_eq ratio governing the amount of austenite formed on cooling.</w:t>
      </w:r>
    </w:p>
    <w:p>
      <w:pPr>
        <w:spacing w:before="0" w:after="120"/>
      </w:pPr>
      <w:r>
        <w:rPr>
          <w:highlight w:val="yellow"/>
        </w:rPr>
        <w:t xml:space="preserve">XRD (Fig. 9) shows filler-dependent fusion-zone phase constitutions. F309 shows strong γ-austenite with δ/α-ferrite peaks; F410 shows dominant α/α′ (martensite) reflections with suppressed γ; and F2594 shows comparable α and γ intensities with weak low-intensity peaks attributable to a minor secondary phase. The SS430 base metal and the duplex fusion zone give sharper peaks (a more ordered ferritic/duplex structure), whereas the austenitic and martensitic welds give comparatively broader, weaker peaks consistent with rapid solidification and higher defect density. These results agree with the Schaeffler predictions and define the phase constitution used to interpret the microstructures above.</w:t>
      </w:r>
    </w:p>
    <w:p>
      <w:pPr>
        <w:spacing w:before="120" w:after="80"/>
      </w:pPr>
      <w:r>
        <w:rPr>
          <w:b/>
          <w:sz w:val="26"/>
          <w:szCs w:val="26"/>
          <w:highlight w:val="yellow"/>
        </w:rPr>
        <w:t xml:space="preserve">3.4 Mechanical properties</w:t>
      </w:r>
    </w:p>
    <w:p>
      <w:pPr>
        <w:spacing w:before="0" w:after="120"/>
      </w:pPr>
      <w:r>
        <w:rPr>
          <w:highlight w:val="yellow"/>
        </w:rPr>
        <w:t xml:space="preserve">Impact toughness and hardness varied systematically with filler (Fig. 4), and fusion-zone and HAZ values are reported separately. In the fusion zone, 309L gave the highest toughness (125 J), 2594 was intermediate (100 J), and 410 the lowest; HAZ toughness fell in every case, reaching only 45 J for 410, the most embrittled condition. Hardness showed the inverse trend: the 410 FZ was hardest (~320 VHN, martensitic), followed by 2594 (~300 VHN) and 309L (~260 VHN, strain-hardened austenite), while all HAZ hardness values converged toward the base metal (~150–170 VHN). The reduced HAZ toughness in every case reflects the HAZ degradation mechanism described in §3.1.</w:t>
      </w:r>
    </w:p>
    <w:p>
      <w:pPr>
        <w:spacing w:before="0" w:after="120"/>
      </w:pPr>
      <w:r>
        <w:rPr>
          <w:highlight w:val="yellow"/>
        </w:rPr>
        <w:t xml:space="preserve">Fractography (Fig. 5) is consistent with these trends. The 309L FZ (Fig. 5a) shows dense fibrous dimples (ductile, retained-austenite plasticity); the 410 FZ (Fig. 5c) shows sparse, deep dimples (lower ductility, brittle martensite); and the 2594 FZ (Fig. 5e) shows fine, uniform dimples (duplex strength–ductility balance) [44, 45]. All HAZ surfaces (Fig. 5b, d, f) are brittle, most severely for 410 (quasi-cleavage, river patterns) and, under multi-pass thermal cycling, for 2594 (branched cleavage steps).</w:t>
      </w:r>
    </w:p>
    <w:p>
      <w:pPr>
        <w:spacing w:before="0" w:after="120"/>
      </w:pPr>
      <w:r>
        <w:rPr>
          <w:highlight w:val="yellow"/>
        </w:rPr>
        <w:t xml:space="preserve">The duplex ferrite–austenite structure of the 2594 weld underlies its favourable balance of fusion-zone hardness (~300 VHN) and impact toughness (100 J), consistent with its microhardness and Charpy response. The vermicular δ-ferrite of the 309L weld promotes crack-propagation resistance, consistent with its high fusion-zone toughness (125 J) and ductile dimpled fracture, whereas the martensitic 410 weld develops stress-concentration sites that reduce toughness, consistent with its low HAZ Charpy value (45 J). The alternating recrystallized-ferrite / untempered-martensite banding seen in the 309L HAZ is attributed to the repeated thermal cycles of multi-pass welding, and retained-austenite islands observed in the 2594 HAZ partially offset embrittlement.</w:t>
      </w:r>
    </w:p>
    <w:p>
      <w:pPr>
        <w:spacing w:before="0" w:after="120"/>
      </w:pPr>
      <w:r>
        <w:rPr>
          <w:highlight w:val="yellow"/>
        </w:rPr>
        <w:t xml:space="preserve">Targeted mitigations follow from these microstructures: an interpass temperature below ~100 °C for 309L to suppress HAZ banding; brief post-weld tempering (~650 °C) for 410 to homogenise the martensite distribution; and, as suggested by the literature, laser assistance with minor Nb microalloying (0.02–0.05%) for 2594 to refine the austenite-island distribution [52, 53].</w:t>
      </w:r>
    </w:p>
    <w:p>
      <w:pPr>
        <w:spacing w:before="120" w:after="80"/>
      </w:pPr>
      <w:r>
        <w:rPr>
          <w:b/>
          <w:sz w:val="26"/>
          <w:szCs w:val="26"/>
          <w:highlight w:val="yellow"/>
        </w:rPr>
        <w:t xml:space="preserve">3.5 Corrosion behaviour</w:t>
      </w:r>
    </w:p>
    <w:p>
      <w:pPr>
        <w:spacing w:before="0" w:after="120"/>
      </w:pPr>
      <w:r>
        <w:t xml:space="preserve">All specimens showed active–passive behaviour (Fig. 10, Table 4). The F2594 weld gave the best corrosion resistance — lowest corrosion current density (5.0 × 10⁻⁸ A cm⁻²) and lowest corrosion rate (5.85 × 10⁻⁴ mm/year) — owing to its high chromium (24.9 wt%) and molybdenum (3.85 wt%) content, which form a dense, stable Cr-rich passive film. The F309 weld followed (E_corr −0.18 V, I_corr 1.0 × 10⁻⁷ A cm⁻², 11.6 × 10⁻⁴ mm/year), aided by its high Cr (23 wt%) and austenitic matrix with vermicular δ-ferrite. The SS430 base metal was intermediate (I_corr 3.0 × 10⁻⁷ A cm⁻², 34.8 × 10⁻⁴ mm/year) due to its lower Cr (12.5 wt%) and less stable passive film. The F410 weld was least resistant (I_corr 6.3 × 10⁻⁷ A cm⁻², 73.1 × 10⁻⁴ mm/year): its low Cr combined with chromium-carbide precipitation locally depletes Cr and destabilises the passive film. Corrosion resistance therefore ranks </w:t>
      </w:r>
      <w:r>
        <w:rPr>
          <w:highlight w:val="yellow"/>
        </w:rPr>
        <w:t xml:space="preserve">F2594 &gt; F309 &gt; SS430 &gt; F410</w:t>
      </w:r>
      <w:r>
        <w:t xml:space="preserve">, confirming that chromium content and weld-metal phase balance govern passivation and electrochemical performance [58–61].</w:t>
      </w:r>
    </w:p>
    <w:p>
      <w:pPr>
        <w:spacing w:before="0" w:after="160"/>
      </w:pPr>
      <w:r>
        <w:rPr>
          <w:i/>
          <w:sz w:val="20"/>
          <w:szCs w:val="20"/>
        </w:rPr>
        <w:t xml:space="preserve">Table 4. Potentiodynamic polarization parameters (E_corr, I_corr, corrosion rate) for SS430 base metal and the F309, F410, and F2594 weldments.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00"/>
        <w:gridCol w:w="2000"/>
        <w:gridCol w:w="2760"/>
        <w:gridCol w:w="2000"/>
      </w:tblGrid>
      <w:tr>
        <w:tc>
          <w:tcPr>
            <w:tcW w:w="2600" w:type="dxa"/>
            <w:shd w:val="clear" w:color="auto" w:fill="D9D9D9"/>
          </w:tcPr>
          <w:p>
            <w:pPr>
              <w:spacing w:before="20" w:after="20"/>
            </w:pPr>
            <w:r>
              <w:rPr>
                <w:b/>
                <w:sz w:val="18"/>
                <w:szCs w:val="18"/>
              </w:rPr>
              <w:t xml:space="preserve">Specimen</w:t>
            </w:r>
          </w:p>
        </w:tc>
        <w:tc>
          <w:tcPr>
            <w:tcW w:w="2000" w:type="dxa"/>
            <w:shd w:val="clear" w:color="auto" w:fill="D9D9D9"/>
          </w:tcPr>
          <w:p>
            <w:pPr>
              <w:spacing w:before="20" w:after="20"/>
            </w:pPr>
            <w:r>
              <w:rPr>
                <w:b/>
                <w:sz w:val="18"/>
                <w:szCs w:val="18"/>
              </w:rPr>
              <w:t xml:space="preserve">E_corr (V)</w:t>
            </w:r>
          </w:p>
        </w:tc>
        <w:tc>
          <w:tcPr>
            <w:tcW w:w="2760" w:type="dxa"/>
            <w:shd w:val="clear" w:color="auto" w:fill="D9D9D9"/>
          </w:tcPr>
          <w:p>
            <w:pPr>
              <w:spacing w:before="20" w:after="20"/>
            </w:pPr>
            <w:r>
              <w:rPr>
                <w:b/>
                <w:sz w:val="18"/>
                <w:szCs w:val="18"/>
              </w:rPr>
              <w:t xml:space="preserve">I_corr (A cm⁻²)</w:t>
            </w:r>
          </w:p>
        </w:tc>
        <w:tc>
          <w:tcPr>
            <w:tcW w:w="2000" w:type="dxa"/>
            <w:shd w:val="clear" w:color="auto" w:fill="D9D9D9"/>
          </w:tcPr>
          <w:p>
            <w:pPr>
              <w:spacing w:before="20" w:after="20"/>
            </w:pPr>
            <w:r>
              <w:rPr>
                <w:b/>
                <w:sz w:val="18"/>
                <w:szCs w:val="18"/>
              </w:rPr>
              <w:t xml:space="preserve">Corrosion rate (mm/year)</w:t>
            </w:r>
          </w:p>
        </w:tc>
      </w:tr>
      <w:tr>
        <w:tc>
          <w:tcPr>
            <w:tcW w:w="2600" w:type="dxa"/>
          </w:tcPr>
          <w:p>
            <w:pPr>
              <w:spacing w:before="20" w:after="20"/>
            </w:pPr>
            <w:r>
              <w:rPr>
                <w:sz w:val="18"/>
                <w:szCs w:val="18"/>
              </w:rPr>
              <w:t xml:space="preserve">F2594 weld</w:t>
            </w:r>
          </w:p>
        </w:tc>
        <w:tc>
          <w:tcPr>
            <w:tcW w:w="2000" w:type="dxa"/>
          </w:tcPr>
          <w:p>
            <w:pPr>
              <w:spacing w:before="20" w:after="20"/>
            </w:pPr>
            <w:r>
              <w:rPr>
                <w:sz w:val="18"/>
                <w:szCs w:val="18"/>
              </w:rPr>
              <w:t xml:space="preserve">−0.20</w:t>
            </w:r>
          </w:p>
        </w:tc>
        <w:tc>
          <w:tcPr>
            <w:tcW w:w="2760" w:type="dxa"/>
          </w:tcPr>
          <w:p>
            <w:pPr>
              <w:spacing w:before="20" w:after="20"/>
            </w:pPr>
            <w:r>
              <w:rPr>
                <w:sz w:val="18"/>
                <w:szCs w:val="18"/>
              </w:rPr>
              <w:t xml:space="preserve">5.0 × 10⁻⁸</w:t>
            </w:r>
          </w:p>
        </w:tc>
        <w:tc>
          <w:tcPr>
            <w:tcW w:w="2000" w:type="dxa"/>
          </w:tcPr>
          <w:p>
            <w:pPr>
              <w:spacing w:before="20" w:after="20"/>
            </w:pPr>
            <w:r>
              <w:rPr>
                <w:sz w:val="18"/>
                <w:szCs w:val="18"/>
              </w:rPr>
              <w:t xml:space="preserve">5.85 × 10⁻⁴</w:t>
            </w:r>
          </w:p>
        </w:tc>
      </w:tr>
      <w:tr>
        <w:tc>
          <w:tcPr>
            <w:tcW w:w="2600" w:type="dxa"/>
          </w:tcPr>
          <w:p>
            <w:pPr>
              <w:spacing w:before="20" w:after="20"/>
            </w:pPr>
            <w:r>
              <w:rPr>
                <w:sz w:val="18"/>
                <w:szCs w:val="18"/>
              </w:rPr>
              <w:t xml:space="preserve">F309 weld</w:t>
            </w:r>
          </w:p>
        </w:tc>
        <w:tc>
          <w:tcPr>
            <w:tcW w:w="2000" w:type="dxa"/>
          </w:tcPr>
          <w:p>
            <w:pPr>
              <w:spacing w:before="20" w:after="20"/>
            </w:pPr>
            <w:r>
              <w:rPr>
                <w:sz w:val="18"/>
                <w:szCs w:val="18"/>
              </w:rPr>
              <w:t xml:space="preserve">−0.18</w:t>
            </w:r>
          </w:p>
        </w:tc>
        <w:tc>
          <w:tcPr>
            <w:tcW w:w="2760" w:type="dxa"/>
          </w:tcPr>
          <w:p>
            <w:pPr>
              <w:spacing w:before="20" w:after="20"/>
            </w:pPr>
            <w:r>
              <w:rPr>
                <w:sz w:val="18"/>
                <w:szCs w:val="18"/>
              </w:rPr>
              <w:t xml:space="preserve">1.0 × 10⁻⁷</w:t>
            </w:r>
          </w:p>
        </w:tc>
        <w:tc>
          <w:tcPr>
            <w:tcW w:w="2000" w:type="dxa"/>
          </w:tcPr>
          <w:p>
            <w:pPr>
              <w:spacing w:before="20" w:after="20"/>
            </w:pPr>
            <w:r>
              <w:rPr>
                <w:sz w:val="18"/>
                <w:szCs w:val="18"/>
              </w:rPr>
              <w:t xml:space="preserve">11.6 × 10⁻⁴</w:t>
            </w:r>
          </w:p>
        </w:tc>
      </w:tr>
      <w:tr>
        <w:tc>
          <w:tcPr>
            <w:tcW w:w="2600" w:type="dxa"/>
          </w:tcPr>
          <w:p>
            <w:pPr>
              <w:spacing w:before="20" w:after="20"/>
            </w:pPr>
            <w:r>
              <w:rPr>
                <w:sz w:val="18"/>
                <w:szCs w:val="18"/>
              </w:rPr>
              <w:t xml:space="preserve">SS430 base metal</w:t>
            </w:r>
          </w:p>
        </w:tc>
        <w:tc>
          <w:tcPr>
            <w:tcW w:w="2000" w:type="dxa"/>
          </w:tcPr>
          <w:p>
            <w:pPr>
              <w:spacing w:before="20" w:after="20"/>
            </w:pPr>
            <w:r>
              <w:rPr>
                <w:sz w:val="18"/>
                <w:szCs w:val="18"/>
              </w:rPr>
              <w:t xml:space="preserve">−0.26</w:t>
            </w:r>
          </w:p>
        </w:tc>
        <w:tc>
          <w:tcPr>
            <w:tcW w:w="2760" w:type="dxa"/>
          </w:tcPr>
          <w:p>
            <w:pPr>
              <w:spacing w:before="20" w:after="20"/>
            </w:pPr>
            <w:r>
              <w:rPr>
                <w:sz w:val="18"/>
                <w:szCs w:val="18"/>
              </w:rPr>
              <w:t xml:space="preserve">3.0 × 10⁻⁷</w:t>
            </w:r>
          </w:p>
        </w:tc>
        <w:tc>
          <w:tcPr>
            <w:tcW w:w="2000" w:type="dxa"/>
          </w:tcPr>
          <w:p>
            <w:pPr>
              <w:spacing w:before="20" w:after="20"/>
            </w:pPr>
            <w:r>
              <w:rPr>
                <w:sz w:val="18"/>
                <w:szCs w:val="18"/>
              </w:rPr>
              <w:t xml:space="preserve">34.8 × 10⁻⁴</w:t>
            </w:r>
          </w:p>
        </w:tc>
      </w:tr>
      <w:tr>
        <w:tc>
          <w:tcPr>
            <w:tcW w:w="2600" w:type="dxa"/>
          </w:tcPr>
          <w:p>
            <w:pPr>
              <w:spacing w:before="20" w:after="20"/>
            </w:pPr>
            <w:r>
              <w:rPr>
                <w:sz w:val="18"/>
                <w:szCs w:val="18"/>
              </w:rPr>
              <w:t xml:space="preserve">F410 weld</w:t>
            </w:r>
          </w:p>
        </w:tc>
        <w:tc>
          <w:tcPr>
            <w:tcW w:w="2000" w:type="dxa"/>
          </w:tcPr>
          <w:p>
            <w:pPr>
              <w:spacing w:before="20" w:after="20"/>
            </w:pPr>
            <w:r>
              <w:rPr>
                <w:sz w:val="18"/>
                <w:szCs w:val="18"/>
              </w:rPr>
              <w:t xml:space="preserve">−0.22</w:t>
            </w:r>
          </w:p>
        </w:tc>
        <w:tc>
          <w:tcPr>
            <w:tcW w:w="2760" w:type="dxa"/>
          </w:tcPr>
          <w:p>
            <w:pPr>
              <w:spacing w:before="20" w:after="20"/>
            </w:pPr>
            <w:r>
              <w:rPr>
                <w:sz w:val="18"/>
                <w:szCs w:val="18"/>
              </w:rPr>
              <w:t xml:space="preserve">6.3 × 10⁻⁷</w:t>
            </w:r>
          </w:p>
        </w:tc>
        <w:tc>
          <w:tcPr>
            <w:tcW w:w="2000" w:type="dxa"/>
          </w:tcPr>
          <w:p>
            <w:pPr>
              <w:spacing w:before="20" w:after="20"/>
            </w:pPr>
            <w:r>
              <w:rPr>
                <w:sz w:val="18"/>
                <w:szCs w:val="18"/>
              </w:rPr>
              <w:t xml:space="preserve">73.1 × 10⁻⁴</w:t>
            </w:r>
          </w:p>
        </w:tc>
      </w:tr>
    </w:tbl>
    <w:p>
      <w:pPr>
        <w:spacing w:after="120"/>
      </w:pPr>
    </w:p>
    <w:p>
      <w:pPr>
        <w:spacing w:before="160" w:after="100"/>
      </w:pPr>
      <w:r>
        <w:rPr>
          <w:b/>
          <w:sz w:val="28"/>
          <w:szCs w:val="28"/>
          <w:highlight w:val="yellow"/>
        </w:rPr>
        <w:t xml:space="preserve">4. Conclusions</w:t>
      </w:r>
    </w:p>
    <w:p>
      <w:pPr>
        <w:spacing w:before="0" w:after="120"/>
      </w:pPr>
      <w:r>
        <w:rPr>
          <w:highlight w:val="yellow"/>
        </w:rPr>
        <w:t xml:space="preserve">The effect of three fillers (ER309L, ER410, ER2594) on the microstructure, mechanical behaviour, phase constitution, and corrosion response of welded AISI 430 ferritic stainless steel was investigated. The main findings are:</w:t>
      </w:r>
    </w:p>
    <w:p>
      <w:pPr>
        <w:spacing w:before="0" w:after="80"/>
        <w:ind w:left="360"/>
        <w:numPr>
          <w:ilvl w:val="0"/>
          <w:numId w:val="1"/>
        </w:numPr>
      </w:pPr>
      <w:r>
        <w:rPr>
          <w:highlight w:val="yellow"/>
        </w:rPr>
        <w:t xml:space="preserve">AISI 430 (12 mm) was successfully joined by four-pass GMAW with all three fillers under a controlled schedule (110 A, 150 °C interpass temperature, ~2.98 kJ/mm cumulative heat input).</w:t>
      </w:r>
    </w:p>
    <w:p>
      <w:pPr>
        <w:spacing w:before="0" w:after="80"/>
        <w:ind w:left="360"/>
        <w:numPr>
          <w:ilvl w:val="0"/>
          <w:numId w:val="1"/>
        </w:numPr>
      </w:pPr>
      <w:r>
        <w:rPr>
          <w:highlight w:val="yellow"/>
        </w:rPr>
        <w:t xml:space="preserve">All welds showed the characteristic ferritic HAZ degradation (grain coarsening plus chromium-carbide sensitization); the fusion-zone phase constitution was controlled by the filler.</w:t>
      </w:r>
    </w:p>
    <w:p>
      <w:pPr>
        <w:spacing w:before="0" w:after="80"/>
        <w:ind w:left="360"/>
        <w:numPr>
          <w:ilvl w:val="0"/>
          <w:numId w:val="1"/>
        </w:numPr>
      </w:pPr>
      <w:r>
        <w:rPr>
          <w:highlight w:val="yellow"/>
        </w:rPr>
        <w:t xml:space="preserve">XRD identified γ-austenite with δ/α-ferrite in F309, dominant α/α′ martensite in F410, and a balanced α + γ duplex structure with a minor secondary phase in F2594.</w:t>
      </w:r>
    </w:p>
    <w:p>
      <w:pPr>
        <w:spacing w:before="0" w:after="80"/>
        <w:ind w:left="360"/>
        <w:numPr>
          <w:ilvl w:val="0"/>
          <w:numId w:val="1"/>
        </w:numPr>
      </w:pPr>
      <w:r>
        <w:rPr>
          <w:highlight w:val="yellow"/>
        </w:rPr>
        <w:t xml:space="preserve">Fusion-zone hardness ranked 410 (~320 VHN) &gt; 2594 (~300 VHN) &gt; 309L (~260 VHN); HAZ hardness converged toward the base metal (~150–170 VHN).</w:t>
      </w:r>
    </w:p>
    <w:p>
      <w:pPr>
        <w:spacing w:before="0" w:after="80"/>
        <w:ind w:left="360"/>
        <w:numPr>
          <w:ilvl w:val="0"/>
          <w:numId w:val="1"/>
        </w:numPr>
      </w:pPr>
      <w:r>
        <w:rPr>
          <w:highlight w:val="yellow"/>
        </w:rPr>
        <w:t xml:space="preserve">Fusion-zone impact toughness was highest for 309L (125 J), intermediate for 2594 (100 J), and lowest for 410; the 410 HAZ was the most embrittled (45 J).</w:t>
      </w:r>
    </w:p>
    <w:p>
      <w:pPr>
        <w:spacing w:before="0" w:after="80"/>
        <w:ind w:left="360"/>
        <w:numPr>
          <w:ilvl w:val="0"/>
          <w:numId w:val="1"/>
        </w:numPr>
      </w:pPr>
      <w:r>
        <w:rPr>
          <w:highlight w:val="yellow"/>
        </w:rPr>
        <w:t xml:space="preserve">Corrosion resistance ranked F2594 &gt; F309 &gt; SS430 &gt; F410, governed primarily by chromium content and weld-metal phase balance.</w:t>
      </w:r>
    </w:p>
    <w:p>
      <w:pPr>
        <w:spacing w:before="0" w:after="80"/>
        <w:ind w:left="360"/>
        <w:numPr>
          <w:ilvl w:val="0"/>
          <w:numId w:val="1"/>
        </w:numPr>
      </w:pPr>
      <w:r>
        <w:rPr>
          <w:highlight w:val="yellow"/>
        </w:rPr>
        <w:t xml:space="preserve">Filler selection must be matched to service needs: ER309L for toughness and general service, ER410 for hardness and wear resistance (with post-weld heat treatment), and ER2594 for combined strength and corrosion resistance (with tight thermal control of the HAZ).</w:t>
      </w:r>
    </w:p>
    <w:p>
      <w:pPr>
        <w:spacing w:before="160" w:after="100"/>
      </w:pPr>
      <w:r>
        <w:rPr>
          <w:b/>
          <w:sz w:val="28"/>
          <w:szCs w:val="28"/>
        </w:rPr>
        <w:t xml:space="preserve">References</w:t>
      </w:r>
    </w:p>
    <w:p>
      <w:pPr>
        <w:spacing w:before="0" w:after="60"/>
      </w:pPr>
      <w:r>
        <w:rPr>
          <w:sz w:val="20"/>
          <w:szCs w:val="20"/>
        </w:rPr>
        <w:t xml:space="preserve">[1] N. Ohashi, Y. Ono, N. Kinoshita, K. Yoshioka, Effects of Metallurgical and Mechanical Factors on Charpy Impact Toughness of Extra-Low Interstitial Ferritic Stainless Steels, ASTM STP 706, 1980. https://doi.org/10.1520/STP38209S.</w:t>
      </w:r>
    </w:p>
    <w:p>
      <w:pPr>
        <w:spacing w:before="0" w:after="60"/>
      </w:pPr>
      <w:r>
        <w:rPr>
          <w:sz w:val="20"/>
          <w:szCs w:val="20"/>
        </w:rPr>
        <w:t xml:space="preserve">[2] P. Cheng et al., Intergranular Corrosion Behavior and Mechanism of Stabilized Ultra-Pure 430LX Ferritic Stainless Steel, J. Mater. Sci. Technol., 2019, 35(8), 1787–1796. https://doi.org/10.1016/j.jmst.2019.03.021.</w:t>
      </w:r>
    </w:p>
    <w:p>
      <w:pPr>
        <w:spacing w:before="0" w:after="60"/>
      </w:pPr>
      <w:r>
        <w:rPr>
          <w:sz w:val="20"/>
          <w:szCs w:val="20"/>
        </w:rPr>
        <w:t xml:space="preserve">[3] E.A. Brandes, G.B. Brook (Eds.), Smithells Metals Reference Book, 7th ed., Butterworth-Heinemann, 1992. https://doi.org/10.1016/C2009-0-25363-3.</w:t>
      </w:r>
    </w:p>
    <w:p>
      <w:pPr>
        <w:spacing w:before="0" w:after="60"/>
      </w:pPr>
      <w:r>
        <w:rPr>
          <w:sz w:val="20"/>
          <w:szCs w:val="20"/>
        </w:rPr>
        <w:t xml:space="preserve">[4] J. Suer, M. Traverso, F. Ahrenhold, Carbon Footprint of Scenarios Towards Climate-Neutral Steel, J. Cleaner Prod., 2021, 318, 128588. https://doi.org/10.1016/j.jclepro.2021.128588.</w:t>
      </w:r>
    </w:p>
    <w:p>
      <w:pPr>
        <w:spacing w:before="0" w:after="60"/>
      </w:pPr>
      <w:r>
        <w:rPr>
          <w:sz w:val="20"/>
          <w:szCs w:val="20"/>
        </w:rPr>
        <w:t xml:space="preserve">[5] H.J. Dundas, A.P. Bond, Niobium and Titanium Requirements for Stabilization of Ferritic Stainless Steels, ASTM STP 656, 1978. https://doi.org/10.1520/STP34847S.</w:t>
      </w:r>
    </w:p>
    <w:p>
      <w:pPr>
        <w:spacing w:before="0" w:after="60"/>
      </w:pPr>
      <w:r>
        <w:rPr>
          <w:sz w:val="20"/>
          <w:szCs w:val="20"/>
        </w:rPr>
        <w:t xml:space="preserve">[6] T.J. Nichol, J.A. Davis, Intergranular Corrosion Testing and Sensitization of Two High-Chromium Ferritic Stainless Steels, ASTM STP 656, 1978. https://doi.org/10.1520/STP34848S.</w:t>
      </w:r>
    </w:p>
    <w:p>
      <w:pPr>
        <w:spacing w:before="0" w:after="60"/>
      </w:pPr>
      <w:r>
        <w:rPr>
          <w:sz w:val="20"/>
          <w:szCs w:val="20"/>
        </w:rPr>
        <w:t xml:space="preserve">[7] E. Folkhard, Welding Metallurgy of Duplex Austenitic–Ferritic Stainless Steels, Springer, Vienna, 1988. https://doi.org/10.1007/978-3-7091-8965-8_8.</w:t>
      </w:r>
    </w:p>
    <w:p>
      <w:pPr>
        <w:spacing w:before="0" w:after="60"/>
      </w:pPr>
      <w:r>
        <w:rPr>
          <w:sz w:val="20"/>
          <w:szCs w:val="20"/>
        </w:rPr>
        <w:t xml:space="preserve">[8] I. Salvatori, Effect of Solidification Structure and Thermomechanical Processing on Microstructure and Texture of Ferritic Stainless Steels, Mater. Sci. Forum, 2003, 426–432, 1379–1384. https://doi.org/10.4028/www.scientific.net/MSF.426-432.1379.</w:t>
      </w:r>
    </w:p>
    <w:p>
      <w:pPr>
        <w:spacing w:before="0" w:after="60"/>
      </w:pPr>
      <w:r>
        <w:rPr>
          <w:sz w:val="20"/>
          <w:szCs w:val="20"/>
        </w:rPr>
        <w:t xml:space="preserve">[9] J.F. Grubb, R.N. Wright, P. Farrar, Micromechanisms of Brittle Fracture in Titanium-Stabilized and α′-Embrittled Ferritic Stainless Steels, ASTM STP 706, 1980. https://doi.org/10.1520/STP38202S.</w:t>
      </w:r>
    </w:p>
    <w:p>
      <w:pPr>
        <w:spacing w:before="0" w:after="60"/>
      </w:pPr>
      <w:r>
        <w:rPr>
          <w:sz w:val="20"/>
          <w:szCs w:val="20"/>
        </w:rPr>
        <w:t xml:space="preserve">[10] F. Bonollo, A. Tiziani, P. Ferro, Welding Processes, Microstructural Evolution and Final Properties of Duplex and Superduplex Stainless Steels, Wiley, 2013. https://doi.org/10.1002/9781118557990.ch4.</w:t>
      </w:r>
    </w:p>
    <w:p>
      <w:pPr>
        <w:spacing w:before="0" w:after="60"/>
      </w:pPr>
      <w:r>
        <w:rPr>
          <w:sz w:val="20"/>
          <w:szCs w:val="20"/>
        </w:rPr>
        <w:t xml:space="preserve">[11] X. Zhou et al., TiN Refinement and Resultant Grain Refinement in Magnesium-Treated Ultra-Pure Ferritic Stainless Steel, Mater. Charact., 2024, 209, 113659. https://doi.org/10.1016/j.matchar.2024.113659.</w:t>
      </w:r>
    </w:p>
    <w:p>
      <w:pPr>
        <w:spacing w:before="0" w:after="60"/>
      </w:pPr>
      <w:r>
        <w:rPr>
          <w:sz w:val="20"/>
          <w:szCs w:val="20"/>
        </w:rPr>
        <w:t xml:space="preserve">[12] R. Nishimura, Stress Corrosion Cracking of Type 430 Ferritic Stainless Steel in Chloride and Sulfate Solutions, Corrosion, 1992, 48(11), 915–922. https://doi.org/10.5006/1.3315889.</w:t>
      </w:r>
    </w:p>
    <w:p>
      <w:pPr>
        <w:spacing w:before="0" w:after="60"/>
      </w:pPr>
      <w:r>
        <w:rPr>
          <w:sz w:val="20"/>
          <w:szCs w:val="20"/>
        </w:rPr>
        <w:t xml:space="preserve">[13] M.K. Booker, V.K. Sikka, B.L.P. Booker, Comparison of the Mechanical Strength Properties of Several High-Chromium Ferritic Steels, ORNL, 1981. https://doi.org/10.2172/6044299.</w:t>
      </w:r>
    </w:p>
    <w:p>
      <w:pPr>
        <w:spacing w:before="0" w:after="60"/>
      </w:pPr>
      <w:r>
        <w:rPr>
          <w:sz w:val="20"/>
          <w:szCs w:val="20"/>
        </w:rPr>
        <w:t xml:space="preserve">[14] R.A. Lula, Ferritic Stainless Steels, in Stainless Steels for Design Engineers, ASM International, 2008. https://doi.org/10.31399/asm.tb.ssde.t52310109.</w:t>
      </w:r>
    </w:p>
    <w:p>
      <w:pPr>
        <w:spacing w:before="0" w:after="60"/>
      </w:pPr>
      <w:r>
        <w:rPr>
          <w:sz w:val="20"/>
          <w:szCs w:val="20"/>
        </w:rPr>
        <w:t xml:space="preserve">[15] P. Rosemann et al., Influence of Microstructure and Surface Treatment on the Corrosion Resistance of Martensitic Stainless Steels, Mater. Corros., 2015, 66(1), 84–95. https://doi.org/10.1002/maco.201307276.</w:t>
      </w:r>
    </w:p>
    <w:p>
      <w:pPr>
        <w:spacing w:before="0" w:after="60"/>
      </w:pPr>
      <w:r>
        <w:rPr>
          <w:sz w:val="20"/>
          <w:szCs w:val="20"/>
        </w:rPr>
        <w:t xml:space="preserve">[16] J. Pöpperlová et al., Up-Scaling of Thermomechanically Induced Laves Phase Precipitation in HiperFer Stainless Steels, Materials, 2021, 14(7), 1635. https://doi.org/10.3390/ma14071635.</w:t>
      </w:r>
    </w:p>
    <w:p>
      <w:pPr>
        <w:spacing w:before="0" w:after="60"/>
      </w:pPr>
      <w:r>
        <w:rPr>
          <w:sz w:val="20"/>
          <w:szCs w:val="20"/>
        </w:rPr>
        <w:t xml:space="preserve">[17] J. Charles, Plain 17% Chromium Ferritic Stainless Steels, in The Alloy Tree, CRC Press, 2004. https://doi.org/10.1201/9780203024010.ch2c.</w:t>
      </w:r>
    </w:p>
    <w:p>
      <w:pPr>
        <w:spacing w:before="0" w:after="60"/>
      </w:pPr>
      <w:r>
        <w:rPr>
          <w:sz w:val="20"/>
          <w:szCs w:val="20"/>
        </w:rPr>
        <w:t xml:space="preserve">[18] H.R. Park, M.Y. Song, Variation in the Oxidation Behavior of a Polished Ferritic Stainless Steel with Thermal Cycling, Korean J. Met. Mater., 2014, 52(6), 421–428. https://doi.org/10.3365/kjmm.2014.52.6.421.</w:t>
      </w:r>
    </w:p>
    <w:p>
      <w:pPr>
        <w:spacing w:before="0" w:after="60"/>
      </w:pPr>
      <w:r>
        <w:rPr>
          <w:sz w:val="20"/>
          <w:szCs w:val="20"/>
        </w:rPr>
        <w:t xml:space="preserve">[19] H. Xiang et al., Grain-Coarsening Induced Joint Enhancement for Ultrasonic Welding of Duplex Stainless Steel, Mater. Sci. Eng. A, 2025, 930, 148840. https://doi.org/10.1016/j.msea.2025.148840.</w:t>
      </w:r>
    </w:p>
    <w:p>
      <w:pPr>
        <w:spacing w:before="0" w:after="60"/>
      </w:pPr>
      <w:r>
        <w:rPr>
          <w:sz w:val="20"/>
          <w:szCs w:val="20"/>
        </w:rPr>
        <w:t xml:space="preserve">[20] Z. Zhang et al., Microstructure Evolution in Heat Affected Zone of T4003 Ferritic Stainless Steel, Mater. Des., 2015, 65, 1087–1095. https://doi.org/10.1016/j.matdes.2014.12.018.</w:t>
      </w:r>
    </w:p>
    <w:p>
      <w:pPr>
        <w:spacing w:before="0" w:after="60"/>
      </w:pPr>
      <w:r>
        <w:rPr>
          <w:sz w:val="20"/>
          <w:szCs w:val="20"/>
        </w:rPr>
        <w:t xml:space="preserve">[21] M. Naghizadeh, H. Mirzadeh, Effects of Grain Size on Mechanical Properties and Work-Hardening Behavior of AISI 304, Steel Res. Int., 2019, 90(10), 1900153. https://doi.org/10.1002/srin.201900153.</w:t>
      </w:r>
    </w:p>
    <w:p>
      <w:pPr>
        <w:spacing w:before="0" w:after="60"/>
      </w:pPr>
      <w:r>
        <w:rPr>
          <w:sz w:val="20"/>
          <w:szCs w:val="20"/>
        </w:rPr>
        <w:t xml:space="preserve">[22] C.-C. Hsieh, W. Wu, Overview of Intermetallic Sigma Phase Precipitation in Stainless Steels, ISRN Metall., 2012, 2012, 732471. https://doi.org/10.5402/2012/732471.</w:t>
      </w:r>
    </w:p>
    <w:p>
      <w:pPr>
        <w:spacing w:before="0" w:after="60"/>
      </w:pPr>
      <w:r>
        <w:rPr>
          <w:sz w:val="20"/>
          <w:szCs w:val="20"/>
        </w:rPr>
        <w:t xml:space="preserve">[23] J. Charles, Martensitic and Ferritic Stainless Steels, in The Alloy Tree, CRC Press, 2004. https://doi.org/10.1201/9780203024010.ch0c.</w:t>
      </w:r>
    </w:p>
    <w:p>
      <w:pPr>
        <w:spacing w:before="0" w:after="60"/>
      </w:pPr>
      <w:r>
        <w:rPr>
          <w:sz w:val="20"/>
          <w:szCs w:val="20"/>
        </w:rPr>
        <w:t xml:space="preserve">[24] American Welding Society, Solidification Cracking Mechanism of Carbon Steel Weld Metal, Welding J., 2018, 97(2), 45S–54S. https://doi.org/10.29391/2018.97.005.</w:t>
      </w:r>
    </w:p>
    <w:p>
      <w:pPr>
        <w:spacing w:before="0" w:after="60"/>
      </w:pPr>
      <w:r>
        <w:rPr>
          <w:sz w:val="20"/>
          <w:szCs w:val="20"/>
        </w:rPr>
        <w:t xml:space="preserve">[25] D. Chauveau, Review of NDT and Process Monitoring Techniques for Welding or Additive Manufacturing, Welding in the World, 2018, 62(5), 1097–1118. https://doi.org/10.1007/s40194-018-0609-3.</w:t>
      </w:r>
    </w:p>
    <w:p>
      <w:pPr>
        <w:spacing w:before="0" w:after="60"/>
      </w:pPr>
      <w:r>
        <w:rPr>
          <w:sz w:val="20"/>
          <w:szCs w:val="20"/>
        </w:rPr>
        <w:t xml:space="preserve">[26] N. Luptáková et al., The Irradiation Effects in Ferritic, Ferritic–Martensitic and Austenitic ODS Alloys: A Review, Materials, 2024, 17(14), 3409. https://doi.org/10.3390/ma17143409.</w:t>
      </w:r>
    </w:p>
    <w:p>
      <w:pPr>
        <w:spacing w:before="0" w:after="60"/>
      </w:pPr>
      <w:r>
        <w:rPr>
          <w:sz w:val="20"/>
          <w:szCs w:val="20"/>
        </w:rPr>
        <w:t xml:space="preserve">[27] S. Tokita, H. Kokawa, Y.S. Sato, Influence of Thermomechanical Process Parameters on Abnormal Grain Growth in 304 Stainless Steel, SSRN, 2024. https://doi.org/10.2139/ssrn.4896578.</w:t>
      </w:r>
    </w:p>
    <w:p>
      <w:pPr>
        <w:spacing w:before="0" w:after="60"/>
      </w:pPr>
      <w:r>
        <w:rPr>
          <w:sz w:val="20"/>
          <w:szCs w:val="20"/>
        </w:rPr>
        <w:t xml:space="preserve">[28] M. Jokar, X. Guo, G.S. Frankel, Machine Learning Approaches to Model Galvanic Corrosion of Coated Al Alloy Systems, Corrosion, 2022, 78(12), 1103–1116. https://doi.org/10.5006/4175.</w:t>
      </w:r>
    </w:p>
    <w:p>
      <w:pPr>
        <w:spacing w:before="0" w:after="60"/>
      </w:pPr>
      <w:r>
        <w:rPr>
          <w:sz w:val="20"/>
          <w:szCs w:val="20"/>
        </w:rPr>
        <w:t xml:space="preserve">[29] D. Solanki, M. Shah, M. Prajapati, The Role of Geothermal and Wind Energy in Hydrogen Production, Carbon Neutral Systems, 2025. https://doi.org/10.1007/s44438-025-00008-w.</w:t>
      </w:r>
    </w:p>
    <w:p>
      <w:pPr>
        <w:spacing w:before="0" w:after="60"/>
      </w:pPr>
      <w:r>
        <w:rPr>
          <w:sz w:val="20"/>
          <w:szCs w:val="20"/>
        </w:rPr>
        <w:t xml:space="preserve">[30] R.D. Campbell, Ferritic Stainless Steel Welding Metallurgy, Key Eng. Mater., 1992, 69–70, 167–180. https://doi.org/10.4028/www.scientific.net/KEM.69-70.167.</w:t>
      </w:r>
    </w:p>
    <w:p>
      <w:pPr>
        <w:spacing w:before="0" w:after="60"/>
      </w:pPr>
      <w:r>
        <w:rPr>
          <w:sz w:val="20"/>
          <w:szCs w:val="20"/>
        </w:rPr>
        <w:t xml:space="preserve">[31] H.E. Deverell, Toughness Properties of Vacuum Induction Melted High-Chromium Ferritic Stainless Steels, ASTM STP 706, 1980. https://doi.org/10.1520/STP38208S.</w:t>
      </w:r>
    </w:p>
    <w:p>
      <w:pPr>
        <w:spacing w:before="0" w:after="60"/>
      </w:pPr>
      <w:r>
        <w:rPr>
          <w:sz w:val="20"/>
          <w:szCs w:val="20"/>
        </w:rPr>
        <w:t xml:space="preserve">[32] Choice Reviews Online, Welding Metallurgy and Weldability of Stainless Steels, 2005, 43(04). https://doi.org/10.5860/choice.43-2230.</w:t>
      </w:r>
    </w:p>
    <w:p>
      <w:pPr>
        <w:spacing w:before="0" w:after="60"/>
      </w:pPr>
      <w:r>
        <w:rPr>
          <w:sz w:val="20"/>
          <w:szCs w:val="20"/>
        </w:rPr>
        <w:t xml:space="preserve">[33] C. Tembhurkar et al., Cold Metal Transfer Welding of 316L/430 Dissimilar Stainless-Steel Welds, Anti-Corros. Methods Mater., 2025. https://doi.org/10.1108/acmm-03-2023-2774.</w:t>
      </w:r>
    </w:p>
    <w:p>
      <w:pPr>
        <w:spacing w:before="0" w:after="60"/>
      </w:pPr>
      <w:r>
        <w:rPr>
          <w:sz w:val="20"/>
          <w:szCs w:val="20"/>
        </w:rPr>
        <w:t xml:space="preserve">[34] E. Taban et al., Laser Welding of Modified 12% Cr Stainless Steel, Mater. Des., 2009, 30(4), 1193–1200. https://doi.org/10.1016/j.matdes.2008.06.030.</w:t>
      </w:r>
    </w:p>
    <w:p>
      <w:pPr>
        <w:spacing w:before="0" w:after="60"/>
      </w:pPr>
      <w:r>
        <w:rPr>
          <w:sz w:val="20"/>
          <w:szCs w:val="20"/>
        </w:rPr>
        <w:t xml:space="preserve">[35] M. Mukherjee, T.K. Pal, Influence of Heat Input on Martensite Formation and Impact Property of Ferritic–Austenitic Dissimilar Weld Metals, J. Mater. Sci. Technol., 2012, 28(4), 343–350. https://doi.org/10.1016/S1005-0302(12)60066-8.</w:t>
      </w:r>
    </w:p>
    <w:p>
      <w:pPr>
        <w:spacing w:before="0" w:after="60"/>
      </w:pPr>
      <w:r>
        <w:rPr>
          <w:sz w:val="20"/>
          <w:szCs w:val="20"/>
        </w:rPr>
        <w:t xml:space="preserve">[36] S. Anttila, P. Karjalainen, S. Lantto, Mechanical Properties of Ferritic Stainless Steel Welds Using Type 409 and 430 Filler Metals, Welding in the World, 2013, 57(2), 273–282. https://doi.org/10.1007/s40194-013-0033-7.</w:t>
      </w:r>
    </w:p>
    <w:p>
      <w:pPr>
        <w:spacing w:before="0" w:after="60"/>
      </w:pPr>
      <w:r>
        <w:rPr>
          <w:sz w:val="20"/>
          <w:szCs w:val="20"/>
        </w:rPr>
        <w:t xml:space="preserve">[37] A.C. Davies, Submerged Arc Welding, in Welding Processes Handbook, CRC Press, 2003. https://doi.org/10.1201/9780203499764.ch7.</w:t>
      </w:r>
    </w:p>
    <w:p>
      <w:pPr>
        <w:spacing w:before="0" w:after="60"/>
      </w:pPr>
      <w:r>
        <w:rPr>
          <w:sz w:val="20"/>
          <w:szCs w:val="20"/>
        </w:rPr>
        <w:t xml:space="preserve">[38] M. du Toit, J. Naudé, The Influence of Stabilization with Titanium on HAZ Sensitization of 11–12% Cr Ferritic Stainless Steels, Welding in the World, 2011, 55(3–4), 44–52. https://doi.org/10.1007/BF03321285.</w:t>
      </w:r>
    </w:p>
    <w:p>
      <w:pPr>
        <w:spacing w:before="0" w:after="60"/>
      </w:pPr>
      <w:r>
        <w:rPr>
          <w:sz w:val="20"/>
          <w:szCs w:val="20"/>
        </w:rPr>
        <w:t xml:space="preserve">[39] N. Suutala, T. Takalo, T. Moisio, The Relationship Between Solidification and Microstructure in Austenitic and Austenitic–Ferritic Stainless Steel Welds, Metall. Trans. A, 1979, 10(4), 512–514. https://doi.org/10.1007/BF02697081.</w:t>
      </w:r>
    </w:p>
    <w:p>
      <w:pPr>
        <w:spacing w:before="0" w:after="60"/>
      </w:pPr>
      <w:r>
        <w:rPr>
          <w:sz w:val="20"/>
          <w:szCs w:val="20"/>
        </w:rPr>
        <w:t xml:space="preserve">[40] T. Khuenkaew, K. Kanlayasiri, Resistance Spot Welding of SUS316L/SUS425 Stainless Steels, Metals, 2019, 9(6), 710. https://doi.org/10.3390/met9060710.</w:t>
      </w:r>
    </w:p>
    <w:p>
      <w:pPr>
        <w:spacing w:before="0" w:after="60"/>
      </w:pPr>
      <w:r>
        <w:rPr>
          <w:sz w:val="20"/>
          <w:szCs w:val="20"/>
        </w:rPr>
        <w:t xml:space="preserve">[41] S. Prathivraj, R. Oyyaravelu, Effect of Interpass Temperature on Austenite–Ferrite Ratio of WAAM 2507 Super Duplex Stainless Steel, SSRN, 2024. https://doi.org/10.2139/ssrn.4687443.</w:t>
      </w:r>
    </w:p>
    <w:p>
      <w:pPr>
        <w:spacing w:before="0" w:after="60"/>
      </w:pPr>
      <w:r>
        <w:rPr>
          <w:sz w:val="20"/>
          <w:szCs w:val="20"/>
        </w:rPr>
        <w:t xml:space="preserve">[42] A.S. Elmesalamy et al., Process Parameter Interactions in Multiple-Pass Ultra-Narrow-Gap Laser Welding of Thick-Section Stainless Steels, Int. J. Adv. Manuf. Technol., 2013, 67, 2125–2135. https://doi.org/10.1007/s00170-013-4739-x.</w:t>
      </w:r>
    </w:p>
    <w:p>
      <w:pPr>
        <w:spacing w:before="0" w:after="60"/>
      </w:pPr>
      <w:r>
        <w:rPr>
          <w:sz w:val="20"/>
          <w:szCs w:val="20"/>
        </w:rPr>
        <w:t xml:space="preserve">[43] Y.L. Sun et al., Characterisation and Modelling of Tempering During Multi-Pass Welding, J. Mater. Process. Technol., 2019, 270, 60–71. https://doi.org/10.1016/j.jmatprotec.2019.02.015.</w:t>
      </w:r>
    </w:p>
    <w:p>
      <w:pPr>
        <w:spacing w:before="0" w:after="60"/>
      </w:pPr>
      <w:r>
        <w:rPr>
          <w:sz w:val="20"/>
          <w:szCs w:val="20"/>
        </w:rPr>
        <w:t xml:space="preserve">[44] S. Baskutis et al., Comparative Research of Microstructure and Mechanical Properties of Stainless and Structural Steel Dissimilar Welds, Materials, 2021, 14(20), 6180. https://doi.org/10.3390/ma14206180.</w:t>
      </w:r>
    </w:p>
    <w:p>
      <w:pPr>
        <w:spacing w:before="0" w:after="60"/>
      </w:pPr>
      <w:r>
        <w:rPr>
          <w:sz w:val="20"/>
          <w:szCs w:val="20"/>
        </w:rPr>
        <w:t xml:space="preserve">[45] C.-H. Lee, K.-H. Chang, Comparative Study on Girth Weld-Induced Residual Stresses Between Austenitic and Duplex Stainless Steel Pipe Welds, Appl. Therm. Eng., 2014, 63(1), 140–147. https://doi.org/10.1016/j.applthermaleng.2013.11.001.</w:t>
      </w:r>
    </w:p>
    <w:p>
      <w:pPr>
        <w:spacing w:before="0" w:after="60"/>
      </w:pPr>
      <w:r>
        <w:rPr>
          <w:sz w:val="20"/>
          <w:szCs w:val="20"/>
        </w:rPr>
        <w:t xml:space="preserve">[46] G. Luo et al., Developing a Novel Phase Balance of Duplex Stainless Steel for Exceptional Mechanical Properties and Corrosion Resistance, Scr. Mater., 2025, 244, 116467. https://doi.org/10.1016/j.scriptamat.2024.116467.</w:t>
      </w:r>
    </w:p>
    <w:p>
      <w:pPr>
        <w:spacing w:before="0" w:after="60"/>
      </w:pPr>
      <w:r>
        <w:rPr>
          <w:sz w:val="20"/>
          <w:szCs w:val="20"/>
        </w:rPr>
        <w:t xml:space="preserve">[47] X.-Z. Huang, D. Wang, Y.-T. Yang, Effect of Precipitation on Intergranular Corrosion Resistance of 430 Ferritic Stainless Steel, J. Iron Steel Res. Int., 2015, 22(11), 1031–1037. https://doi.org/10.1016/S1006-706X(15)30113-8.</w:t>
      </w:r>
    </w:p>
    <w:p>
      <w:pPr>
        <w:spacing w:before="0" w:after="60"/>
      </w:pPr>
      <w:r>
        <w:rPr>
          <w:sz w:val="20"/>
          <w:szCs w:val="20"/>
        </w:rPr>
        <w:t xml:space="preserve">[48] W. Yang et al., Constitutive Equations of Austenitic Stainless Steels Under High Strain Rate Loading, JOM, 2025. https://doi.org/10.1007/s11837-025-07262-w.</w:t>
      </w:r>
    </w:p>
    <w:p>
      <w:pPr>
        <w:spacing w:before="0" w:after="60"/>
      </w:pPr>
      <w:r>
        <w:rPr>
          <w:sz w:val="20"/>
          <w:szCs w:val="20"/>
        </w:rPr>
        <w:t xml:space="preserve">[49] M. Tobah et al., Microstructural and Hall–Petch Analysis of Additively Manufactured Ferritic Alloy Using 2507 Duplex Stainless Steel Powder, Crystals, 2024, 14(1), 81. https://doi.org/10.3390/cryst14010081.</w:t>
      </w:r>
    </w:p>
    <w:p>
      <w:pPr>
        <w:spacing w:before="0" w:after="60"/>
      </w:pPr>
      <w:r>
        <w:rPr>
          <w:sz w:val="20"/>
          <w:szCs w:val="20"/>
        </w:rPr>
        <w:t xml:space="preserve">[50] A. Ferreira Filho et al., Texture Evolution of Ferritic (AISI 430) Stainless Steel Strips During Cold Rolling, Annealing and Drawing, Mater. Sci. Forum, 2007, 539–543, 4926–4931. https://doi.org/10.4028/0-87849-428-6.4926.</w:t>
      </w:r>
    </w:p>
    <w:p>
      <w:pPr>
        <w:spacing w:before="0" w:after="60"/>
      </w:pPr>
      <w:r>
        <w:rPr>
          <w:sz w:val="20"/>
          <w:szCs w:val="20"/>
        </w:rPr>
        <w:t xml:space="preserve">[51] T.R. de Oliveira, F. Montheillet, Evolution of Microstructure and Texture During Hot Torsion of Nb- and Ti-Stabilized Ferritic Stainless Steels, Steel Res. Int., 2008, 79(6), 476–483. https://doi.org/10.1002/srin.200806158.</w:t>
      </w:r>
    </w:p>
    <w:p>
      <w:pPr>
        <w:spacing w:before="0" w:after="60"/>
      </w:pPr>
      <w:r>
        <w:rPr>
          <w:sz w:val="20"/>
          <w:szCs w:val="20"/>
        </w:rPr>
        <w:t xml:space="preserve">[52] M. Maazouz, Microstructural and Mechanical Characterization of Spot Welds on AISI 430 Ferritic Stainless Steel Sheets, Przegląd Elektrotechniczny, 2024, 100(6), 279–282. https://doi.org/10.15199/48.2024.06.61.</w:t>
      </w:r>
    </w:p>
    <w:p>
      <w:pPr>
        <w:spacing w:before="0" w:after="60"/>
      </w:pPr>
      <w:r>
        <w:rPr>
          <w:sz w:val="20"/>
          <w:szCs w:val="20"/>
        </w:rPr>
        <w:t xml:space="preserve">[53] G. Guo, Y. Shen, Friction Stir Welding of Dissimilar Stainless Steels, Mater. Res. Express, 2019, 6(3), 036516. https://doi.org/10.1088/2053-1591/ab015b.</w:t>
      </w:r>
    </w:p>
    <w:p>
      <w:pPr>
        <w:spacing w:before="0" w:after="60"/>
      </w:pPr>
      <w:r>
        <w:rPr>
          <w:sz w:val="20"/>
          <w:szCs w:val="20"/>
        </w:rPr>
        <w:t xml:space="preserve">[54] S.H.C. Park et al., Corrosion Properties in Friction Stir Welded 304 Austenitic Stainless Steel, Welding in the World, 2005, 49(3), 63–73. https://doi.org/10.1007/BF03266407.</w:t>
      </w:r>
    </w:p>
    <w:p>
      <w:pPr>
        <w:spacing w:before="0" w:after="60"/>
      </w:pPr>
      <w:r>
        <w:rPr>
          <w:sz w:val="20"/>
          <w:szCs w:val="20"/>
        </w:rPr>
        <w:t xml:space="preserve">[55] R. Gunn (Ed.), Duplex Stainless Steels: Microstructure, Properties and Applications, Woodhead, 1997. https://doi.org/10.1533/9781845698775.</w:t>
      </w:r>
    </w:p>
    <w:p>
      <w:pPr>
        <w:spacing w:before="0" w:after="60"/>
      </w:pPr>
      <w:r>
        <w:rPr>
          <w:sz w:val="20"/>
          <w:szCs w:val="20"/>
        </w:rPr>
        <w:t xml:space="preserve">[56] J.O. Nilsson, Super Duplex Stainless Steels, Mater. Sci. Technol., 1992, 8(8), 685–700. https://doi.org/10.1179/mst.1992.8.8.685.</w:t>
      </w:r>
    </w:p>
    <w:p>
      <w:pPr>
        <w:spacing w:before="0" w:after="60"/>
      </w:pPr>
      <w:r>
        <w:rPr>
          <w:sz w:val="20"/>
          <w:szCs w:val="20"/>
        </w:rPr>
        <w:t xml:space="preserve">[57] K.H. Lo, C.H. Shek, J.K.L. Lai, Recent Developments in Stainless Steels, Mater. Sci. Eng. R, 2009, 65(4–6), 39–104. https://doi.org/10.1016/j.mser.2009.03.001.</w:t>
      </w:r>
    </w:p>
    <w:p>
      <w:pPr>
        <w:spacing w:before="0" w:after="60"/>
      </w:pPr>
      <w:r>
        <w:rPr>
          <w:sz w:val="20"/>
          <w:szCs w:val="20"/>
        </w:rPr>
        <w:t xml:space="preserve">[58] R.T. Loto, Study of the Corrosion Resistance of Type 304L and 316 Austenitic Stainless Steels in Acid Chloride Solution, Orient. J. Chem., 2017, 33(3), 1301–1309. https://doi.org/10.13005/ojc/330311.</w:t>
      </w:r>
    </w:p>
    <w:p>
      <w:pPr>
        <w:spacing w:before="0" w:after="60"/>
      </w:pPr>
      <w:r>
        <w:rPr>
          <w:sz w:val="20"/>
          <w:szCs w:val="20"/>
        </w:rPr>
        <w:t xml:space="preserve">[59] T. Bellezze et al., Corrosion Behaviour of Austenitic and Duplex Stainless Steels in an Industrial Strongly Acidic Solution, Mater. Corros., 2016, 67(8), 831–838. https://doi.org/10.1002/maco.201508708.</w:t>
      </w:r>
    </w:p>
    <w:p>
      <w:pPr>
        <w:spacing w:before="0" w:after="60"/>
      </w:pPr>
      <w:r>
        <w:rPr>
          <w:sz w:val="20"/>
          <w:szCs w:val="20"/>
        </w:rPr>
        <w:t xml:space="preserve">[60] J.M. Bastidas et al., Influence of Molybdenum on Passivation of Polarised Stainless Steels in a Chloride Environment, Corros. Sci., 2002, 44(3), 625–633. https://doi.org/10.1016/S0010-938X(01)00080-0.</w:t>
      </w:r>
    </w:p>
    <w:p>
      <w:pPr>
        <w:spacing w:before="0" w:after="60"/>
      </w:pPr>
      <w:r>
        <w:rPr>
          <w:sz w:val="20"/>
          <w:szCs w:val="20"/>
        </w:rPr>
        <w:t xml:space="preserve">[61] Y. Xie et al., Corrosion Behaviour of Stainless Steel Exposed to Highly Concentrated Chloride Solutions, Corros. Eng. Sci. Technol., 2017, 52(4), 283–293. https://doi.org/10.1080/1478422X.2016.1275418.</w:t>
      </w:r>
    </w:p>
    <w:p>
      <w:pPr>
        <w:spacing w:before="0" w:after="60"/>
      </w:pPr>
      <w:r>
        <w:rPr>
          <w:sz w:val="20"/>
          <w:szCs w:val="20"/>
          <w:highlight w:val="yellow"/>
        </w:rPr>
        <w:t xml:space="preserve">[62] F. Ostovan, E. Shafiei, M. Toozandehjani, I.F. Mohamed, M. Soltani, On the Role of Molybdenum on the Microstructural, Mechanical and Corrosion Properties of the GTAW AISI 316 Stainless Steel Welds, J. Mater. Res. Technol., 2021, 13, 2115–2125. https://doi.org/10.1016/j.jmrt.2021.05.095. [VERIFIED]</w:t>
      </w:r>
    </w:p>
    <w:p>
      <w:pPr>
        <w:spacing w:before="0" w:after="60"/>
      </w:pPr>
      <w:r>
        <w:rPr>
          <w:sz w:val="20"/>
          <w:szCs w:val="20"/>
          <w:highlight w:val="yellow"/>
        </w:rPr>
        <w:t xml:space="preserve">[63] [Materials Chemistry and Physics, 2021, article 124839] https://doi.org/10.1016/j.matchemphys.2021.124839 — title/authors to be confirmed by the authors (automated metadata access was blocked). [AUTHOR TO VERIFY]</w:t>
      </w:r>
    </w:p>
    <w:p>
      <w:pPr>
        <w:spacing w:before="0" w:after="60"/>
      </w:pPr>
      <w:r>
        <w:rPr>
          <w:sz w:val="20"/>
          <w:szCs w:val="20"/>
          <w:highlight w:val="yellow"/>
        </w:rPr>
        <w:t xml:space="preserve">[64] [Materials Research Express, 2019] https://doi.org/10.1088/2053-1591/ab1fcb — title/authors to be confirmed by the authors (automated metadata access was blocked). [AUTHOR TO VERIFY]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lvl>
  </w:abstractNum>
  <w:num w:numId="1">
    <w:abstractNumId w:val="0"/>
  </w:num>
</w:numbering>
</file>

<file path=word/_rels/document.xml.rels><?xml version="1.0" encoding="UTF-8" standalone="yes"?>
<Relationships xmlns="http://schemas.openxmlformats.org/package/2006/relationships"><Relationship Id="rId1" Type="http://schemas.openxmlformats.org/officeDocument/2006/relationships/numbering" Target="numbering.xml"/></Relationships>
</file>