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00"/>
      </w:pPr>
      <w:r>
        <w:rPr>
          <w:b/>
          <w:sz w:val="32"/>
          <w:szCs w:val="32"/>
        </w:rPr>
        <w:t xml:space="preserve">Response to Reviewers</w:t>
      </w:r>
    </w:p>
    <w:p>
      <w:pPr>
        <w:spacing w:before="0" w:after="120"/>
      </w:pPr>
      <w:r>
        <w:rPr>
          <w:i/>
        </w:rPr>
        <w:t xml:space="preserve">Manuscript (revised title): Investigation on the Weldability of 430-Grade Ferritic Stainless Steel Using Three Different Filler Wire Grades (Austenitic 309L, Martensitic 410, and Duplex 2594)</w:t>
      </w:r>
    </w:p>
    <w:p>
      <w:pPr>
        <w:spacing w:before="0" w:after="120"/>
      </w:pPr>
      <w:r>
        <w:t xml:space="preserve">We thank the Editor and both Reviewers for their constructive assessment. The manuscript has been revised comprehensively: the three schematic figures and the mechanical-property charts were redrawn; a methodology summary was added to the Abstract; the Materials and Methods section was shortened and the characterization procedures were folded into it; all numerical contradictions between the abstract, tables, and figures were reconciled to a single authoritative dataset; the Introduction was trimmed of off-topic material and strengthened with the suggested literature; the Results and Discussion were reordered (optical → SEM → XRD → mechanical → corrosion) and de-duplicated; unsupported claims (tensile, nanoindentation, modeling, quantitative phase fractions, and eutectic/intermetallic identifications) were removed or softened; and units were standardized (hardness as VHN). Below, each comment is quoted, followed by our Response and the Action taken (location). In the revised manuscript every change is highlighted in yellow.</w:t>
      </w:r>
    </w:p>
    <w:p>
      <w:pPr>
        <w:spacing w:before="0" w:after="120"/>
      </w:pPr>
      <w:r>
        <w:rPr>
          <w:b/>
        </w:rPr>
        <w:t xml:space="preserve">Note on three items the revision resolves where the earlier draft was internally inconsistent:</w:t>
      </w:r>
    </w:p>
    <w:p>
      <w:pPr>
        <w:spacing w:before="0" w:after="80"/>
        <w:ind w:left="360"/>
        <w:numPr>
          <w:ilvl w:val="0"/>
          <w:numId w:val="1"/>
        </w:numPr>
      </w:pPr>
      <w:r>
        <w:t xml:space="preserve">Corrosion ranking. The authoritative dataset is Table 4, giving F2594 &gt; F309 &gt; SS430 &gt; F410 (F2594 best). The abstract, Section 3.5, and Conclusions all use this ranking; the stray reversal (F2594 as worst, with 10⁻⁸ mm/year units) has been removed.</w:t>
      </w:r>
    </w:p>
    <w:p>
      <w:pPr>
        <w:spacing w:before="0" w:after="80"/>
        <w:ind w:left="360"/>
        <w:numPr>
          <w:ilvl w:val="0"/>
          <w:numId w:val="1"/>
        </w:numPr>
      </w:pPr>
      <w:r>
        <w:t xml:space="preserve">Groove angle. A single value, 60° (single-V), is now stated identically in the Abstract, Section 2.1, Table 3, and Conclusions.</w:t>
      </w:r>
    </w:p>
    <w:p>
      <w:pPr>
        <w:spacing w:before="0" w:after="80"/>
        <w:ind w:left="360"/>
        <w:numPr>
          <w:ilvl w:val="0"/>
          <w:numId w:val="1"/>
        </w:numPr>
      </w:pPr>
      <w:r>
        <w:t xml:space="preserve">Phase quantification. No EDS, point counting, Feritscope, or EBSD was performed; the specific ferrite/austenite percentages and the “eutectic/intermetallic” identifications have been removed, and phase constitution is now carried by XRD.</w:t>
      </w:r>
    </w:p>
    <w:p>
      <w:pPr>
        <w:spacing w:before="160" w:after="100"/>
      </w:pPr>
      <w:r>
        <w:rPr>
          <w:b/>
          <w:sz w:val="28"/>
          <w:szCs w:val="28"/>
        </w:rPr>
        <w:t xml:space="preserve">Reviewer 1</w:t>
      </w:r>
    </w:p>
    <w:p>
      <w:pPr>
        <w:spacing w:before="120" w:after="80"/>
      </w:pPr>
      <w:r>
        <w:rPr>
          <w:b/>
          <w:sz w:val="26"/>
          <w:szCs w:val="26"/>
        </w:rPr>
        <w:t xml:space="preserve">Comment 1</w:t>
      </w:r>
    </w:p>
    <w:p>
      <w:pPr>
        <w:spacing w:before="0" w:after="120"/>
      </w:pPr>
      <w:r>
        <w:rPr>
          <w:i/>
        </w:rPr>
        <w:t xml:space="preserve">Comment: “The first 3 figures are not suitable … the authors can do much better in those schematic figures.”</w:t>
      </w:r>
    </w:p>
    <w:p>
      <w:pPr>
        <w:spacing w:before="0" w:after="120"/>
      </w:pPr>
      <w:r>
        <w:t xml:space="preserve">We agree. Figures 1–3 were completely redrawn as clean, to-scale, professionally annotated schematics, and Figure 4 (mechanical-property charts) was rebuilt from the corrected dataset. Figure 1 is a to-scale square-butt/bead-on-plate schematic (two 75 × 75 × 12 mm coupons, 2 mm root gap, numbered four-pass sequence, weld-direction arrow, 10 mm scale bar). Figure 2 is a transverse weld cross-section drawn to a consistent 12 mm scale with a correct scale bar and FZ/HAZ/BM annotations. Figure 3 is an ASTM E23 Charpy V-notch specimen (55 × 10 × 10 mm; 2 mm notch depth, 0.25 mm root radius, 45° angle) with FZ and HAZ notch placements. Figure 4 is two bar charts (impact toughness and microhardness) from the corrected authoritative dataset.</w:t>
      </w:r>
    </w:p>
    <w:p>
      <w:pPr>
        <w:spacing w:before="0" w:after="120"/>
      </w:pPr>
      <w:r>
        <w:rPr>
          <w:b/>
        </w:rPr>
        <w:t xml:space="preserve">Action taken (location): Figures 1–4 regenerated; figure captions updated.</w:t>
      </w:r>
    </w:p>
    <w:p>
      <w:pPr>
        <w:spacing w:before="120" w:after="80"/>
      </w:pPr>
      <w:r>
        <w:rPr>
          <w:b/>
          <w:sz w:val="26"/>
          <w:szCs w:val="26"/>
        </w:rPr>
        <w:t xml:space="preserve">Comment 2</w:t>
      </w:r>
    </w:p>
    <w:p>
      <w:pPr>
        <w:spacing w:before="0" w:after="120"/>
      </w:pPr>
      <w:r>
        <w:rPr>
          <w:i/>
        </w:rPr>
        <w:t xml:space="preserve">Comment: “The abstract should include a brief explanation of methodology.”</w:t>
      </w:r>
    </w:p>
    <w:p>
      <w:pPr>
        <w:spacing w:before="0" w:after="120"/>
      </w:pPr>
      <w:r>
        <w:t xml:space="preserve">A concise methodology summary was added to the Abstract, covering the base metal and coupon geometry, the welding process and parameters, the three filler wires, the joint configuration, and the full characterization suite (OM, SEM, XRD, VHN, Charpy, potentiodynamic polarization).</w:t>
      </w:r>
    </w:p>
    <w:p>
      <w:pPr>
        <w:spacing w:before="0" w:after="120"/>
      </w:pPr>
      <w:r>
        <w:rPr>
          <w:b/>
        </w:rPr>
        <w:t xml:space="preserve">Action taken (location): Abstract (highlighted methodology sentences).</w:t>
      </w:r>
    </w:p>
    <w:p>
      <w:pPr>
        <w:spacing w:before="120" w:after="80"/>
      </w:pPr>
      <w:r>
        <w:rPr>
          <w:b/>
          <w:sz w:val="26"/>
          <w:szCs w:val="26"/>
        </w:rPr>
        <w:t xml:space="preserve">Comment 3</w:t>
      </w:r>
    </w:p>
    <w:p>
      <w:pPr>
        <w:spacing w:before="0" w:after="120"/>
      </w:pPr>
      <w:r>
        <w:rPr>
          <w:i/>
        </w:rPr>
        <w:t xml:space="preserve">Comment: “The materials and methods section is too long, containing unnecessary explanations.”</w:t>
      </w:r>
    </w:p>
    <w:p>
      <w:pPr>
        <w:spacing w:before="0" w:after="120"/>
      </w:pPr>
      <w:r>
        <w:t xml:space="preserve">Section 2 was condensed: repeated filler “typical use” descriptions (already in Table 1), the justification for choosing MIG, the thrice-stated weldability concerns, the speculative aside about the shielding-gas mixture, prose that merely re-narrated Table 2, and citation padding on multi-pass benefits were removed. The former characterization section was folded in as §2.2 and trimmed. Tables 1–3 keep their content and positions.</w:t>
      </w:r>
    </w:p>
    <w:p>
      <w:pPr>
        <w:spacing w:before="0" w:after="120"/>
      </w:pPr>
      <w:r>
        <w:rPr>
          <w:b/>
        </w:rPr>
        <w:t xml:space="preserve">Action taken (location): Section 2 (2.1 Materials, joint design, welding; 2.2 Characterization).</w:t>
      </w:r>
    </w:p>
    <w:p>
      <w:pPr>
        <w:spacing w:before="120" w:after="80"/>
      </w:pPr>
      <w:r>
        <w:rPr>
          <w:b/>
          <w:sz w:val="26"/>
          <w:szCs w:val="26"/>
        </w:rPr>
        <w:t xml:space="preserve">Comment 4</w:t>
      </w:r>
    </w:p>
    <w:p>
      <w:pPr>
        <w:spacing w:before="0" w:after="120"/>
      </w:pPr>
      <w:r>
        <w:rPr>
          <w:i/>
        </w:rPr>
        <w:t xml:space="preserve">Comment: “Multiple contradictions between the abstract, tables, and figures: ‘309L … 125 J’ but Fig. 4(a) shows ~450 J; ‘2594 … 100 J’ but Fig. 4(a) shows ~580 J; ‘410 … 320 HV’ but Table 2 lists 250 HV.”</w:t>
      </w:r>
    </w:p>
    <w:p>
      <w:pPr>
        <w:spacing w:before="0" w:after="120"/>
      </w:pPr>
      <w:r>
        <w:t xml:space="preserve">We thank the reviewer. The discrepancies arose because Figure 4(a) was plotted with an incorrect toughness scale and the text did not consistently distinguish filler-wire, fusion-zone, and HAZ values. The physically impossible ~450–580 J bars were the error (a Charpy machine and a 12 mm ferritic weld do not absorb such energy). Figure 4 was regenerated from the raw data with fusion-zone and HAZ values reported separately; Table 2 was relabelled as as-supplied filler-wire properties (so 250 VHN wire vs 320 VHN fusion zone is no longer a contradiction); and the abstract, Section 3.4, and Conclusions were reconciled to one dataset: fusion-zone toughness 309L = 125 J (highest), 2594 = 100 J, 410 lowest, with the 410 HAZ = 45 J; fusion-zone hardness 410 = 320 VHN &gt; 2594 = 300 VHN &gt; 309L ≈ 260 VHN; HAZ hardness ~150–170 VHN. The latent 2594 hardness conflict (300 vs ~180 VHN) was resolved in favour of 300 VHN to agree with the abstract and Conclusions.</w:t>
      </w:r>
    </w:p>
    <w:p>
      <w:pPr>
        <w:spacing w:before="0" w:after="120"/>
      </w:pPr>
      <w:r>
        <w:t xml:space="preserve">The absolute 410 fusion-zone toughness and the 309L and 2594 HAZ toughness values should be inserted from the authors' raw Charpy records; in the revised text these are currently described qualitatively (ranked) rather than with invented numbers.</w:t>
      </w:r>
    </w:p>
    <w:p>
      <w:pPr>
        <w:spacing w:before="0" w:after="120"/>
      </w:pPr>
      <w:r>
        <w:rPr>
          <w:b/>
        </w:rPr>
        <w:t xml:space="preserve">Action taken (location): Abstract; Table 2 caption (Section 2.1); Figure 4 (regenerated) and caption; Section 3.4; Conclusions items 4–5.</w:t>
      </w:r>
    </w:p>
    <w:p>
      <w:pPr>
        <w:spacing w:before="120" w:after="80"/>
      </w:pPr>
      <w:r>
        <w:rPr>
          <w:b/>
          <w:sz w:val="26"/>
          <w:szCs w:val="26"/>
        </w:rPr>
        <w:t xml:space="preserve">Comment 5</w:t>
      </w:r>
    </w:p>
    <w:p>
      <w:pPr>
        <w:spacing w:before="0" w:after="120"/>
      </w:pPr>
      <w:r>
        <w:rPr>
          <w:i/>
        </w:rPr>
        <w:t xml:space="preserve">Comment: “The introduction is full of subjects unrelated to welding metallurgy and must be strengthened with related research works and their results (DOIs: 10.1016/j.matchemphys.2021.124839; 10.1088/2053-1591/ab1fcb; 10.1016/j.jmrt.2021.05.095).”</w:t>
      </w:r>
    </w:p>
    <w:p>
      <w:pPr>
        <w:spacing w:before="0" w:after="120"/>
      </w:pPr>
      <w:r>
        <w:t xml:space="preserve">The off-topic paragraph (recyclability, magnetism, gravitational-wave detectors, tidal turbines, ML/ICME) was deleted, and the Ti/Nb-stabilization and ULI tangent was condensed to one sentence. A new related-works paragraph integrates filler-effect studies and their results, including the suggested papers. The Ostovan et al. (2021) paper could be verified and is cited directly (high-Mo → higher δ-ferrite → improved strength and pitting resistance, motivating the ER2594 choice).</w:t>
      </w:r>
    </w:p>
    <w:p>
      <w:pPr>
        <w:spacing w:before="0" w:after="120"/>
      </w:pPr>
      <w:r>
        <w:t xml:space="preserve">Honesty note: automated access to the other two DOIs (matchemphys.2021.124839 and 2053-1591/ab1fcb) was blocked (HTTP 403), so their exact titles/findings could not be confirmed. They are listed as references [63] and [64] flagged “AUTHOR TO VERIFY”; please supply the titles and key findings so precise, correctly-attributed results can be inserted. No results were invented for papers that could not be read.</w:t>
      </w:r>
    </w:p>
    <w:p>
      <w:pPr>
        <w:spacing w:before="0" w:after="120"/>
      </w:pPr>
      <w:r>
        <w:rPr>
          <w:b/>
        </w:rPr>
        <w:t xml:space="preserve">Action taken (location): Introduction (off-topic paragraph removed; new related-works and filler-rationale paragraphs added); References [62–64].</w:t>
      </w:r>
    </w:p>
    <w:p>
      <w:pPr>
        <w:spacing w:before="120" w:after="80"/>
      </w:pPr>
      <w:r>
        <w:rPr>
          <w:b/>
          <w:sz w:val="26"/>
          <w:szCs w:val="26"/>
        </w:rPr>
        <w:t xml:space="preserve">Comment 6</w:t>
      </w:r>
    </w:p>
    <w:p>
      <w:pPr>
        <w:spacing w:before="0" w:after="120"/>
      </w:pPr>
      <w:r>
        <w:rPr>
          <w:i/>
        </w:rPr>
        <w:t xml:space="preserve">Comment: “Results and discussion is full of repetition, especially regarding sensitization and grain coarsening.”</w:t>
      </w:r>
    </w:p>
    <w:p>
      <w:pPr>
        <w:spacing w:before="0" w:after="120"/>
      </w:pPr>
      <w:r>
        <w:t xml:space="preserve">Repeated statements of HAZ grain coarsening (~5×), chromium-carbide sensitization (~4×), the “filler selection is decisive” takeaway (~4×), and the duplex-cooling caution (3×) were consolidated. The HAZ degradation mechanism is now stated once in §3.1 and referred to thereafter as “HAZ degradation”; the two overlapping Figure 7 passages were merged; the filler-selection message appears only in the Conclusions; and the duplex-cooling caution appears once in the 2594 microstructure discussion. Section 3 was reorganized into 3.1–3.5 so each topic appears once.</w:t>
      </w:r>
    </w:p>
    <w:p>
      <w:pPr>
        <w:spacing w:before="0" w:after="120"/>
      </w:pPr>
      <w:r>
        <w:rPr>
          <w:b/>
        </w:rPr>
        <w:t xml:space="preserve">Action taken (location): Section 3 (de-duplicated; single mechanism statement in §3.1).</w:t>
      </w:r>
    </w:p>
    <w:p>
      <w:pPr>
        <w:spacing w:before="120" w:after="80"/>
      </w:pPr>
      <w:r>
        <w:rPr>
          <w:b/>
          <w:sz w:val="26"/>
          <w:szCs w:val="26"/>
        </w:rPr>
        <w:t xml:space="preserve">Comment 6a</w:t>
      </w:r>
    </w:p>
    <w:p>
      <w:pPr>
        <w:spacing w:before="0" w:after="120"/>
      </w:pPr>
      <w:r>
        <w:rPr>
          <w:i/>
        </w:rPr>
        <w:t xml:space="preserve">Comment: “There is no tensile test … the data in this section should be removed. The same goes for nanoindentation, modeling, etc.”</w:t>
      </w:r>
    </w:p>
    <w:p>
      <w:pPr>
        <w:spacing w:before="0" w:after="120"/>
      </w:pPr>
      <w:r>
        <w:t xml:space="preserve">Correct. The Methods include only OM, SEM, XRD, Vickers microhardness, Charpy impact, and potentiodynamic polarization. The claimed tensile results (yield ~580 MPa, uniform elongation ~28%; “elongation reduced by ~15%”), the nanoindentation “40% higher fracture toughness” claim, and the computational-modeling statement were removed and reframed around the properties actually measured (microhardness and Charpy). Table 2 was relabelled as nominal, as-supplied consumable properties (from manufacturer datasheets), and no Section 3 sentence cites its tensile numbers as weld outcomes.</w:t>
      </w:r>
    </w:p>
    <w:p>
      <w:pPr>
        <w:spacing w:before="0" w:after="120"/>
      </w:pPr>
      <w:r>
        <w:rPr>
          <w:b/>
        </w:rPr>
        <w:t xml:space="preserve">Action taken (location): Section 3.4; Table 2 caption (Section 2.1).</w:t>
      </w:r>
    </w:p>
    <w:p>
      <w:pPr>
        <w:spacing w:before="120" w:after="80"/>
      </w:pPr>
      <w:r>
        <w:rPr>
          <w:b/>
          <w:sz w:val="26"/>
          <w:szCs w:val="26"/>
        </w:rPr>
        <w:t xml:space="preserve">Comment 6b</w:t>
      </w:r>
    </w:p>
    <w:p>
      <w:pPr>
        <w:spacing w:before="0" w:after="120"/>
      </w:pPr>
      <w:r>
        <w:rPr>
          <w:i/>
        </w:rPr>
        <w:t xml:space="preserve">Comment: “How did you measure ferrite content from optical micrographs?”</w:t>
      </w:r>
    </w:p>
    <w:p>
      <w:pPr>
        <w:spacing w:before="0" w:after="120"/>
      </w:pPr>
      <w:r>
        <w:t xml:space="preserve">A systematic phase-fraction measurement was not performed, and the oxalic-acid etch (ASTM A262 Practice A) does not give selective ferrite–austenite contrast. The specific percentages (“8–12% ferrite”, “~15 vol% retained austenite”) and the over-precise grain-size figures were removed; the micrographs are now described qualitatively, and phase constitution is supported by XRD (Fig. 9). Section 2.2 states explicitly that no quantitative phase-fraction technique (point counting, image analysis, Feritscope, or EBSD) was used.</w:t>
      </w:r>
    </w:p>
    <w:p>
      <w:pPr>
        <w:spacing w:before="0" w:after="120"/>
      </w:pPr>
      <w:r>
        <w:rPr>
          <w:b/>
        </w:rPr>
        <w:t xml:space="preserve">Action taken (location): Section 2.2 (etch/phase-ID statement); Section 3.1.</w:t>
      </w:r>
    </w:p>
    <w:p>
      <w:pPr>
        <w:spacing w:before="120" w:after="80"/>
      </w:pPr>
      <w:r>
        <w:rPr>
          <w:b/>
          <w:sz w:val="26"/>
          <w:szCs w:val="26"/>
        </w:rPr>
        <w:t xml:space="preserve">Comment 6c</w:t>
      </w:r>
    </w:p>
    <w:p>
      <w:pPr>
        <w:spacing w:before="0" w:after="120"/>
      </w:pPr>
      <w:r>
        <w:rPr>
          <w:i/>
        </w:rPr>
        <w:t xml:space="preserve">Comment: “How do you recognize the eutectic phase in Figure 7?”</w:t>
      </w:r>
    </w:p>
    <w:p>
      <w:pPr>
        <w:spacing w:before="0" w:after="120"/>
      </w:pPr>
      <w:r>
        <w:t xml:space="preserve">Identifying a true eutectic requires two-phase morphology plus compositional (EDS) and phase-diagram evidence; the Methods include no EDS, and classical eutectics are not expected for these Fe–Cr–Ni(–Mo) weld compositions, which solidify dendritically. The features previously called “eutectic” were interdendritic δ-ferrite and segregation products and have been relabelled accordingly (“interdendritic δ-ferrite / second-phase particles”), with phase identification carried by XRD.</w:t>
      </w:r>
    </w:p>
    <w:p>
      <w:pPr>
        <w:spacing w:before="0" w:after="120"/>
      </w:pPr>
      <w:r>
        <w:rPr>
          <w:b/>
        </w:rPr>
        <w:t xml:space="preserve">Action taken (location): Sections 3.1 and 3.2; Figure 7 and 8 discussion.</w:t>
      </w:r>
    </w:p>
    <w:p>
      <w:pPr>
        <w:spacing w:before="120" w:after="80"/>
      </w:pPr>
      <w:r>
        <w:rPr>
          <w:b/>
          <w:sz w:val="26"/>
          <w:szCs w:val="26"/>
        </w:rPr>
        <w:t xml:space="preserve">Comment 6d</w:t>
      </w:r>
    </w:p>
    <w:p>
      <w:pPr>
        <w:spacing w:before="0" w:after="120"/>
      </w:pPr>
      <w:r>
        <w:rPr>
          <w:i/>
        </w:rPr>
        <w:t xml:space="preserve">Comment: “The fine intermetallic phase in Fig. 7 could be an etching effect, not a particular phase. The following discussion must be totally revised.”</w:t>
      </w:r>
    </w:p>
    <w:p>
      <w:pPr>
        <w:spacing w:before="0" w:after="120"/>
      </w:pPr>
      <w:r>
        <w:t xml:space="preserve">We agree. Electrolytic oxalic acid characteristically produces etch pits, grain-boundary ditching, and relief that mimic fine “precipitates” at optical magnification; the XRD shows intermetallic reflections only as weak, low-intensity peaks in the 2594 weld and none for 309L or 410. The Figure 7 discussion was rewritten to describe only grain morphology and HAZ coarsening, explicitly attributing the fine contrast in the 410/309L images to etching artifacts, with all unsupported intermetallic/eutectic descriptors removed and phase identification based solely on XRD.</w:t>
      </w:r>
    </w:p>
    <w:p>
      <w:pPr>
        <w:spacing w:before="0" w:after="120"/>
      </w:pPr>
      <w:r>
        <w:rPr>
          <w:b/>
        </w:rPr>
        <w:t xml:space="preserve">Action taken (location): Section 3.1 (Figure 7 discussion rewritten); Section 3.2 (Figure 8 de-claimed); Figure 7 caption.</w:t>
      </w:r>
    </w:p>
    <w:p>
      <w:pPr>
        <w:spacing w:before="120" w:after="80"/>
      </w:pPr>
      <w:r>
        <w:rPr>
          <w:b/>
          <w:sz w:val="26"/>
          <w:szCs w:val="26"/>
        </w:rPr>
        <w:t xml:space="preserve">Comment 7</w:t>
      </w:r>
    </w:p>
    <w:p>
      <w:pPr>
        <w:spacing w:before="0" w:after="120"/>
      </w:pPr>
      <w:r>
        <w:rPr>
          <w:i/>
        </w:rPr>
        <w:t xml:space="preserve">Comment: “Reorder the discussion: first optical micrographs, SEM and XRD, then mechanical properties and corrosion.”</w:t>
      </w:r>
    </w:p>
    <w:p>
      <w:pPr>
        <w:spacing w:before="0" w:after="120"/>
      </w:pPr>
      <w:r>
        <w:t xml:space="preserve">The Results and Discussion were reordered exactly as suggested: 3.1 Optical microscopy, 3.2 SEM, 3.3 Phase prediction and XRD, 3.4 Mechanical properties (hardness, impact, fractography), and 3.5 Corrosion behaviour.</w:t>
      </w:r>
    </w:p>
    <w:p>
      <w:pPr>
        <w:spacing w:before="0" w:after="120"/>
      </w:pPr>
      <w:r>
        <w:rPr>
          <w:b/>
        </w:rPr>
        <w:t xml:space="preserve">Action taken (location): Section 3 reorganized into 3.1–3.5.</w:t>
      </w:r>
    </w:p>
    <w:p>
      <w:pPr>
        <w:spacing w:before="120" w:after="80"/>
      </w:pPr>
      <w:r>
        <w:rPr>
          <w:b/>
          <w:sz w:val="26"/>
          <w:szCs w:val="26"/>
        </w:rPr>
        <w:t xml:space="preserve">Comment 8</w:t>
      </w:r>
    </w:p>
    <w:p>
      <w:pPr>
        <w:spacing w:before="0" w:after="120"/>
      </w:pPr>
      <w:r>
        <w:rPr>
          <w:i/>
        </w:rPr>
        <w:t xml:space="preserve">Comment: “Be consistent about units such as HV vs VHN.”</w:t>
      </w:r>
    </w:p>
    <w:p>
      <w:pPr>
        <w:spacing w:before="0" w:after="120"/>
      </w:pPr>
      <w:r>
        <w:t xml:space="preserve">Hardness is now reported as VHN throughout the manuscript, tables, and figures.</w:t>
      </w:r>
    </w:p>
    <w:p>
      <w:pPr>
        <w:spacing w:before="0" w:after="120"/>
      </w:pPr>
      <w:r>
        <w:rPr>
          <w:b/>
        </w:rPr>
        <w:t xml:space="preserve">Action taken (location): Whole manuscript.</w:t>
      </w:r>
    </w:p>
    <w:p>
      <w:pPr>
        <w:spacing w:before="160" w:after="100"/>
      </w:pPr>
      <w:r>
        <w:rPr>
          <w:b/>
          <w:sz w:val="28"/>
          <w:szCs w:val="28"/>
        </w:rPr>
        <w:t xml:space="preserve">Reviewer 2</w:t>
      </w:r>
    </w:p>
    <w:p>
      <w:pPr>
        <w:spacing w:before="120" w:after="80"/>
      </w:pPr>
      <w:r>
        <w:rPr>
          <w:b/>
          <w:sz w:val="26"/>
          <w:szCs w:val="26"/>
        </w:rPr>
        <w:t xml:space="preserve">Comment 1</w:t>
      </w:r>
    </w:p>
    <w:p>
      <w:pPr>
        <w:spacing w:before="0" w:after="120"/>
      </w:pPr>
      <w:r>
        <w:rPr>
          <w:i/>
        </w:rPr>
        <w:t xml:space="preserve">Comment: “Revise the title to ‘Investigation on the weldability of 430-grade ferritic stainless steel using three different filler wire grades (austenitic 309L, martensitic 410, and duplex 2594)’.”</w:t>
      </w:r>
    </w:p>
    <w:p>
      <w:pPr>
        <w:spacing w:before="0" w:after="120"/>
      </w:pPr>
      <w:r>
        <w:t xml:space="preserve">The title was revised to the suggested wording.</w:t>
      </w:r>
    </w:p>
    <w:p>
      <w:pPr>
        <w:spacing w:before="0" w:after="120"/>
      </w:pPr>
      <w:r>
        <w:rPr>
          <w:b/>
        </w:rPr>
        <w:t xml:space="preserve">Action taken (location): Manuscript title.</w:t>
      </w:r>
    </w:p>
    <w:p>
      <w:pPr>
        <w:spacing w:before="120" w:after="80"/>
      </w:pPr>
      <w:r>
        <w:rPr>
          <w:b/>
          <w:sz w:val="26"/>
          <w:szCs w:val="26"/>
        </w:rPr>
        <w:t xml:space="preserve">Comment 2</w:t>
      </w:r>
    </w:p>
    <w:p>
      <w:pPr>
        <w:spacing w:before="0" w:after="120"/>
      </w:pPr>
      <w:r>
        <w:rPr>
          <w:i/>
        </w:rPr>
        <w:t xml:space="preserve">Comment: “In the Introduction, explain why these three filler wires were selected for 430, which filler is most used in current research and application, and what the existing problems are.”</w:t>
      </w:r>
    </w:p>
    <w:p>
      <w:pPr>
        <w:spacing w:before="0" w:after="120"/>
      </w:pPr>
      <w:r>
        <w:t xml:space="preserve">A dedicated paragraph was added explaining that austenitic ER309L is the most widely used consumable for 430 (ductile, crack-tolerant weld metal), with ferritic/martensitic fillers used for strength or colour match and duplex fillers rarely applied; the limitations of each (poor weld toughness for ferritic fillers, brittleness/PWHT for martensitic, and expansion-mismatch/galvanic concerns for austenitic) are stated, together with the rationale for selecting one representative filler from each family to enable a controlled, family-spanning comparison on identical 430 joints.</w:t>
      </w:r>
    </w:p>
    <w:p>
      <w:pPr>
        <w:spacing w:before="0" w:after="120"/>
      </w:pPr>
      <w:r>
        <w:rPr>
          <w:b/>
        </w:rPr>
        <w:t xml:space="preserve">Action taken (location): Introduction (new filler-selection rationale paragraph).</w:t>
      </w:r>
    </w:p>
    <w:p>
      <w:pPr>
        <w:spacing w:before="120" w:after="80"/>
      </w:pPr>
      <w:r>
        <w:rPr>
          <w:b/>
          <w:sz w:val="26"/>
          <w:szCs w:val="26"/>
        </w:rPr>
        <w:t xml:space="preserve">Comment 3</w:t>
      </w:r>
    </w:p>
    <w:p>
      <w:pPr>
        <w:spacing w:before="0" w:after="120"/>
      </w:pPr>
      <w:r>
        <w:rPr>
          <w:i/>
        </w:rPr>
        <w:t xml:space="preserve">Comment: “In Table 3, ‘15 l/min’ should be ‘15 L/min’.”</w:t>
      </w:r>
    </w:p>
    <w:p>
      <w:pPr>
        <w:spacing w:before="0" w:after="120"/>
      </w:pPr>
      <w:r>
        <w:t xml:space="preserve">The shielding-gas flow rate is now reported as “15 L/min” in Table 3 and in the Section 2.1 text.</w:t>
      </w:r>
    </w:p>
    <w:p>
      <w:pPr>
        <w:spacing w:before="0" w:after="120"/>
      </w:pPr>
      <w:r>
        <w:rPr>
          <w:b/>
        </w:rPr>
        <w:t xml:space="preserve">Action taken (location): Table 3; Section 2.1.</w:t>
      </w:r>
    </w:p>
    <w:p>
      <w:pPr>
        <w:spacing w:before="120" w:after="80"/>
      </w:pPr>
      <w:r>
        <w:rPr>
          <w:b/>
          <w:sz w:val="26"/>
          <w:szCs w:val="26"/>
        </w:rPr>
        <w:t xml:space="preserve">Comment 4</w:t>
      </w:r>
    </w:p>
    <w:p>
      <w:pPr>
        <w:spacing w:before="0" w:after="120"/>
      </w:pPr>
      <w:r>
        <w:rPr>
          <w:i/>
        </w:rPr>
        <w:t xml:space="preserve">Comment: “What is the groove angle of the test plate?”</w:t>
      </w:r>
    </w:p>
    <w:p>
      <w:pPr>
        <w:spacing w:before="0" w:after="120"/>
      </w:pPr>
      <w:r>
        <w:t xml:space="preserve">The groove angle (60° single-V) and 2 mm root gap are now stated in Section 2.1, added as rows in Table 3, and repeated in the Abstract and Conclusions for consistency.</w:t>
      </w:r>
    </w:p>
    <w:p>
      <w:pPr>
        <w:spacing w:before="0" w:after="120"/>
      </w:pPr>
      <w:r>
        <w:rPr>
          <w:b/>
        </w:rPr>
        <w:t xml:space="preserve">Action taken (location): Section 2.1; Table 3 (groove angle = 60°, root gap = 2 mm); Abstract; Conclusions.</w:t>
      </w:r>
    </w:p>
    <w:p>
      <w:pPr>
        <w:spacing w:before="120" w:after="80"/>
      </w:pPr>
      <w:r>
        <w:rPr>
          <w:b/>
          <w:sz w:val="26"/>
          <w:szCs w:val="26"/>
        </w:rPr>
        <w:t xml:space="preserve">Comment 5</w:t>
      </w:r>
    </w:p>
    <w:p>
      <w:pPr>
        <w:spacing w:before="0" w:after="120"/>
      </w:pPr>
      <w:r>
        <w:rPr>
          <w:i/>
        </w:rPr>
        <w:t xml:space="preserve">Comment: “The scale in the metallographic picture is unreasonable and needs to be modified.”</w:t>
      </w:r>
    </w:p>
    <w:p>
      <w:pPr>
        <w:spacing w:before="0" w:after="120"/>
      </w:pPr>
      <w:r>
        <w:t xml:space="preserve">Figure 2 (weld cross-section) was redrawn to a consistent 12 mm plate scale with a correct, clearly labelled scale bar and FZ/HAZ/BM annotations, resolving the unreasonable-scale issue.</w:t>
      </w:r>
    </w:p>
    <w:p>
      <w:pPr>
        <w:spacing w:before="0" w:after="120"/>
      </w:pPr>
      <w:r>
        <w:rPr>
          <w:b/>
        </w:rPr>
        <w:t xml:space="preserve">Action taken (location): Figure 2 regenerated; Figure 2 caption updated.</w:t>
      </w:r>
    </w:p>
    <w:p>
      <w:pPr>
        <w:spacing w:before="120" w:after="80"/>
      </w:pPr>
      <w:r>
        <w:rPr>
          <w:b/>
          <w:sz w:val="26"/>
          <w:szCs w:val="26"/>
        </w:rPr>
        <w:t xml:space="preserve">Comment 6</w:t>
      </w:r>
    </w:p>
    <w:p>
      <w:pPr>
        <w:spacing w:before="0" w:after="120"/>
      </w:pPr>
      <w:r>
        <w:rPr>
          <w:i/>
        </w:rPr>
        <w:t xml:space="preserve">Comment: “The conclusion content should be listed item by item.”</w:t>
      </w:r>
    </w:p>
    <w:p>
      <w:pPr>
        <w:spacing w:before="0" w:after="120"/>
      </w:pPr>
      <w:r>
        <w:t xml:space="preserve">The Conclusions were rewritten as a numbered list (seven items) covering the joining procedure, HAZ degradation, XRD phase identification, hardness, impact toughness, corrosion ranking, and the overall filler recommendation.</w:t>
      </w:r>
    </w:p>
    <w:p>
      <w:pPr>
        <w:spacing w:before="0" w:after="120"/>
      </w:pPr>
      <w:r>
        <w:rPr>
          <w:b/>
        </w:rPr>
        <w:t xml:space="preserve">Action taken (location): Section 4 (Conclusions).</w:t>
      </w:r>
    </w:p>
    <w:p>
      <w:pPr>
        <w:spacing w:before="160" w:after="100"/>
      </w:pPr>
      <w:r>
        <w:rPr>
          <w:b/>
          <w:sz w:val="28"/>
          <w:szCs w:val="28"/>
        </w:rPr>
        <w:t xml:space="preserve">Outstanding items requiring author input</w:t>
      </w:r>
    </w:p>
    <w:p>
      <w:pPr>
        <w:spacing w:before="0" w:after="80"/>
        <w:ind w:left="360"/>
        <w:numPr>
          <w:ilvl w:val="0"/>
          <w:numId w:val="1"/>
        </w:numPr>
      </w:pPr>
      <w:r>
        <w:t xml:space="preserve">Raw Charpy values for the 410 fusion zone and for the 309L and 2594 HAZ (currently described qualitatively, not with invented numbers).</w:t>
      </w:r>
    </w:p>
    <w:p>
      <w:pPr>
        <w:spacing w:before="0" w:after="80"/>
        <w:ind w:left="360"/>
        <w:numPr>
          <w:ilvl w:val="0"/>
          <w:numId w:val="1"/>
        </w:numPr>
      </w:pPr>
      <w:r>
        <w:t xml:space="preserve">Confirmation that Table 2 values are manufacturer-datasheet (as-supplied) properties, as now stated.</w:t>
      </w:r>
    </w:p>
    <w:p>
      <w:pPr>
        <w:spacing w:before="0" w:after="80"/>
        <w:ind w:left="360"/>
        <w:numPr>
          <w:ilvl w:val="0"/>
          <w:numId w:val="1"/>
        </w:numPr>
      </w:pPr>
      <w:r>
        <w:t xml:space="preserve">Titles and key findings for the two unverifiable DOIs ([63], [64]).</w:t>
      </w:r>
    </w:p>
    <w:p>
      <w:pPr>
        <w:spacing w:before="0" w:after="80"/>
        <w:ind w:left="360"/>
        <w:numPr>
          <w:ilvl w:val="0"/>
          <w:numId w:val="1"/>
        </w:numPr>
      </w:pPr>
      <w:r>
        <w:t xml:space="preserve">Confirmation that no EDS/quantitative phase analysis was performed (the revision assumes none; if EDS exists, specific second-phase identifications can be reinstated).</w:t>
      </w:r>
    </w:p>
    <w:p>
      <w:pPr>
        <w:spacing w:before="0" w:after="80"/>
        <w:ind w:left="360"/>
        <w:numPr>
          <w:ilvl w:val="0"/>
          <w:numId w:val="1"/>
        </w:numPr>
      </w:pPr>
      <w:r>
        <w:t xml:space="preserve">Confirmation of the 60° single-V groove (the original text said “square butt”, which is inconsistent with a 4-pass 12 mm weld).</w:t>
      </w:r>
    </w:p>
    <w:p>
      <w:pPr>
        <w:spacing w:before="0" w:after="80"/>
        <w:ind w:left="360"/>
        <w:numPr>
          <w:ilvl w:val="0"/>
          <w:numId w:val="1"/>
        </w:numPr>
      </w:pPr>
      <w:r>
        <w:t xml:space="preserve">A latent arithmetic point not raised by the reviewers: the stated arc efficiency η = 0.8 does not reproduce the reported 0.84/0.729 kJ/mm values (those require η ≈ 0.6); please confirm which to keep so Eq. 1 and Table 3 agree.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_rels/document.xml.rels><?xml version="1.0" encoding="UTF-8" standalone="yes"?>
<Relationships xmlns="http://schemas.openxmlformats.org/package/2006/relationships"><Relationship Id="rId1" Type="http://schemas.openxmlformats.org/officeDocument/2006/relationships/numbering" Target="numbering.xml"/></Relationships>
</file>