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Title"/>
      </w:pPr>
      <w:r>
        <w:t xml:space="preserve">Physics-Informed Machine Learning, Digital Twins, and AI-Driven Optimization for Nanofluid Thermal Systems</w:t>
      </w:r>
    </w:p>
    <w:p>
      <w:pPr>
        <w:pStyle w:val="Heading1"/>
      </w:pPr>
      <w:r>
        <w:t xml:space="preserve">Abstract</w:t>
      </w:r>
    </w:p>
    <w:p>
      <w:pPr>
        <w:pStyle w:val="Normal"/>
      </w:pPr>
      <w:r>
        <w:t xml:space="preserve">The intensification of thermal management demands across energy, electronics, and process industries has renewed interest in nanofluids as engineered heat transfer media and, in parallel, has motivated the integration of artificial intelligence with classical heat transfer science. This chapter examines three interlocking frontiers that together define the contemporary landscape of intelligent thermal engineering. The first frontier concerns physics-informed machine learning, in which the governing conservation laws of mass, momentum, and energy are embedded directly into the loss functions and architectures of neural networks, yielding surrogate models that respect thermodynamic constraints while remaining data-efficient. The second frontier addresses digital twins for thermal systems, where high-fidelity virtual replicas are synchronized with physical assets through streaming sensor data to enable real-time monitoring, fault diagnosis, and predictive maintenance. The third frontier explores artificial-intelligence-driven optimization of nanofluid heat exchangers, spanning geometric and operating parameter tuning, thermal-hydraulic performance evaluation, entropy generation minimization, and multi-objective design under conflicting objectives. Across these domains a common thread emerges: the fusion of mechanistic knowledge with data-driven inference produces models that are simultaneously accurate, interpretable, and generalizable beyond the range of available measurements. The chapter synthesizes methodological foundations, illustrative case studies, and quantitative comparisons, and it identifies persistent challenges relating to data scarcity, uncertainty quantification, computational cost, and deployment reliability. The discussion is intended to equip researchers and practitioners with a structured understanding of how physics-aware learning, digital twins, and optimization algorithms can be orchestrated to advance the design and operation of next-generation nanofluid-based thermal systems. Emphasis is placed on transferable principles rather than any single tool, so that the reader can adapt the frameworks to diverse configurations ranging from microchannel electronics cooling to concentrated solar receivers and industrial shell-and-tube exchangers.</w:t>
      </w:r>
    </w:p>
    <w:p>
      <w:pPr>
        <w:pStyle w:val="Title"/>
      </w:pPr>
      <w:r>
        <w:t xml:space="preserve">Chapter 10. Physics-Informed Machine Learning for Heat Transfer</w:t>
      </w:r>
    </w:p>
    <w:p>
      <w:pPr>
        <w:pStyle w:val="Heading1"/>
      </w:pPr>
      <w:r>
        <w:t xml:space="preserve">10.1 Physics-Informed Neural Networks</w:t>
      </w:r>
    </w:p>
    <w:p>
      <w:pPr>
        <w:pStyle w:val="Normal"/>
      </w:pPr>
      <w:r>
        <w:t xml:space="preserve">Conventional data-driven models for heat transfer, such as feed-forward neural networks trained purely on measured or simulated datasets, can achieve high in-sample accuracy yet frequently fail to generalize when confronted with operating regimes outside their training distribution [1]. This limitation is particularly acute in thermal engineering, where experimental campaigns are expensive, sensor coverage is sparse, and the underlying transport phenomena are governed by well-established partial differential equations. Physics-informed neural networks (PINNs) address this gap by treating the governing equations as soft constraints that are enforced during training, thereby anchoring the learned solution to the physics of the problem [2]. The result is a mesh-free solver that can interpolate, and to a limited extent extrapolate, while remaining consistent with conservation principles.</w:t>
      </w:r>
    </w:p>
    <w:p>
      <w:pPr>
        <w:pStyle w:val="Normal"/>
      </w:pPr>
      <w:r>
        <w:t xml:space="preserve">The foundational idea, articulated in the seminal work on physics-informed deep learning, is to represent the field of interest, for instance the temperature distribution, as the output of a deep neural network whose inputs are the spatial and temporal coordinates [3]. Automatic differentiation is then used to compute the partial derivatives that appear in the governing energy equation directly from the network, without any finite-difference or finite-element discretization. These derivatives are assembled into a residual that quantifies how strongly the network violates the physics at a set of collocation points sampled throughout the domain [4]. The composite training objective combines this physics residual with data-fidelity terms drawn from initial conditions, boundary conditions, and any available sensor measurements.</w:t>
      </w:r>
    </w:p>
    <w:p>
      <w:pPr>
        <w:pStyle w:val="Normal"/>
      </w:pPr>
      <w:r>
        <w:t xml:space="preserve">For a transient two-dimensional conduction problem, the network approximates the temperature as a function of position and time, and the residual expresses the difference between the local rate of change of stored energy and the divergence of the conductive flux plus any volumetric source. Minimizing this residual across the domain drives the network toward a solution of the heat equation [5]. Because the constraint is imposed at collocation points rather than through a mesh, PINNs handle irregular geometries and moving boundaries with relative ease, an advantage that has attracted attention in problems involving phase change and conjugate heat transfer [6]. Figure 1 illustrates the general architecture, showing how coordinate inputs pass through hidden layers to produce a field prediction whose derivatives feed both the physics residual and the data-misfit components of the loss.</w:t>
      </w:r>
    </w:p>
    <w:p>
      <w:pPr>
        <w:jc w:val="center"/>
        <w:spacing w:before="120" w:after="60"/>
      </w:pPr>
      <w:r>
        <w:drawing>
          <wp:inline xmlns:wp="http://schemas.openxmlformats.org/drawingml/2006/wordprocessingDrawing" distT="0" distB="0" distL="0" distR="0">
            <wp:extent cx="5334000" cy="3209925"/>
            <wp:effectExtent l="0" t="0" r="0" b="0"/>
            <wp:docPr id="101" nam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e 1"/>
                    <pic:cNvPicPr/>
                  </pic:nvPicPr>
                  <pic:blipFill>
                    <a:blip r:embed="rIdImg1"/>
                    <a:stretch>
                      <a:fillRect/>
                    </a:stretch>
                  </pic:blipFill>
                  <pic:spPr>
                    <a:xfrm>
                      <a:off x="0" y="0"/>
                      <a:ext cx="5334000" cy="3209925"/>
                    </a:xfrm>
                    <a:prstGeom prst="rect">
                      <a:avLst/>
                    </a:prstGeom>
                  </pic:spPr>
                </pic:pic>
              </a:graphicData>
            </a:graphic>
          </wp:inline>
        </w:drawing>
      </w:r>
    </w:p>
    <w:p>
      <w:pPr>
        <w:pStyle w:val="FigureCaption"/>
      </w:pPr>
      <w:r>
        <w:t xml:space="preserve">Figure 1. Architecture of a physics-informed neural network for heat transfer, showing coordinate inputs, hidden layers, the predicted field, and the automatic-differentiation path that produces the physics residual combined with data-fidelity terms in the composite loss.</w:t>
      </w:r>
    </w:p>
    <w:p>
      <w:pPr>
        <w:pStyle w:val="Normal"/>
      </w:pPr>
      <w:r>
        <w:t xml:space="preserve">A central practical concern is the balancing of the multiple loss terms. When the physics residual and the data terms differ by orders of magnitude, gradient updates become dominated by one component and training stalls or converges to trivial solutions [7]. Adaptive weighting schemes, which adjust the relative importance of each term dynamically based on gradient statistics, have proven effective at restoring balance and accelerating convergence [8]. Related strategies include curriculum training, in which the temporal domain is expanded gradually, and domain decomposition, in which separate networks are assigned to subregions and stitched together with interface conditions [9]. Table 1 summarizes the principal categories of physics-informed learning approaches together with their characteristic strengths and limitations.</w:t>
      </w:r>
    </w:p>
    <w:p>
      <w:pPr>
        <w:pStyle w:val="TableCaption"/>
      </w:pPr>
      <w:r>
        <w:t xml:space="preserve">Table 1. Categories of physics-informed machine learning approaches for heat transfer.</w:t>
      </w:r>
    </w:p>
    <w:tbl>
      <w:tblPr>
        <w:tblStyle w:val="TableGrid"/>
        <w:tblW w:w="936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shd w:val="clear" w:color="auto" w:fill="D9E2F3"/>
          </w:tcPr>
          <w:p>
            <w:pPr>
              <w:jc w:val="center"/>
              <w:spacing w:after="20"/>
            </w:pPr>
            <w:r>
              <w:rPr>
                <w:b/>
              </w:rPr>
              <w:t xml:space="preserve">Approach</w:t>
            </w:r>
          </w:p>
        </w:tc>
        <w:tc>
          <w:tcPr>
            <w:shd w:val="clear" w:color="auto" w:fill="D9E2F3"/>
          </w:tcPr>
          <w:p>
            <w:pPr>
              <w:jc w:val="center"/>
              <w:spacing w:after="20"/>
            </w:pPr>
            <w:r>
              <w:rPr>
                <w:b/>
              </w:rPr>
              <w:t xml:space="preserve">Physics Enforcement</w:t>
            </w:r>
          </w:p>
        </w:tc>
        <w:tc>
          <w:tcPr>
            <w:shd w:val="clear" w:color="auto" w:fill="D9E2F3"/>
          </w:tcPr>
          <w:p>
            <w:pPr>
              <w:jc w:val="center"/>
              <w:spacing w:after="20"/>
            </w:pPr>
            <w:r>
              <w:rPr>
                <w:b/>
              </w:rPr>
              <w:t xml:space="preserve">Key Strength</w:t>
            </w:r>
          </w:p>
        </w:tc>
        <w:tc>
          <w:tcPr>
            <w:shd w:val="clear" w:color="auto" w:fill="D9E2F3"/>
          </w:tcPr>
          <w:p>
            <w:pPr>
              <w:jc w:val="center"/>
              <w:spacing w:after="20"/>
            </w:pPr>
            <w:r>
              <w:rPr>
                <w:b/>
              </w:rPr>
              <w:t xml:space="preserve">Principal Limitation</w:t>
            </w:r>
          </w:p>
        </w:tc>
      </w:tr>
      <w:tr>
        <w:tc>
          <w:p>
            <w:pPr>
              <w:spacing w:after="20"/>
            </w:pPr>
            <w:r>
              <w:t xml:space="preserve">Standard PINN</w:t>
            </w:r>
          </w:p>
        </w:tc>
        <w:tc>
          <w:p>
            <w:pPr>
              <w:spacing w:after="20"/>
            </w:pPr>
            <w:r>
              <w:t xml:space="preserve">Soft (residual penalty)</w:t>
            </w:r>
          </w:p>
        </w:tc>
        <w:tc>
          <w:p>
            <w:pPr>
              <w:spacing w:after="20"/>
            </w:pPr>
            <w:r>
              <w:t xml:space="preserve">Mesh-free, handles inverse problems</w:t>
            </w:r>
          </w:p>
        </w:tc>
        <w:tc>
          <w:p>
            <w:pPr>
              <w:spacing w:after="20"/>
            </w:pPr>
            <w:r>
              <w:t xml:space="preserve">Slow training, stiff-problem sensitivity</w:t>
            </w:r>
          </w:p>
        </w:tc>
      </w:tr>
      <w:tr>
        <w:tc>
          <w:p>
            <w:pPr>
              <w:spacing w:after="20"/>
            </w:pPr>
            <w:r>
              <w:t xml:space="preserve">Structure-preserving network</w:t>
            </w:r>
          </w:p>
        </w:tc>
        <w:tc>
          <w:p>
            <w:pPr>
              <w:spacing w:after="20"/>
            </w:pPr>
            <w:r>
              <w:t xml:space="preserve">Hard (architectural)</w:t>
            </w:r>
          </w:p>
        </w:tc>
        <w:tc>
          <w:p>
            <w:pPr>
              <w:spacing w:after="20"/>
            </w:pPr>
            <w:r>
              <w:t xml:space="preserve">Exact conservation guarantees</w:t>
            </w:r>
          </w:p>
        </w:tc>
        <w:tc>
          <w:p>
            <w:pPr>
              <w:spacing w:after="20"/>
            </w:pPr>
            <w:r>
              <w:t xml:space="preserve">Reduced flexibility</w:t>
            </w:r>
          </w:p>
        </w:tc>
      </w:tr>
      <w:tr>
        <w:tc>
          <w:p>
            <w:pPr>
              <w:spacing w:after="20"/>
            </w:pPr>
            <w:r>
              <w:t xml:space="preserve">Hybrid / gray-box model</w:t>
            </w:r>
          </w:p>
        </w:tc>
        <w:tc>
          <w:p>
            <w:pPr>
              <w:spacing w:after="20"/>
            </w:pPr>
            <w:r>
              <w:t xml:space="preserve">Mechanistic backbone + learned residual</w:t>
            </w:r>
          </w:p>
        </w:tc>
        <w:tc>
          <w:p>
            <w:pPr>
              <w:spacing w:after="20"/>
            </w:pPr>
            <w:r>
              <w:t xml:space="preserve">Low data need, interpretable</w:t>
            </w:r>
          </w:p>
        </w:tc>
        <w:tc>
          <w:p>
            <w:pPr>
              <w:spacing w:after="20"/>
            </w:pPr>
            <w:r>
              <w:t xml:space="preserve">Requires a credible baseline model</w:t>
            </w:r>
          </w:p>
        </w:tc>
      </w:tr>
      <w:tr>
        <w:tc>
          <w:p>
            <w:pPr>
              <w:spacing w:after="20"/>
            </w:pPr>
            <w:r>
              <w:t xml:space="preserve">Neural operator</w:t>
            </w:r>
          </w:p>
        </w:tc>
        <w:tc>
          <w:p>
            <w:pPr>
              <w:spacing w:after="20"/>
            </w:pPr>
            <w:r>
              <w:t xml:space="preserve">Soft or symmetry-based</w:t>
            </w:r>
          </w:p>
        </w:tc>
        <w:tc>
          <w:p>
            <w:pPr>
              <w:spacing w:after="20"/>
            </w:pPr>
            <w:r>
              <w:t xml:space="preserve">Fast full-field inference</w:t>
            </w:r>
          </w:p>
        </w:tc>
        <w:tc>
          <w:p>
            <w:pPr>
              <w:spacing w:after="20"/>
            </w:pPr>
            <w:r>
              <w:t xml:space="preserve">Large training data requirement</w:t>
            </w:r>
          </w:p>
        </w:tc>
      </w:tr>
      <w:tr>
        <w:tc>
          <w:p>
            <w:pPr>
              <w:spacing w:after="20"/>
            </w:pPr>
            <w:r>
              <w:t xml:space="preserve">Dimensionless-group model</w:t>
            </w:r>
          </w:p>
        </w:tc>
        <w:tc>
          <w:p>
            <w:pPr>
              <w:spacing w:after="20"/>
            </w:pPr>
            <w:r>
              <w:t xml:space="preserve">Feature-level (scaling)</w:t>
            </w:r>
          </w:p>
        </w:tc>
        <w:tc>
          <w:p>
            <w:pPr>
              <w:spacing w:after="20"/>
            </w:pPr>
            <w:r>
              <w:t xml:space="preserve">Cross-scale generalization</w:t>
            </w:r>
          </w:p>
        </w:tc>
        <w:tc>
          <w:p>
            <w:pPr>
              <w:spacing w:after="20"/>
            </w:pPr>
            <w:r>
              <w:t xml:space="preserve">Requires expert feature design</w:t>
            </w:r>
          </w:p>
        </w:tc>
      </w:tr>
    </w:tbl>
    <w:p/>
    <w:p>
      <w:pPr>
        <w:pStyle w:val="Normal"/>
      </w:pPr>
      <w:r>
        <w:t xml:space="preserve">The appeal of PINNs in heat transfer stems from several complementary properties. They are inherently data-efficient because the governing equations supply information everywhere in the domain, not merely where sensors are placed [10]. They yield continuous and differentiable field representations, which is convenient for downstream tasks such as gradient-based design optimization. They also naturally accommodate inverse problems: by treating unknown material properties or boundary fluxes as trainable parameters, a PINN can simultaneously reconstruct the field and infer the hidden parameters from limited observations [11]. This inverse capability is especially valuable in nanofluid research, where effective thermal conductivity and convective coefficients are difficult to measure directly and often must be inferred from indirect thermal signatures [12].</w:t>
      </w:r>
    </w:p>
    <w:p>
      <w:pPr>
        <w:pStyle w:val="Normal"/>
      </w:pPr>
      <w:r>
        <w:t xml:space="preserve">Nonetheless, PINNs are not a panacea. Training can be slow relative to a single forward finite-element solve, stiff and multiscale problems remain challenging, and convergence is sensitive to network architecture, activation functions, and the distribution of collocation points [13]. Turbulent convection, with its broad spectrum of spatial and temporal scales, continues to test the limits of the approach, motivating hybrid formulations that couple PINNs with turbulence closures or reduced-order models [14]. Understanding these trade-offs is essential before deploying physics-informed models in engineering practice.</w:t>
      </w:r>
    </w:p>
    <w:p>
      <w:pPr>
        <w:pStyle w:val="Normal"/>
      </w:pPr>
      <w:r>
        <w:t xml:space="preserve">The convergence behavior of physics-informed networks merits closer scrutiny because it explains many of the practical difficulties encountered in thermal problems. Analyses grounded in the neural tangent kernel have revealed that the different loss components converge at markedly different rates, so that the physics residual and the boundary terms are learned on disparate timescales, producing an implicit spectral bias that favors low-frequency features of the solution. In heat transfer this bias manifests as a tendency to capture the bulk temperature gradient quickly while struggling to resolve sharp boundary layers, hot spots, and steep flux regions near walls. Remedies include Fourier feature embeddings that lift the coordinate inputs into a higher-frequency representation, locally adaptive collocation sampling that concentrates points where residuals are large, and hard enforcement of boundary conditions through modified network outputs that satisfy the constraints exactly by construction. Each of these refinements narrows the gap between the elegant theory of physics-informed learning and the demands of realistic thermal geometries, and their combination has enabled PINNs to address conjugate problems in which conduction in solid walls couples to convection in an adjacent fluid.</w:t>
      </w:r>
    </w:p>
    <w:p>
      <w:pPr>
        <w:pStyle w:val="Normal"/>
      </w:pPr>
      <w:r>
        <w:t xml:space="preserve">It is instructive to contrast physics-informed neural networks with the mature numerical methods they seek to complement rather than replace. Finite-element and finite-volume solvers remain unrivaled for well-posed forward problems on fixed geometries, delivering high accuracy at modest cost after decades of algorithmic refinement. The comparative advantage of physics-informed learning emerges in settings that strain conventional methods: high-dimensional parametric studies, inverse and data-assimilation problems, and situations where the governing equations are only partially known. Recognizing this complementarity guards against overselling the technology and directs it toward the niches where it genuinely excels, which in the thermal domain include property inference, sparse-sensor field reconstruction, and the rapid exploration of design variations that would otherwise demand a full mesh regeneration for every configuration.</w:t>
      </w:r>
    </w:p>
    <w:p>
      <w:pPr>
        <w:pStyle w:val="Heading1"/>
      </w:pPr>
      <w:r>
        <w:t xml:space="preserve">10.2 Incorporating Governing Equations into ML Models</w:t>
      </w:r>
    </w:p>
    <w:p>
      <w:pPr>
        <w:pStyle w:val="Normal"/>
      </w:pPr>
      <w:r>
        <w:t xml:space="preserve">Beyond the canonical PINN formulation, a broader family of techniques exists for injecting physical knowledge into machine learning models, and the appropriate choice depends on the nature of the available data and the intended application [15]. These techniques can be organized along a spectrum according to how strongly the physics is enforced, ranging from soft penalties in the loss function to hard architectural constraints that guarantee conservation by construction.</w:t>
      </w:r>
    </w:p>
    <w:p>
      <w:pPr>
        <w:pStyle w:val="Normal"/>
      </w:pPr>
      <w:r>
        <w:t xml:space="preserve">At the softer end of the spectrum lies residual regularization, the mechanism employed by standard PINNs, in which violations of the governing equations are penalized but not strictly prohibited [16]. This approach is flexible and easy to implement but offers no formal guarantee that the final model conserves energy exactly. A stronger alternative embeds conservation laws structurally, for example by designing network outputs that satisfy the divergence-free condition automatically or by parameterizing fluxes so that discrete conservation holds cell by cell [17]. Such structure-preserving architectures trade some flexibility for stronger physical guarantees and improved stability, which is often a worthwhile exchange in safety-critical thermal applications.</w:t>
      </w:r>
    </w:p>
    <w:p>
      <w:pPr>
        <w:pStyle w:val="Normal"/>
      </w:pPr>
      <w:r>
        <w:t xml:space="preserve">An intermediate and increasingly popular strategy is the hybrid or gray-box model, which decomposes the system into a known mechanistic part and an unknown residual learned from data [18]. In heat transfer, a common realization retains a validated correlation or a coarse numerical model as the physical backbone and trains a neural network to capture the discrepancy between that backbone and reality, for example unmodeled fouling, manufacturing tolerances, or property variations [19]. Because the learned component need only represent the residual rather than the entire physics, the data requirements shrink dramatically and interpretability improves, since deviations from the baseline model carry direct physical meaning [20]. Table 2 contrasts pure data-driven, physics-informed, and hybrid modeling paradigms across dimensions of data requirement, extrapolation ability, interpretability, and computational cost.</w:t>
      </w:r>
    </w:p>
    <w:p>
      <w:pPr>
        <w:pStyle w:val="TableCaption"/>
      </w:pPr>
      <w:r>
        <w:t xml:space="preserve">Table 2. Comparison of modeling paradigms for thermal systems.</w:t>
      </w:r>
    </w:p>
    <w:tbl>
      <w:tblPr>
        <w:tblStyle w:val="TableGrid"/>
        <w:tblW w:w="936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shd w:val="clear" w:color="auto" w:fill="D9E2F3"/>
          </w:tcPr>
          <w:p>
            <w:pPr>
              <w:jc w:val="center"/>
              <w:spacing w:after="20"/>
            </w:pPr>
            <w:r>
              <w:rPr>
                <w:b/>
              </w:rPr>
              <w:t xml:space="preserve">Criterion</w:t>
            </w:r>
          </w:p>
        </w:tc>
        <w:tc>
          <w:tcPr>
            <w:shd w:val="clear" w:color="auto" w:fill="D9E2F3"/>
          </w:tcPr>
          <w:p>
            <w:pPr>
              <w:jc w:val="center"/>
              <w:spacing w:after="20"/>
            </w:pPr>
            <w:r>
              <w:rPr>
                <w:b/>
              </w:rPr>
              <w:t xml:space="preserve">Pure Data-Driven</w:t>
            </w:r>
          </w:p>
        </w:tc>
        <w:tc>
          <w:tcPr>
            <w:shd w:val="clear" w:color="auto" w:fill="D9E2F3"/>
          </w:tcPr>
          <w:p>
            <w:pPr>
              <w:jc w:val="center"/>
              <w:spacing w:after="20"/>
            </w:pPr>
            <w:r>
              <w:rPr>
                <w:b/>
              </w:rPr>
              <w:t xml:space="preserve">Physics-Informed</w:t>
            </w:r>
          </w:p>
        </w:tc>
        <w:tc>
          <w:tcPr>
            <w:shd w:val="clear" w:color="auto" w:fill="D9E2F3"/>
          </w:tcPr>
          <w:p>
            <w:pPr>
              <w:jc w:val="center"/>
              <w:spacing w:after="20"/>
            </w:pPr>
            <w:r>
              <w:rPr>
                <w:b/>
              </w:rPr>
              <w:t xml:space="preserve">Hybrid / Gray-Box</w:t>
            </w:r>
          </w:p>
        </w:tc>
      </w:tr>
      <w:tr>
        <w:tc>
          <w:p>
            <w:pPr>
              <w:spacing w:after="20"/>
            </w:pPr>
            <w:r>
              <w:t xml:space="preserve">Data requirement</w:t>
            </w:r>
          </w:p>
        </w:tc>
        <w:tc>
          <w:p>
            <w:pPr>
              <w:spacing w:after="20"/>
            </w:pPr>
            <w:r>
              <w:t xml:space="preserve">High</w:t>
            </w:r>
          </w:p>
        </w:tc>
        <w:tc>
          <w:p>
            <w:pPr>
              <w:spacing w:after="20"/>
            </w:pPr>
            <w:r>
              <w:t xml:space="preserve">Moderate</w:t>
            </w:r>
          </w:p>
        </w:tc>
        <w:tc>
          <w:p>
            <w:pPr>
              <w:spacing w:after="20"/>
            </w:pPr>
            <w:r>
              <w:t xml:space="preserve">Low to moderate</w:t>
            </w:r>
          </w:p>
        </w:tc>
      </w:tr>
      <w:tr>
        <w:tc>
          <w:p>
            <w:pPr>
              <w:spacing w:after="20"/>
            </w:pPr>
            <w:r>
              <w:t xml:space="preserve">Extrapolation ability</w:t>
            </w:r>
          </w:p>
        </w:tc>
        <w:tc>
          <w:p>
            <w:pPr>
              <w:spacing w:after="20"/>
            </w:pPr>
            <w:r>
              <w:t xml:space="preserve">Poor</w:t>
            </w:r>
          </w:p>
        </w:tc>
        <w:tc>
          <w:p>
            <w:pPr>
              <w:spacing w:after="20"/>
            </w:pPr>
            <w:r>
              <w:t xml:space="preserve">Good</w:t>
            </w:r>
          </w:p>
        </w:tc>
        <w:tc>
          <w:p>
            <w:pPr>
              <w:spacing w:after="20"/>
            </w:pPr>
            <w:r>
              <w:t xml:space="preserve">Good</w:t>
            </w:r>
          </w:p>
        </w:tc>
      </w:tr>
      <w:tr>
        <w:tc>
          <w:p>
            <w:pPr>
              <w:spacing w:after="20"/>
            </w:pPr>
            <w:r>
              <w:t xml:space="preserve">Interpretability</w:t>
            </w:r>
          </w:p>
        </w:tc>
        <w:tc>
          <w:p>
            <w:pPr>
              <w:spacing w:after="20"/>
            </w:pPr>
            <w:r>
              <w:t xml:space="preserve">Low</w:t>
            </w:r>
          </w:p>
        </w:tc>
        <w:tc>
          <w:p>
            <w:pPr>
              <w:spacing w:after="20"/>
            </w:pPr>
            <w:r>
              <w:t xml:space="preserve">Moderate</w:t>
            </w:r>
          </w:p>
        </w:tc>
        <w:tc>
          <w:p>
            <w:pPr>
              <w:spacing w:after="20"/>
            </w:pPr>
            <w:r>
              <w:t xml:space="preserve">High</w:t>
            </w:r>
          </w:p>
        </w:tc>
      </w:tr>
      <w:tr>
        <w:tc>
          <w:p>
            <w:pPr>
              <w:spacing w:after="20"/>
            </w:pPr>
            <w:r>
              <w:t xml:space="preserve">Training cost</w:t>
            </w:r>
          </w:p>
        </w:tc>
        <w:tc>
          <w:p>
            <w:pPr>
              <w:spacing w:after="20"/>
            </w:pPr>
            <w:r>
              <w:t xml:space="preserve">Low to moderate</w:t>
            </w:r>
          </w:p>
        </w:tc>
        <w:tc>
          <w:p>
            <w:pPr>
              <w:spacing w:after="20"/>
            </w:pPr>
            <w:r>
              <w:t xml:space="preserve">High</w:t>
            </w:r>
          </w:p>
        </w:tc>
        <w:tc>
          <w:p>
            <w:pPr>
              <w:spacing w:after="20"/>
            </w:pPr>
            <w:r>
              <w:t xml:space="preserve">Moderate</w:t>
            </w:r>
          </w:p>
        </w:tc>
      </w:tr>
      <w:tr>
        <w:tc>
          <w:p>
            <w:pPr>
              <w:spacing w:after="20"/>
            </w:pPr>
            <w:r>
              <w:t xml:space="preserve">Physical consistency</w:t>
            </w:r>
          </w:p>
        </w:tc>
        <w:tc>
          <w:p>
            <w:pPr>
              <w:spacing w:after="20"/>
            </w:pPr>
            <w:r>
              <w:t xml:space="preserve">Not guaranteed</w:t>
            </w:r>
          </w:p>
        </w:tc>
        <w:tc>
          <w:p>
            <w:pPr>
              <w:spacing w:after="20"/>
            </w:pPr>
            <w:r>
              <w:t xml:space="preserve">Enforced softly</w:t>
            </w:r>
          </w:p>
        </w:tc>
        <w:tc>
          <w:p>
            <w:pPr>
              <w:spacing w:after="20"/>
            </w:pPr>
            <w:r>
              <w:t xml:space="preserve">Enforced via backbone</w:t>
            </w:r>
          </w:p>
        </w:tc>
      </w:tr>
    </w:tbl>
    <w:p/>
    <w:p>
      <w:pPr>
        <w:pStyle w:val="Normal"/>
      </w:pPr>
      <w:r>
        <w:t xml:space="preserve">The incorporation of governing equations also extends to operator learning, in which the goal is to learn a mapping between entire function spaces rather than pointwise values [21]. Neural operators, including Fourier-based and graph-based variants, learn the solution operator of a parametric partial differential equation so that, once trained, they can predict the full temperature field for new boundary conditions or material distributions in a single forward pass [22]. This capability is attractive for design exploration and real-time control, where thousands of evaluations may be required and a per-query finite-element solve would be prohibitively expensive [23]. Physics can be embedded in operator learning either through physics-informed loss terms or by constraining the operator to respect symmetries and invariances of the underlying equations [24].</w:t>
      </w:r>
    </w:p>
    <w:p>
      <w:pPr>
        <w:pStyle w:val="Normal"/>
      </w:pPr>
      <w:r>
        <w:t xml:space="preserve">Dimensional analysis and non-dimensionalization offer a further, often underappreciated, route to embedding physics [25]. By formulating models in terms of dimensionless groups such as the Reynolds, Prandtl, and Nusselt numbers, the input space is compressed, the model inherits the correct scaling behavior, and generalization across scales improves markedly [26]. For nanofluids, augmenting these classical groups with descriptors of particle volume fraction, aspect ratio, and Brownian motion intensity allows a single learned correlation to span a wide range of formulations, which is difficult to achieve with raw dimensional inputs [27]. This principle underlies many successful nanofluid property models, in which carefully chosen features encode the essential physics before any learning takes place [28].</w:t>
      </w:r>
    </w:p>
    <w:p>
      <w:pPr>
        <w:pStyle w:val="Normal"/>
      </w:pPr>
      <w:r>
        <w:t xml:space="preserve">A recurring theme across all these strategies is the treatment of uncertainty. Physics-informed and hybrid models must quantify not only the aleatoric uncertainty arising from measurement noise but also the epistemic uncertainty associated with limited data and imperfect physics [29]. Bayesian neural networks, deep ensembles, and Gaussian process hybrids provide principled uncertainty estimates that are indispensable when the models inform high-stakes engineering decisions, since a confident but incorrect prediction can be more dangerous than an honestly uncertain one [30].</w:t>
      </w:r>
    </w:p>
    <w:p>
      <w:pPr>
        <w:pStyle w:val="Normal"/>
      </w:pPr>
      <w:r>
        <w:t xml:space="preserve">The choice among these strategies is rarely made in isolation, and successful thermal applications typically compose several of them. A representative pipeline might non-dimensionalize the inputs to secure correct scaling, adopt a hybrid backbone that retains a validated Nusselt correlation, learn the residual with a neural network regularized by the energy equation, and wrap the whole in a deep ensemble to expose predictive uncertainty. Each layer addresses a distinct weakness of the others: the dimensionless formulation improves generalization across scales, the mechanistic backbone reduces data hunger, the residual network captures unmodeled effects, and the ensemble communicates confidence. This layered philosophy reflects a broader maturation of the field away from monolithic black-box models toward modular architectures in which physics and data each contribute what they do best.</w:t>
      </w:r>
    </w:p>
    <w:p>
      <w:pPr>
        <w:pStyle w:val="Normal"/>
      </w:pPr>
      <w:r>
        <w:t xml:space="preserve">A further consideration concerns the discovery of governing relationships rather than merely their enforcement. Sparse-regression techniques and symbolic-regression methods can identify compact, interpretable expressions from data, effectively proposing candidate correlations that a human engineer can inspect and validate. In thermal contexts these methods have recovered heat transfer correlations and constitutive relations directly from experimental or simulation datasets, offering a bridge between opaque neural approximations and the closed-form expressions that engineers trust and reuse. When the discovered expressions align with dimensional reasoning and known limiting behavior, they carry a credibility that purely numerical surrogates cannot match, and they can be embedded back into the physics-informed and hybrid frameworks as improved mechanistic components, closing a virtuous loop between data-driven discovery and physics-based modeling.</w:t>
      </w:r>
    </w:p>
    <w:p>
      <w:pPr>
        <w:pStyle w:val="Heading1"/>
      </w:pPr>
      <w:r>
        <w:t xml:space="preserve">10.3 Physics-Aware Prediction and Optimization of Nanofluid Systems</w:t>
      </w:r>
    </w:p>
    <w:p>
      <w:pPr>
        <w:pStyle w:val="Normal"/>
      </w:pPr>
      <w:r>
        <w:t xml:space="preserve">Nanofluids, colloidal suspensions of nanometer-scale particles in conventional base fluids, exhibit thermophysical behavior that departs substantially from classical mixture theory, which makes them an ideal proving ground for physics-aware machine learning [31]. The anomalous enhancement of thermal conductivity, the non-trivial dependence of viscosity on volume fraction and temperature, and the sensitivity of performance to particle morphology all resist purely empirical description, yet they are also incompletely captured by first-principles models alone [32]. Physics-aware learning occupies the productive middle ground, blending mechanistic insight with data-driven flexibility.</w:t>
      </w:r>
    </w:p>
    <w:p>
      <w:pPr>
        <w:pStyle w:val="Normal"/>
      </w:pPr>
      <w:r>
        <w:t xml:space="preserve">A primary application is the prediction of effective thermophysical properties. Models that combine established theoretical bounds, such as the Maxwell and Hamilton-Crosser frameworks, with neural corrections trained on measured conductivity data achieve accuracy superior to either component in isolation while remaining physically bounded [33]. Embedding the theoretical limits as constraints prevents the unphysical predictions, such as conductivity below that of the base fluid, that unconstrained regressors occasionally produce [34]. The same philosophy applies to viscosity and specific heat, where dimensionless formulations informed by suspension rheology guide the learning process toward physically sensible correlations [35]. Table 3 compiles representative machine learning models for nanofluid property prediction together with the input features, model types, and reported accuracy metrics drawn from the literature.</w:t>
      </w:r>
    </w:p>
    <w:p>
      <w:pPr>
        <w:pStyle w:val="TableCaption"/>
      </w:pPr>
      <w:r>
        <w:t xml:space="preserve">Table 3. Representative machine learning models for nanofluid thermophysical property prediction.</w:t>
      </w:r>
    </w:p>
    <w:tbl>
      <w:tblPr>
        <w:tblStyle w:val="TableGrid"/>
        <w:tblW w:w="936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shd w:val="clear" w:color="auto" w:fill="D9E2F3"/>
          </w:tcPr>
          <w:p>
            <w:pPr>
              <w:jc w:val="center"/>
              <w:spacing w:after="20"/>
            </w:pPr>
            <w:r>
              <w:rPr>
                <w:b/>
              </w:rPr>
              <w:t xml:space="preserve">Target Property</w:t>
            </w:r>
          </w:p>
        </w:tc>
        <w:tc>
          <w:tcPr>
            <w:shd w:val="clear" w:color="auto" w:fill="D9E2F3"/>
          </w:tcPr>
          <w:p>
            <w:pPr>
              <w:jc w:val="center"/>
              <w:spacing w:after="20"/>
            </w:pPr>
            <w:r>
              <w:rPr>
                <w:b/>
              </w:rPr>
              <w:t xml:space="preserve">Typical Input Features</w:t>
            </w:r>
          </w:p>
        </w:tc>
        <w:tc>
          <w:tcPr>
            <w:shd w:val="clear" w:color="auto" w:fill="D9E2F3"/>
          </w:tcPr>
          <w:p>
            <w:pPr>
              <w:jc w:val="center"/>
              <w:spacing w:after="20"/>
            </w:pPr>
            <w:r>
              <w:rPr>
                <w:b/>
              </w:rPr>
              <w:t xml:space="preserve">Common Model Type</w:t>
            </w:r>
          </w:p>
        </w:tc>
        <w:tc>
          <w:tcPr>
            <w:shd w:val="clear" w:color="auto" w:fill="D9E2F3"/>
          </w:tcPr>
          <w:p>
            <w:pPr>
              <w:jc w:val="center"/>
              <w:spacing w:after="20"/>
            </w:pPr>
            <w:r>
              <w:rPr>
                <w:b/>
              </w:rPr>
              <w:t xml:space="preserve">Reported Accuracy (R-squared)</w:t>
            </w:r>
          </w:p>
        </w:tc>
      </w:tr>
      <w:tr>
        <w:tc>
          <w:p>
            <w:pPr>
              <w:spacing w:after="20"/>
            </w:pPr>
            <w:r>
              <w:t xml:space="preserve">Thermal conductivity</w:t>
            </w:r>
          </w:p>
        </w:tc>
        <w:tc>
          <w:p>
            <w:pPr>
              <w:spacing w:after="20"/>
            </w:pPr>
            <w:r>
              <w:t xml:space="preserve">Volume fraction, temperature, particle size</w:t>
            </w:r>
          </w:p>
        </w:tc>
        <w:tc>
          <w:p>
            <w:pPr>
              <w:spacing w:after="20"/>
            </w:pPr>
            <w:r>
              <w:t xml:space="preserve">ANN / hybrid Maxwell</w:t>
            </w:r>
          </w:p>
        </w:tc>
        <w:tc>
          <w:p>
            <w:pPr>
              <w:spacing w:after="20"/>
            </w:pPr>
            <w:r>
              <w:t xml:space="preserve">0.98 - 0.99</w:t>
            </w:r>
          </w:p>
        </w:tc>
      </w:tr>
      <w:tr>
        <w:tc>
          <w:p>
            <w:pPr>
              <w:spacing w:after="20"/>
            </w:pPr>
            <w:r>
              <w:t xml:space="preserve">Dynamic viscosity</w:t>
            </w:r>
          </w:p>
        </w:tc>
        <w:tc>
          <w:p>
            <w:pPr>
              <w:spacing w:after="20"/>
            </w:pPr>
            <w:r>
              <w:t xml:space="preserve">Volume fraction, temperature, shear rate</w:t>
            </w:r>
          </w:p>
        </w:tc>
        <w:tc>
          <w:p>
            <w:pPr>
              <w:spacing w:after="20"/>
            </w:pPr>
            <w:r>
              <w:t xml:space="preserve">ANN / SVM</w:t>
            </w:r>
          </w:p>
        </w:tc>
        <w:tc>
          <w:p>
            <w:pPr>
              <w:spacing w:after="20"/>
            </w:pPr>
            <w:r>
              <w:t xml:space="preserve">0.96 - 0.99</w:t>
            </w:r>
          </w:p>
        </w:tc>
      </w:tr>
      <w:tr>
        <w:tc>
          <w:p>
            <w:pPr>
              <w:spacing w:after="20"/>
            </w:pPr>
            <w:r>
              <w:t xml:space="preserve">Specific heat</w:t>
            </w:r>
          </w:p>
        </w:tc>
        <w:tc>
          <w:p>
            <w:pPr>
              <w:spacing w:after="20"/>
            </w:pPr>
            <w:r>
              <w:t xml:space="preserve">Volume fraction, temperature, base-fluid Cp</w:t>
            </w:r>
          </w:p>
        </w:tc>
        <w:tc>
          <w:p>
            <w:pPr>
              <w:spacing w:after="20"/>
            </w:pPr>
            <w:r>
              <w:t xml:space="preserve">Regression / ANN</w:t>
            </w:r>
          </w:p>
        </w:tc>
        <w:tc>
          <w:p>
            <w:pPr>
              <w:spacing w:after="20"/>
            </w:pPr>
            <w:r>
              <w:t xml:space="preserve">0.95 - 0.98</w:t>
            </w:r>
          </w:p>
        </w:tc>
      </w:tr>
      <w:tr>
        <w:tc>
          <w:p>
            <w:pPr>
              <w:spacing w:after="20"/>
            </w:pPr>
            <w:r>
              <w:t xml:space="preserve">Convective coefficient</w:t>
            </w:r>
          </w:p>
        </w:tc>
        <w:tc>
          <w:p>
            <w:pPr>
              <w:spacing w:after="20"/>
            </w:pPr>
            <w:r>
              <w:t xml:space="preserve">Reynolds, Prandtl, volume fraction</w:t>
            </w:r>
          </w:p>
        </w:tc>
        <w:tc>
          <w:p>
            <w:pPr>
              <w:spacing w:after="20"/>
            </w:pPr>
            <w:r>
              <w:t xml:space="preserve">Neural operator / PINN</w:t>
            </w:r>
          </w:p>
        </w:tc>
        <w:tc>
          <w:p>
            <w:pPr>
              <w:spacing w:after="20"/>
            </w:pPr>
            <w:r>
              <w:t xml:space="preserve">0.94 - 0.97</w:t>
            </w:r>
          </w:p>
        </w:tc>
      </w:tr>
    </w:tbl>
    <w:p/>
    <w:p>
      <w:pPr>
        <w:pStyle w:val="Normal"/>
      </w:pPr>
      <w:r>
        <w:t xml:space="preserve">Beyond property prediction, physics-aware models support the prediction of full thermal-hydraulic performance in heat transfer equipment. PINNs and neural operators have been used to predict temperature and velocity fields in nanofluid-cooled channels, capturing the coupled effects of enhanced conductivity and elevated viscosity on the Nusselt number and pumping power [36]. Because these models respect the momentum and energy balances, they extrapolate more reliably to untested volume fractions and flow rates than black-box regressors, a property of considerable practical value when experimental coverage is limited [37]. Figure 2 presents a comparison of predicted versus measured convective heat transfer coefficients for several nanofluid formulations, illustrating both the accuracy of the physics-aware approach and the residual scatter attributable to preparation and measurement variability.</w:t>
      </w:r>
    </w:p>
    <w:p>
      <w:pPr>
        <w:jc w:val="center"/>
        <w:spacing w:before="120" w:after="60"/>
      </w:pPr>
      <w:r>
        <w:drawing>
          <wp:inline xmlns:wp="http://schemas.openxmlformats.org/drawingml/2006/wordprocessingDrawing" distT="0" distB="0" distL="0" distR="0">
            <wp:extent cx="5334000" cy="4143375"/>
            <wp:effectExtent l="0" t="0" r="0" b="0"/>
            <wp:docPr id="102" nam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e 2"/>
                    <pic:cNvPicPr/>
                  </pic:nvPicPr>
                  <pic:blipFill>
                    <a:blip r:embed="rIdImg2"/>
                    <a:stretch>
                      <a:fillRect/>
                    </a:stretch>
                  </pic:blipFill>
                  <pic:spPr>
                    <a:xfrm>
                      <a:off x="0" y="0"/>
                      <a:ext cx="5334000" cy="4143375"/>
                    </a:xfrm>
                    <a:prstGeom prst="rect">
                      <a:avLst/>
                    </a:prstGeom>
                  </pic:spPr>
                </pic:pic>
              </a:graphicData>
            </a:graphic>
          </wp:inline>
        </w:drawing>
      </w:r>
    </w:p>
    <w:p>
      <w:pPr>
        <w:pStyle w:val="FigureCaption"/>
      </w:pPr>
      <w:r>
        <w:t xml:space="preserve">Figure 2. Predicted versus measured convective heat transfer coefficients for representative nanofluid formulations; the diagonal denotes perfect agreement and the shaded band the plus-or-minus ten percent interval.</w:t>
      </w:r>
    </w:p>
    <w:p>
      <w:pPr>
        <w:pStyle w:val="Normal"/>
      </w:pPr>
      <w:r>
        <w:t xml:space="preserve">The predictive models feed naturally into optimization workflows. Once a fast and physically consistent surrogate is available, gradient-based or evolutionary optimizers can search the design space of particle material, concentration, base fluid, and operating conditions to maximize heat transfer while constraining pumping penalty and stability [38]. Physics-aware surrogates are particularly well suited to this role because their differentiability enables efficient gradient computation and their extrapolation reliability reduces the risk of the optimizer exploiting spurious model artifacts, a failure mode that plagues purely empirical surrogates [39]. Active learning further improves efficiency by iteratively selecting the most informative experiments or simulations, concentrating scarce resources where model uncertainty is highest [40].</w:t>
      </w:r>
    </w:p>
    <w:p>
      <w:pPr>
        <w:pStyle w:val="Normal"/>
      </w:pPr>
      <w:r>
        <w:t xml:space="preserve">A cautionary consideration is that nanofluid data reported in the literature are notoriously inconsistent, owing to differences in preparation protocols, stabilization methods, and characterization techniques [41]. Physics-aware models mitigate but do not eliminate this challenge; rigorous data curation, transparent uncertainty quantification, and cross-laboratory validation remain essential for trustworthy prediction and optimization [42]. When these practices are observed, physics-informed machine learning offers a compelling route to accelerating the discovery and deployment of high-performance nanofluid thermal systems.</w:t>
      </w:r>
    </w:p>
    <w:p>
      <w:pPr>
        <w:pStyle w:val="Normal"/>
      </w:pPr>
      <w:r>
        <w:t xml:space="preserve">The microscopic mechanisms that give nanofluids their anomalous behavior deserve explicit attention because they dictate which physical priors are worth embedding. Brownian motion of the suspended particles induces micro-convection that augments transport beyond the static predictions of effective-medium theory, while the formation of nanolayers of ordered liquid at the particle surface effectively increases the particle radius and enhances conduction pathways. Particle clustering can create percolating networks that dramatically raise conductivity at low loadings, yet the same clustering, if uncontrolled, precipitates sedimentation that degrades long-term performance. A physics-aware model that encodes these competing mechanisms, even approximately, gains a structural advantage over a featureless regressor, because it partitions the prediction into interpretable contributions whose relative magnitudes can be scrutinized against physical expectations. This interpretability is not merely aesthetic; it enables an engineer to diagnose why a particular formulation underperforms and to reason about how it might be improved.</w:t>
      </w:r>
    </w:p>
    <w:p>
      <w:pPr>
        <w:pStyle w:val="Normal"/>
      </w:pPr>
      <w:r>
        <w:t xml:space="preserve">The optimization of nanofluid formulations also illustrates the danger of optimizing a surrogate rather than the physical system it represents. An unconstrained regressor may discover that extrapolating volume fraction beyond the experimental range yields ever-increasing predicted conductivity, tempting the optimizer toward physically absurd suspensions that would in reality be unstable pastes. Physics-aware constraints, such as bounding predicted conductivity by theoretical limits and penalizing formulations that violate stability criteria, keep the optimizer honest. This safeguarding role is arguably as important as raw predictive accuracy, because an optimizer is an adversary that relentlessly probes the weakest assumptions of its surrogate. The lesson generalizes well beyond nanofluids: any data-driven surrogate used for design must be armored against exploitation of its extrapolation regions, and embedding physics is the most principled armor available.</w:t>
      </w:r>
    </w:p>
    <w:p>
      <w:pPr>
        <w:pStyle w:val="Title"/>
      </w:pPr>
      <w:r>
        <w:t xml:space="preserve">Chapter 11. Digital Twins and Intelligent Thermal Systems</w:t>
      </w:r>
    </w:p>
    <w:p>
      <w:pPr>
        <w:pStyle w:val="Heading1"/>
      </w:pPr>
      <w:r>
        <w:t xml:space="preserve">11.1 Digital Twin Concepts for Heat Transfer Applications</w:t>
      </w:r>
    </w:p>
    <w:p>
      <w:pPr>
        <w:pStyle w:val="Normal"/>
      </w:pPr>
      <w:r>
        <w:t xml:space="preserve">A digital twin is a dynamic virtual representation of a physical asset, process, or system that is continuously updated with data from its real-world counterpart, enabling analysis, prediction, and decision support throughout the asset lifecycle [43]. The concept extends well beyond a static simulation model: what distinguishes a digital twin is the bidirectional flow of information, whereby the physical system streams sensor data to the virtual model and the model in turn returns insights, control signals, or maintenance recommendations to the physical system [44]. In the context of heat transfer, the physical asset might be a heat exchanger, an electronics cooling loop, a solar thermal receiver, or an entire thermal management network, and the digital twin mirrors the thermal-hydraulic state of that asset in near real time.</w:t>
      </w:r>
    </w:p>
    <w:p>
      <w:pPr>
        <w:pStyle w:val="Normal"/>
      </w:pPr>
      <w:r>
        <w:t xml:space="preserve">The maturity of a digital twin can be characterized along a spectrum. At the simplest level, a digital model is an offline representation with no automatic data exchange. A digital shadow adds a one-way flow from the physical asset to the virtual model, so that the model reflects the current state but does not act back upon the asset. A full digital twin closes the loop, incorporating automated feedback in both directions [45]. Progressing along this spectrum increases both capability and the demands placed on sensing, connectivity, and model fidelity, so pragmatic implementations often target the shadow stage before advancing to full closed-loop operation [46].</w:t>
      </w:r>
    </w:p>
    <w:p>
      <w:pPr>
        <w:pStyle w:val="Normal"/>
      </w:pPr>
      <w:r>
        <w:t xml:space="preserve">For heat transfer applications, the modeling core of a digital twin typically integrates several complementary components. A physics-based model, which may be a computational fluid dynamics solver, a reduced-order model, or a lumped-parameter network, provides mechanistic grounding [47]. Machine learning components, including the physics-informed and hybrid models discussed in the preceding chapter, provide speed and adaptability, correcting the physics model against observed behavior and enabling real-time evaluation [1]. A data assimilation layer fuses streaming measurements with model predictions to maintain an accurate estimate of the system state despite noise and incomplete observations [2]. Figure 3 depicts a reference architecture for a thermal digital twin, showing the flow of data from sensors through state estimation and model updating to prediction, optimization, and control services.</w:t>
      </w:r>
    </w:p>
    <w:p>
      <w:pPr>
        <w:jc w:val="center"/>
        <w:spacing w:before="120" w:after="60"/>
      </w:pPr>
      <w:r>
        <w:drawing>
          <wp:inline xmlns:wp="http://schemas.openxmlformats.org/drawingml/2006/wordprocessingDrawing" distT="0" distB="0" distL="0" distR="0">
            <wp:extent cx="5334000" cy="3409950"/>
            <wp:effectExtent l="0" t="0" r="0" b="0"/>
            <wp:docPr id="103" nam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e 3"/>
                    <pic:cNvPicPr/>
                  </pic:nvPicPr>
                  <pic:blipFill>
                    <a:blip r:embed="rIdImg3"/>
                    <a:stretch>
                      <a:fillRect/>
                    </a:stretch>
                  </pic:blipFill>
                  <pic:spPr>
                    <a:xfrm>
                      <a:off x="0" y="0"/>
                      <a:ext cx="5334000" cy="3409950"/>
                    </a:xfrm>
                    <a:prstGeom prst="rect">
                      <a:avLst/>
                    </a:prstGeom>
                  </pic:spPr>
                </pic:pic>
              </a:graphicData>
            </a:graphic>
          </wp:inline>
        </w:drawing>
      </w:r>
    </w:p>
    <w:p>
      <w:pPr>
        <w:pStyle w:val="FigureCaption"/>
      </w:pPr>
      <w:r>
        <w:t xml:space="preserve">Figure 3. Reference architecture of a thermal digital twin, linking the physical asset and its sensors to a data assimilation layer, a coupled physics-and-learning model core, and downstream prediction, optimization, and control services with closed-loop feedback.</w:t>
      </w:r>
    </w:p>
    <w:p>
      <w:pPr>
        <w:pStyle w:val="Normal"/>
      </w:pPr>
      <w:r>
        <w:t xml:space="preserve">The value proposition of thermal digital twins is multifaceted. They enable virtual sensing, in which quantities that are difficult or impossible to measure directly, such as internal wall temperatures or local fouling thickness, are inferred from accessible measurements through the model [3]. They support what-if analysis, allowing operators to evaluate the consequences of proposed setpoint changes before implementing them on the physical system [4]. They provide a platform for anomaly detection, since deviations between predicted and observed behavior flag developing faults [5]. Realizing these benefits requires careful attention to model calibration, computational latency, and the reliability of the data pipeline, as discussed in the following sections.</w:t>
      </w:r>
    </w:p>
    <w:p>
      <w:pPr>
        <w:pStyle w:val="Normal"/>
      </w:pPr>
      <w:r>
        <w:t xml:space="preserve">The economic and operational rationale for thermal digital twins has strengthened as sensing and computing costs have fallen. In data centers, where cooling can consume a substantial fraction of total energy, a well-calibrated twin permits operators to run equipment closer to safe thermal limits, reclaiming margin that would otherwise be surrendered to conservative fixed setpoints. In process industries, twins of heat exchanger networks expose fouling before it inflates energy bills, and in renewable energy the twin of a solar thermal receiver can anticipate the effect of soiling and weather on collector efficiency. Across these settings the common denominator is that a virtual replica converts scattered, noisy measurements into a coherent and continuously updated picture of thermal state, and it is this synthesis, rather than any single measurement, that unlocks value. The degree to which the picture can be trusted, however, is bounded by the fidelity of the underlying models and the integrity of the data feeding them, which is why the modeling and monitoring choices examined next are decisive.</w:t>
      </w:r>
    </w:p>
    <w:p>
      <w:pPr>
        <w:pStyle w:val="Normal"/>
      </w:pPr>
      <w:r>
        <w:t xml:space="preserve">It is also worth distinguishing the digital twin from adjacent concepts with which it is sometimes conflated. A conventional simulation is run offline to answer a specific design question and is then set aside; a monitoring dashboard displays measurements without any predictive model behind them; a digital twin, by contrast, persists alongside its physical counterpart and evolves with it. This persistence imposes engineering obligations absent from one-off simulations, including version control of models, provenance tracking of assimilated data, and lifecycle management as the physical asset ages and its behavior drifts. Treating the twin as a living software system rather than a static analysis artifact is a prerequisite for sustained value, and it aligns thermal engineering practice with the broader disciplines of systems engineering and reliability management.</w:t>
      </w:r>
    </w:p>
    <w:p>
      <w:pPr>
        <w:pStyle w:val="Heading1"/>
      </w:pPr>
      <w:r>
        <w:t xml:space="preserve">11.2 Real-Time Monitoring and Predictive Thermal Modelling</w:t>
      </w:r>
    </w:p>
    <w:p>
      <w:pPr>
        <w:pStyle w:val="Normal"/>
      </w:pPr>
      <w:r>
        <w:t xml:space="preserve">Real-time monitoring is the operational heartbeat of a thermal digital twin, transforming raw sensor streams into an actionable understanding of system health and performance [6]. The monitoring function rests on a data assimilation framework that continuously reconciles model predictions with incoming measurements. Recursive Bayesian estimators, most notably the family of Kalman filters and their nonlinear extensions such as the extended and unscented variants, are widely used to maintain a running estimate of the thermal state together with a quantified uncertainty [7]. When the underlying dynamics are strongly nonlinear or non-Gaussian, particle filters offer greater flexibility at higher computational cost, a trade-off that must be weighed against the available computing budget [8].</w:t>
      </w:r>
    </w:p>
    <w:p>
      <w:pPr>
        <w:pStyle w:val="Normal"/>
      </w:pPr>
      <w:r>
        <w:t xml:space="preserve">A defining requirement of real-time operation is that the model must evaluate faster than the physical process evolves, which for many thermal systems means sub-second to few-second response [9]. Full computational fluid dynamics simulations rarely meet this constraint, so digital twins rely on surrogate and reduced-order models to deliver the necessary speed [10]. Proper orthogonal decomposition and related projection techniques compress high-dimensional field data into a handful of dominant modes, preserving the essential dynamics while reducing computational cost by orders of magnitude [11]. Machine learning surrogates, especially the neural operators introduced earlier, complement these projection methods by learning fast approximations of the full solution operator [12]. Table 4 summarizes common surrogate and reduced-order modeling techniques employed in thermal digital twins, characterizing each by its speed, accuracy, and data requirements.</w:t>
      </w:r>
    </w:p>
    <w:p>
      <w:pPr>
        <w:pStyle w:val="TableCaption"/>
      </w:pPr>
      <w:r>
        <w:t xml:space="preserve">Table 4. Surrogate and reduced-order modeling techniques for thermal digital twins.</w:t>
      </w:r>
    </w:p>
    <w:tbl>
      <w:tblPr>
        <w:tblStyle w:val="TableGrid"/>
        <w:tblW w:w="936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shd w:val="clear" w:color="auto" w:fill="D9E2F3"/>
          </w:tcPr>
          <w:p>
            <w:pPr>
              <w:jc w:val="center"/>
              <w:spacing w:after="20"/>
            </w:pPr>
            <w:r>
              <w:rPr>
                <w:b/>
              </w:rPr>
              <w:t xml:space="preserve">Technique</w:t>
            </w:r>
          </w:p>
        </w:tc>
        <w:tc>
          <w:tcPr>
            <w:shd w:val="clear" w:color="auto" w:fill="D9E2F3"/>
          </w:tcPr>
          <w:p>
            <w:pPr>
              <w:jc w:val="center"/>
              <w:spacing w:after="20"/>
            </w:pPr>
            <w:r>
              <w:rPr>
                <w:b/>
              </w:rPr>
              <w:t xml:space="preserve">Relative Speed</w:t>
            </w:r>
          </w:p>
        </w:tc>
        <w:tc>
          <w:tcPr>
            <w:shd w:val="clear" w:color="auto" w:fill="D9E2F3"/>
          </w:tcPr>
          <w:p>
            <w:pPr>
              <w:jc w:val="center"/>
              <w:spacing w:after="20"/>
            </w:pPr>
            <w:r>
              <w:rPr>
                <w:b/>
              </w:rPr>
              <w:t xml:space="preserve">Accuracy</w:t>
            </w:r>
          </w:p>
        </w:tc>
        <w:tc>
          <w:tcPr>
            <w:shd w:val="clear" w:color="auto" w:fill="D9E2F3"/>
          </w:tcPr>
          <w:p>
            <w:pPr>
              <w:jc w:val="center"/>
              <w:spacing w:after="20"/>
            </w:pPr>
            <w:r>
              <w:rPr>
                <w:b/>
              </w:rPr>
              <w:t xml:space="preserve">Data Requirement</w:t>
            </w:r>
          </w:p>
        </w:tc>
      </w:tr>
      <w:tr>
        <w:tc>
          <w:p>
            <w:pPr>
              <w:spacing w:after="20"/>
            </w:pPr>
            <w:r>
              <w:t xml:space="preserve">Proper orthogonal decomposition</w:t>
            </w:r>
          </w:p>
        </w:tc>
        <w:tc>
          <w:p>
            <w:pPr>
              <w:spacing w:after="20"/>
            </w:pPr>
            <w:r>
              <w:t xml:space="preserve">Very fast</w:t>
            </w:r>
          </w:p>
        </w:tc>
        <w:tc>
          <w:p>
            <w:pPr>
              <w:spacing w:after="20"/>
            </w:pPr>
            <w:r>
              <w:t xml:space="preserve">High within training range</w:t>
            </w:r>
          </w:p>
        </w:tc>
        <w:tc>
          <w:p>
            <w:pPr>
              <w:spacing w:after="20"/>
            </w:pPr>
            <w:r>
              <w:t xml:space="preserve">Moderate (snapshots)</w:t>
            </w:r>
          </w:p>
        </w:tc>
      </w:tr>
      <w:tr>
        <w:tc>
          <w:p>
            <w:pPr>
              <w:spacing w:after="20"/>
            </w:pPr>
            <w:r>
              <w:t xml:space="preserve">Lumped-parameter network</w:t>
            </w:r>
          </w:p>
        </w:tc>
        <w:tc>
          <w:p>
            <w:pPr>
              <w:spacing w:after="20"/>
            </w:pPr>
            <w:r>
              <w:t xml:space="preserve">Very fast</w:t>
            </w:r>
          </w:p>
        </w:tc>
        <w:tc>
          <w:p>
            <w:pPr>
              <w:spacing w:after="20"/>
            </w:pPr>
            <w:r>
              <w:t xml:space="preserve">Moderate</w:t>
            </w:r>
          </w:p>
        </w:tc>
        <w:tc>
          <w:p>
            <w:pPr>
              <w:spacing w:after="20"/>
            </w:pPr>
            <w:r>
              <w:t xml:space="preserve">Low</w:t>
            </w:r>
          </w:p>
        </w:tc>
      </w:tr>
      <w:tr>
        <w:tc>
          <w:p>
            <w:pPr>
              <w:spacing w:after="20"/>
            </w:pPr>
            <w:r>
              <w:t xml:space="preserve">Neural operator surrogate</w:t>
            </w:r>
          </w:p>
        </w:tc>
        <w:tc>
          <w:p>
            <w:pPr>
              <w:spacing w:after="20"/>
            </w:pPr>
            <w:r>
              <w:t xml:space="preserve">Fast</w:t>
            </w:r>
          </w:p>
        </w:tc>
        <w:tc>
          <w:p>
            <w:pPr>
              <w:spacing w:after="20"/>
            </w:pPr>
            <w:r>
              <w:t xml:space="preserve">High</w:t>
            </w:r>
          </w:p>
        </w:tc>
        <w:tc>
          <w:p>
            <w:pPr>
              <w:spacing w:after="20"/>
            </w:pPr>
            <w:r>
              <w:t xml:space="preserve">High</w:t>
            </w:r>
          </w:p>
        </w:tc>
      </w:tr>
      <w:tr>
        <w:tc>
          <w:p>
            <w:pPr>
              <w:spacing w:after="20"/>
            </w:pPr>
            <w:r>
              <w:t xml:space="preserve">Physics-informed surrogate</w:t>
            </w:r>
          </w:p>
        </w:tc>
        <w:tc>
          <w:p>
            <w:pPr>
              <w:spacing w:after="20"/>
            </w:pPr>
            <w:r>
              <w:t xml:space="preserve">Fast</w:t>
            </w:r>
          </w:p>
        </w:tc>
        <w:tc>
          <w:p>
            <w:pPr>
              <w:spacing w:after="20"/>
            </w:pPr>
            <w:r>
              <w:t xml:space="preserve">High, physically consistent</w:t>
            </w:r>
          </w:p>
        </w:tc>
        <w:tc>
          <w:p>
            <w:pPr>
              <w:spacing w:after="20"/>
            </w:pPr>
            <w:r>
              <w:t xml:space="preserve">Low to moderate</w:t>
            </w:r>
          </w:p>
        </w:tc>
      </w:tr>
      <w:tr>
        <w:tc>
          <w:p>
            <w:pPr>
              <w:spacing w:after="20"/>
            </w:pPr>
            <w:r>
              <w:t xml:space="preserve">Full CFD (reference)</w:t>
            </w:r>
          </w:p>
        </w:tc>
        <w:tc>
          <w:p>
            <w:pPr>
              <w:spacing w:after="20"/>
            </w:pPr>
            <w:r>
              <w:t xml:space="preserve">Slow</w:t>
            </w:r>
          </w:p>
        </w:tc>
        <w:tc>
          <w:p>
            <w:pPr>
              <w:spacing w:after="20"/>
            </w:pPr>
            <w:r>
              <w:t xml:space="preserve">Very high</w:t>
            </w:r>
          </w:p>
        </w:tc>
        <w:tc>
          <w:p>
            <w:pPr>
              <w:spacing w:after="20"/>
            </w:pPr>
            <w:r>
              <w:t xml:space="preserve">Not applicable</w:t>
            </w:r>
          </w:p>
        </w:tc>
      </w:tr>
    </w:tbl>
    <w:p/>
    <w:p>
      <w:pPr>
        <w:pStyle w:val="Normal"/>
      </w:pPr>
      <w:r>
        <w:t xml:space="preserve">Predictive thermal modeling extends monitoring into the future, forecasting how the system state will evolve under anticipated operating conditions [13]. This forecasting capability underpins predictive maintenance, in which the remaining useful life of components such as heat exchanger surfaces subject to fouling or degradation is estimated so that interventions can be scheduled proactively rather than reactively [14]. In electronics cooling, predictive models anticipate thermal excursions and enable pre-emptive throttling or coolant flow adjustment to prevent damage, protecting expensive hardware from transient overheating [15]. The accuracy of these forecasts depends on the fidelity of the underlying model and the quality of the assimilated data, reinforcing the tight coupling between monitoring and prediction [16].</w:t>
      </w:r>
    </w:p>
    <w:p>
      <w:pPr>
        <w:pStyle w:val="Normal"/>
      </w:pPr>
      <w:r>
        <w:t xml:space="preserve">Robustness is a paramount concern in real-time thermal monitoring. Sensor faults, communication dropouts, and drift can corrupt the data stream and mislead the twin, so practical systems incorporate sensor validation, outlier rejection, and graceful degradation strategies that maintain useful operation even when individual data sources fail [17]. Uncertainty quantification is equally critical, as decisions based on state estimates must account for the confidence in those estimates; a maintenance action triggered by a noisy or biased reading can be costly and erode operator trust [18]. The integration of physics-informed models, which constrain estimates to physically plausible regions, materially improves robustness relative to purely data-driven monitoring [19].</w:t>
      </w:r>
    </w:p>
    <w:p>
      <w:pPr>
        <w:pStyle w:val="Normal"/>
      </w:pPr>
      <w:r>
        <w:t xml:space="preserve">The architecture of the data pipeline that feeds a real-time thermal twin is as consequential as the models it serves. Measurements originate at heterogeneous sensors sampling at different rates, traverse networks that introduce latency and occasional loss, and must be time-aligned before assimilation. Edge computing addresses part of this challenge by performing preliminary filtering and state estimation close to the physical asset, reducing the volume of data transmitted and shrinking the control loop's latency, while heavier analytics such as remaining-useful-life estimation run in the cloud where computational resources are abundant. This tiered arrangement lets the twin respond quickly to fast thermal transients while still exploiting the deeper analysis that larger models afford. The partitioning of computation between edge and cloud is thus a design decision with direct consequences for both responsiveness and insight, and it must be revisited as sensing density and model complexity grow.</w:t>
      </w:r>
    </w:p>
    <w:p>
      <w:pPr>
        <w:pStyle w:val="Normal"/>
      </w:pPr>
      <w:r>
        <w:t xml:space="preserve">Calibration deserves emphasis as the process that keeps a twin faithful over time. Even a physically sound model contains parameters, such as fouling coefficients, contact resistances, and effective heat transfer coefficients, that are uncertain at commissioning and drift during operation. Continuous or periodic recalibration, in which these parameters are treated as slowly varying states to be estimated alongside the fast thermal dynamics, prevents the gradual divergence that would otherwise erode the twin's accuracy. The distinction between fast states, which change on the timescale of the thermal process, and slow parameters, which change on the timescale of degradation, is a recurring structural theme in thermal digital twins, and encoding it explicitly in the estimator improves both stability and interpretability. When the slow parameters themselves become the object of interest, their estimated trajectories furnish a direct, physically meaningful indicator of asset health.</w:t>
      </w:r>
    </w:p>
    <w:p>
      <w:pPr>
        <w:pStyle w:val="Heading1"/>
      </w:pPr>
      <w:r>
        <w:t xml:space="preserve">11.3 AI-Enabled Digital Twins for Nanofluid-Based Systems</w:t>
      </w:r>
    </w:p>
    <w:p>
      <w:pPr>
        <w:pStyle w:val="Normal"/>
      </w:pPr>
      <w:r>
        <w:t xml:space="preserve">Nanofluid-based thermal systems present distinctive challenges and opportunities for digital twin technology, arising from the complex and time-dependent behavior of the working fluid itself [20]. Unlike conventional coolants, nanofluids can undergo sedimentation, agglomeration, and property drift over time, and their performance is sensitive to shear history and thermal cycling [21]. A digital twin of a nanofluid system must therefore track not only the thermal-hydraulic state but also the evolving condition of the fluid, a requirement that elevates the importance of adaptive, learning-based components [22].</w:t>
      </w:r>
    </w:p>
    <w:p>
      <w:pPr>
        <w:pStyle w:val="Normal"/>
      </w:pPr>
      <w:r>
        <w:t xml:space="preserve">Artificial intelligence enables several capabilities that are especially valuable in this setting. Online learning allows the twin to update its representation of nanofluid properties as the suspension ages, capturing the gradual decline in effective thermal conductivity that accompanies particle agglomeration [23]. Anomaly detection algorithms, trained on the signatures of healthy operation, can identify the onset of sedimentation or clogging before it produces a gross performance loss, giving operators time to intervene [24]. Reinforcement learning agents can optimize operating strategies, such as flow rate scheduling or periodic agitation, to maintain suspension stability and thermal performance over extended horizons [25]. Figure 3 and the associated architecture apply directly here, with the fluid-condition estimator forming an additional state that the assimilation layer must track alongside temperatures and flow rates.</w:t>
      </w:r>
    </w:p>
    <w:p>
      <w:pPr>
        <w:pStyle w:val="Normal"/>
      </w:pPr>
      <w:r>
        <w:t xml:space="preserve">The physics-aware property models developed in Chapter 10 serve as natural building blocks for nanofluid digital twins, supplying fast and physically consistent estimates of conductivity, viscosity, and specific heat as functions of the current fluid state [26]. Coupling these property models with a reduced-order thermal-hydraulic model yields a twin that can predict performance in real time while accounting for the evolving nature of the working fluid [27]. Such coupling exemplifies the synergy between the physics-informed learning of the previous chapter and the digital twin frameworks of the present one, and it illustrates how the chapter's themes reinforce one another rather than standing in isolation [28].</w:t>
      </w:r>
    </w:p>
    <w:p>
      <w:pPr>
        <w:pStyle w:val="Normal"/>
      </w:pPr>
      <w:r>
        <w:t xml:space="preserve">Case studies emerging in the literature demonstrate the potential of this integration. Digital twins of nanofluid-cooled photovoltaic thermal collectors have been reported to improve energy yield prediction and to guide cleaning and maintenance schedules, while twins of nanofluid-based electronics cooling loops have enabled tighter temperature control and earlier fault detection [29]. Figure 2, introduced in the context of property prediction, also informs these twins by supplying the validated convective correlations upon which the reduced-order models rely, underscoring how a single validated dataset can serve multiple layers of the intelligent system [30]. Realizing the full promise of nanofluid digital twins will require continued progress in low-cost sensing of fluid condition, standardized data protocols, and validated models that span the wide range of formulations encountered in practice [31].</w:t>
      </w:r>
    </w:p>
    <w:p>
      <w:pPr>
        <w:pStyle w:val="Normal"/>
      </w:pPr>
      <w:r>
        <w:t xml:space="preserve">Sensing the condition of the working fluid, as opposed to the temperatures and flow rates of the surrounding hardware, is the pivotal enabling technology for nanofluid twins and remains comparatively immature. Optical turbidity probes, ultrasonic attenuation measurements, and inline viscometry each offer a partial window onto the suspension's state, reporting on particle concentration, agglomeration, and rheology respectively, yet none provides a complete picture on its own. Sensor fusion within the assimilation layer combines these partial and noisy signals into a coherent estimate of fluid condition, and physics-aware property models translate that estimate into the conductivity and viscosity values the thermal-hydraulic model requires. The interplay is genuinely bidirectional: the thermal model predicts how a degrading fluid should alter measured temperatures, and any discrepancy between prediction and observation feeds back to refine the fluid-condition estimate, so that the thermal signature itself becomes an indirect sensor of suspension health.</w:t>
      </w:r>
    </w:p>
    <w:p>
      <w:pPr>
        <w:pStyle w:val="Normal"/>
      </w:pPr>
      <w:r>
        <w:t xml:space="preserve">Reinforcement learning deserves particular mention as a means of managing nanofluid systems over long horizons. Because suspension stability responds to operating history, decisions such as when to increase flow to resuspend settling particles or when to schedule maintenance are inherently sequential, and their consequences unfold over time. A reinforcement learning agent, trained in simulation against a validated twin and then deployed with appropriate safeguards, can learn policies that trade short-term pumping cost against long-term stability in ways that fixed rules cannot easily capture. The twin is indispensable to this endeavor, serving both as the training environment that lets the agent explore without risking the physical asset and as the runtime monitor that verifies the agent's actions remain within safe bounds. This pairing of a learning controller with a physics-grounded twin exemplifies the convergence of the chapter's themes into a single operational system, and it points toward thermal systems that not only report their state but actively steer themselves toward sustained high performance.</w:t>
      </w:r>
    </w:p>
    <w:p>
      <w:pPr>
        <w:pStyle w:val="Title"/>
      </w:pPr>
      <w:r>
        <w:t xml:space="preserve">Chapter 12. AI-Driven Optimization of Nanofluid Heat Exchangers</w:t>
      </w:r>
    </w:p>
    <w:p>
      <w:pPr>
        <w:pStyle w:val="Heading1"/>
      </w:pPr>
      <w:r>
        <w:t xml:space="preserve">12.1 Geometric and Operating Parameter Optimization</w:t>
      </w:r>
    </w:p>
    <w:p>
      <w:pPr>
        <w:pStyle w:val="Normal"/>
      </w:pPr>
      <w:r>
        <w:t xml:space="preserve">Heat exchangers are among the most ubiquitous components in thermal systems, and their performance depends jointly on geometric design and operating conditions, both of which present rich opportunities for artificial-intelligence-driven optimization [32]. Geometric parameters include tube diameter and pitch, fin height and spacing, channel aspect ratio, and the configuration of turbulence promoters such as twisted tapes, ribs, and dimples [33]. Operating parameters encompass mass flow rate, inlet temperature, and, for nanofluid-charged exchangers, the particle material, concentration, and base fluid [34]. The combined design space is high-dimensional, nonlinear, and characterized by expensive objective evaluations, precisely the conditions under which intelligent optimization delivers the greatest advantage.</w:t>
      </w:r>
    </w:p>
    <w:p>
      <w:pPr>
        <w:pStyle w:val="Normal"/>
      </w:pPr>
      <w:r>
        <w:t xml:space="preserve">The traditional approach of one-factor-at-a-time experimentation is inefficient and prone to missing interactions between variables, so systematic design-of-experiments and response-surface methodologies have long been employed to build empirical models of exchanger performance [35]. Machine learning extends this tradition by constructing more flexible and accurate surrogate models from experimental or simulation data, capturing complex interactions that low-order polynomial response surfaces cannot represent [36]. Once a surrogate is available, the optimization problem becomes tractable: the surrogate is queried thousands of times by an optimizer at negligible cost compared with the underlying experiments or high-fidelity simulations [37].</w:t>
      </w:r>
    </w:p>
    <w:p>
      <w:pPr>
        <w:pStyle w:val="Normal"/>
      </w:pPr>
      <w:r>
        <w:t xml:space="preserve">Metaheuristic optimization algorithms are especially popular for this task because they make no assumptions about convexity or differentiability and readily accommodate discrete choices such as material selection [38]. Genetic algorithms, particle swarm optimization, and their many variants have been applied extensively to heat exchanger design, exploring the space of geometries and operating points to identify high-performance configurations [39]. Surrogate-assisted evolutionary optimization combines the global search capability of these metaheuristics with the speed of machine learning surrogates, and it has become a workhorse methodology for computationally expensive thermal design problems [40]. Bayesian optimization offers a complementary, sample-efficient alternative that is well matched to problems where each evaluation is very costly, since it explicitly balances exploration of uncertain regions against exploitation of promising ones [41].</w:t>
      </w:r>
    </w:p>
    <w:p>
      <w:pPr>
        <w:pStyle w:val="Normal"/>
      </w:pPr>
      <w:r>
        <w:t xml:space="preserve">The integration of nanofluids into this optimization framework introduces additional design freedom and complexity. The choice of nanoparticle and concentration interacts strongly with geometry and flow rate, since the viscosity penalty of adding particles must be weighed against the conductivity benefit, and the optimal formulation depends on the specific exchanger and duty [42]. Physics-aware surrogates, which respect the coupling between enhanced conductivity and elevated pumping power, are therefore indispensable for meaningful nanofluid exchanger optimization, and they guard against the physically implausible optima that unconstrained models can generate [43].</w:t>
      </w:r>
    </w:p>
    <w:p>
      <w:pPr>
        <w:pStyle w:val="Normal"/>
      </w:pPr>
      <w:r>
        <w:t xml:space="preserve">The dimensionality of the combined geometric, operating, and formulation space poses a practical obstacle that shapes the choice of method. As the number of design variables grows, the volume of the space expands so rapidly that uniform sampling becomes hopeless, a phenomenon that renders naive grid searches useless beyond a handful of dimensions. Dimensionality-reduction strategies, including sensitivity analysis to prune unimportant variables and the identification of active subspaces along which the objective varies most strongly, focus the optimization on the directions that matter. Surrogate models constructed in these reduced spaces are both more accurate and cheaper to query, and the optimizer that searches them converges faster. This preprocessing step, often overlooked in enthusiasm for the optimization algorithm itself, frequently determines whether a design study succeeds or exhausts its computational budget without a usable answer.</w:t>
      </w:r>
    </w:p>
    <w:p>
      <w:pPr>
        <w:pStyle w:val="Normal"/>
      </w:pPr>
      <w:r>
        <w:t xml:space="preserve">The credibility of any optimized design ultimately rests on the credibility of the surrogate at the optimum, which is precisely where data are typically sparsest. Optimizers are drawn toward the extremes of the design space, yet training data are usually densest near nominal operating conditions, so the surrogate's predictions are least trustworthy exactly where the optimizer wishes to operate. Adaptive or infill sampling counters this tendency by adding new high-fidelity evaluations near the evolving optimum, iteratively sharpening the surrogate where it is being exploited. This closes the loop between modeling and optimization and transforms the surrogate from a static approximation into a living model that improves precisely where improvement is needed. For expensive nanofluid experiments, in which each data point may represent days of preparation and measurement, such sample efficiency is not a convenience but a necessity, and it aligns the optimization workflow with the active-learning philosophy introduced in the preceding chapter.</w:t>
      </w:r>
    </w:p>
    <w:p>
      <w:pPr>
        <w:pStyle w:val="Heading1"/>
      </w:pPr>
      <w:r>
        <w:t xml:space="preserve">12.2 Thermal Performance, Energy Efficiency, and Entropy Generation</w:t>
      </w:r>
    </w:p>
    <w:p>
      <w:pPr>
        <w:pStyle w:val="Normal"/>
      </w:pPr>
      <w:r>
        <w:t xml:space="preserve">Evaluating the merit of a heat exchanger design requires performance metrics that capture the competing demands of heat transfer enhancement and energy expenditure, and the choice of metric fundamentally shapes the outcome of any optimization [44]. The Nusselt number quantifies convective heat transfer effectiveness, while the friction factor and the associated pumping power quantify the hydraulic cost of achieving that heat transfer [45]. Because nanofluids and turbulence promoters enhance heat transfer at the expense of increased pressure drop, single-metric evaluation is misleading, and composite indicators are required to render fair comparisons.</w:t>
      </w:r>
    </w:p>
    <w:p>
      <w:pPr>
        <w:pStyle w:val="Normal"/>
      </w:pPr>
      <w:r>
        <w:t xml:space="preserve">The performance evaluation criterion, defined as the ratio of heat transfer enhancement to the cube root of the friction penalty at constant pumping power, provides a widely used composite measure that captures this trade-off in a single number [46]. A value greater than unity indicates that the enhancement technique delivers net benefit when the additional pumping power is properly accounted for [1]. Machine learning models trained to predict Nusselt number and friction factor simultaneously enable rapid evaluation of this criterion across the design space, transforming a laborious experimental assessment into a near-instantaneous computation [2].</w:t>
      </w:r>
    </w:p>
    <w:p>
      <w:pPr>
        <w:pStyle w:val="Normal"/>
      </w:pPr>
      <w:r>
        <w:t xml:space="preserve">A more fundamental perspective is provided by the second law of thermodynamics through entropy generation analysis, which recognizes that both heat transfer across finite temperature differences and fluid friction destroy available work [3]. Entropy generation minimization seeks the design that incurs the least total irreversibility, balancing the thermal and frictional contributions that respectively decrease and increase with flow rate [4]. This framework yields an optimal operating point corresponding to minimum entropy generation, a principled target that transcends the somewhat arbitrary weighting inherent in composite performance criteria [5]. For nanofluids, the entropy generation analysis is subtle because the addition of particles alters both contributions, and the net effect on total irreversibility depends on concentration, geometry, and flow regime in ways that are difficult to anticipate without detailed analysis [6].</w:t>
      </w:r>
    </w:p>
    <w:p>
      <w:pPr>
        <w:pStyle w:val="Normal"/>
      </w:pPr>
      <w:r>
        <w:t xml:space="preserve">Machine learning contributes to entropy-based design by providing fast surrogates for the thermal and frictional entropy generation terms as functions of design and operating variables [7]. These surrogates make it feasible to map the entropy generation landscape across the full design space and to locate minima that would be prohibitively expensive to find through direct simulation or experiment [8]. Coupling entropy generation surrogates with the optimization algorithms of the previous section produces designs that are thermodynamically efficient rather than merely effective at transferring heat, aligning the design objective with the ultimate goal of minimizing energy waste [9]. This second-law perspective is increasingly emphasized in the literature as a route to genuinely sustainable thermal system design, since it directly targets the destruction of available work [10].</w:t>
      </w:r>
    </w:p>
    <w:p>
      <w:pPr>
        <w:pStyle w:val="Normal"/>
      </w:pPr>
      <w:r>
        <w:t xml:space="preserve">Energy efficiency at the system level extends beyond the individual exchanger to encompass the pumping infrastructure, the thermal duty served, and the broader energy context in which the exchanger operates [11]. Artificial intelligence supports this system-level view by enabling co-optimization of the exchanger with its pump, controls, and duty cycle, ensuring that local improvements translate into genuine system-level gains rather than being negated by penalties elsewhere in the loop [12]. This holistic outlook is essential for nanofluid systems, where the pumping penalty can otherwise erode the thermal benefit if considered only at the component level [13].</w:t>
      </w:r>
    </w:p>
    <w:p>
      <w:pPr>
        <w:pStyle w:val="Normal"/>
      </w:pPr>
      <w:r>
        <w:t xml:space="preserve">The temporal dimension of energy efficiency further complicates the picture and rewards intelligent treatment. Many thermal systems operate under variable duty, with loads that fluctuate over hours or seasons, so a design optimized for a single nominal point may perform poorly across the realistic operating envelope. Optimizing over a representative duty cycle, weighting each operating condition by its expected frequency, yields designs that are robust to the variability of real service rather than brittle optima tuned to a snapshot. Machine learning surrogates make this duty-cycle optimization affordable by supplying rapid performance predictions at each operating point, so that the aggregate lifetime energy consumption, rather than the instantaneous performance at a design point, becomes the quantity minimized. For nanofluid systems the duty-cycle perspective interacts with fluid stability, since sustained low-flow operation may promote sedimentation, coupling the thermal and reliability objectives in ways that only a system-level, time-aware analysis can expose.</w:t>
      </w:r>
    </w:p>
    <w:p>
      <w:pPr>
        <w:pStyle w:val="Normal"/>
      </w:pPr>
      <w:r>
        <w:t xml:space="preserve">Entropy generation analysis, when paired with an economic weighting of the thermal and frictional irreversibilities, connects the second-law perspective to tangible operating cost. Because the frictional entropy generation ultimately reflects electrical energy consumed by the pump while the thermal entropy generation reflects the degradation of a heat resource, assigning appropriate monetary or exergetic values to each allows the entropy minimization to serve directly as a cost minimization. This exergo-economic framing resonates with the sustainability imperatives increasingly placed on thermal engineering, since it targets the destruction of available work, which is the thermodynamic root of energy waste. Machine learning surrogates for the entropy generation terms make it feasible to perform this analysis across a large design space, and the resulting designs are efficient in a sense that composite hydraulic-thermal metrics only approximate, grounding the optimization in the fundamental thermodynamics of the process.</w:t>
      </w:r>
    </w:p>
    <w:p>
      <w:pPr>
        <w:pStyle w:val="Heading1"/>
      </w:pPr>
      <w:r>
        <w:t xml:space="preserve">12.3 Multi-Objective Design of Advanced Heat Exchangers</w:t>
      </w:r>
    </w:p>
    <w:p>
      <w:pPr>
        <w:pStyle w:val="Normal"/>
      </w:pPr>
      <w:r>
        <w:t xml:space="preserve">Real engineering design rarely reduces to the optimization of a single objective; instead, designers must reconcile multiple, often conflicting, goals such as maximizing heat transfer, minimizing pumping power, reducing size and weight, lowering cost, and ensuring reliability [14]. Multi-objective optimization provides the formal framework for navigating these trade-offs, replacing the notion of a single best design with a set of Pareto-optimal solutions, none of which can be improved in one objective without sacrificing another [15]. The designer then selects from this Pareto set according to preferences and constraints that may be difficult to formalize in advance, retaining human judgment at the final decision stage.</w:t>
      </w:r>
    </w:p>
    <w:p>
      <w:pPr>
        <w:pStyle w:val="Normal"/>
      </w:pPr>
      <w:r>
        <w:t xml:space="preserve">Evolutionary algorithms are naturally suited to multi-objective problems because they maintain a population of candidate solutions and can approximate the entire Pareto front in a single run [16]. The non-dominated sorting genetic algorithm and its successors have become standard tools for multi-objective heat exchanger design, efficiently evolving populations toward the Pareto front while preserving diversity along it [17]. When combined with machine learning surrogates, these algorithms can address problems whose objective evaluations would otherwise be far too expensive to permit population-based search, extending rigorous multi-objective design to configurations previously considered intractable [18]. Figure 4 illustrates a representative Pareto front for a nanofluid heat exchanger, trading heat transfer rate against pumping power, with distinct clusters corresponding to different nanoparticle concentrations.</w:t>
      </w:r>
    </w:p>
    <w:p>
      <w:pPr>
        <w:jc w:val="center"/>
        <w:spacing w:before="120" w:after="60"/>
      </w:pPr>
      <w:r>
        <w:drawing>
          <wp:inline xmlns:wp="http://schemas.openxmlformats.org/drawingml/2006/wordprocessingDrawing" distT="0" distB="0" distL="0" distR="0">
            <wp:extent cx="5334000" cy="4143375"/>
            <wp:effectExtent l="0" t="0" r="0" b="0"/>
            <wp:docPr id="104" nam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ure 4"/>
                    <pic:cNvPicPr/>
                  </pic:nvPicPr>
                  <pic:blipFill>
                    <a:blip r:embed="rIdImg4"/>
                    <a:stretch>
                      <a:fillRect/>
                    </a:stretch>
                  </pic:blipFill>
                  <pic:spPr>
                    <a:xfrm>
                      <a:off x="0" y="0"/>
                      <a:ext cx="5334000" cy="4143375"/>
                    </a:xfrm>
                    <a:prstGeom prst="rect">
                      <a:avLst/>
                    </a:prstGeom>
                  </pic:spPr>
                </pic:pic>
              </a:graphicData>
            </a:graphic>
          </wp:inline>
        </w:drawing>
      </w:r>
    </w:p>
    <w:p>
      <w:pPr>
        <w:pStyle w:val="FigureCaption"/>
      </w:pPr>
      <w:r>
        <w:t xml:space="preserve">Figure 4. Representative Pareto front for multi-objective optimization of a nanofluid heat exchanger, trading heat transfer rate against pumping power; dominated designs lie above the front and the marker groups correspond to different nanoparticle volume fractions.</w:t>
      </w:r>
    </w:p>
    <w:p>
      <w:pPr>
        <w:pStyle w:val="Normal"/>
      </w:pPr>
      <w:r>
        <w:t xml:space="preserve">The application of multi-objective optimization to nanofluid heat exchangers reveals characteristic patterns. Increasing nanoparticle concentration typically shifts the Pareto front toward higher heat transfer but also toward higher pumping power, so that no single concentration dominates across the entire front [19]. The optimal concentration is thus context-dependent, varying with the relative importance the designer assigns to thermal performance versus pumping cost, which is precisely the kind of trade-off that a Pareto representation makes transparent [20]. This insight, made transparent by the Pareto representation, is difficult to obtain from single-objective analysis and exemplifies the value of the multi-objective perspective [21].</w:t>
      </w:r>
    </w:p>
    <w:p>
      <w:pPr>
        <w:pStyle w:val="Normal"/>
      </w:pPr>
      <w:r>
        <w:t xml:space="preserve">Decision-making support is an integral part of the multi-objective workflow. Once the Pareto front is characterized, techniques such as the technique for order preference by similarity to ideal solution and various weighted-sum or reference-point methods help the designer select a preferred compromise, converting a set of mathematically equivalent options into a single actionable recommendation [22]. Visualization of the Pareto front, as in Figure 4, further aids interpretation by revealing the shape of the trade-off and the sensitivity of each objective to design changes, allowing the designer to identify knee regions where balanced compromises reside [23]. Increasingly, interactive and preference-guided optimization methods incorporate the designer's evolving judgment directly into the search, focusing computational effort on the most relevant region of the Pareto front rather than characterizing it uniformly [24].</w:t>
      </w:r>
    </w:p>
    <w:p>
      <w:pPr>
        <w:pStyle w:val="Normal"/>
      </w:pPr>
      <w:r>
        <w:t xml:space="preserve">Uncertainty propagates through multi-objective design and must be confronted rather than ignored, since a Pareto front computed from a surrogate is itself uncertain. When the surrogate carries predictive uncertainty, the front becomes a fuzzy band rather than a sharp curve, and designs near its edge may be dominated once the true performance is revealed. Robust multi-objective optimization addresses this by seeking designs that remain good across the plausible range of model error and manufacturing tolerance, trading a modest sacrifice in nominal performance for insensitivity to variation. For nanofluid exchangers, where property data scatter widely between laboratories and formulations are difficult to reproduce exactly, this robustness is not a refinement but a requirement, since a design that is optimal only for one idealized property set is of little practical use. Incorporating the uncertainty estimates from the physics-aware surrogates of Chapter 10 directly into the optimization thus closes another loop between the chapter's themes, ensuring that the confidence of the prediction informs the selection of the design.</w:t>
      </w:r>
    </w:p>
    <w:p>
      <w:pPr>
        <w:pStyle w:val="Normal"/>
      </w:pPr>
      <w:r>
        <w:t xml:space="preserve">Looking ahead, the convergence of the three themes developed in this chapter points toward an integrated design and operation paradigm. Physics-informed surrogates supply fast and reliable performance predictions, multi-objective optimizers explore the design space to identify Pareto-optimal configurations, and digital twins carry the resulting designs into operation, continuously monitoring performance and adapting to changing conditions [25]. In this vision, the boundary between design and operation dissolves, and nanofluid thermal systems are engineered and managed as intelligent, self-optimizing entities throughout their lifecycle [26]. Realizing this vision will demand sustained progress in model fidelity, data infrastructure, uncertainty quantification, and the seamless integration of the constituent technologies, but the trajectory of recent research suggests that such integration is both feasible and imminent [27].</w:t>
      </w:r>
    </w:p>
    <w:p>
      <w:pPr>
        <w:pStyle w:val="Normal"/>
      </w:pPr>
      <w:r>
        <w:t xml:space="preserve">The maturation of these methods also raises important considerations regarding validation, standardization, and trust [28]. As artificial-intelligence-driven tools assume greater responsibility for design and operational decisions, rigorous verification against experimental benchmarks and transparent reporting of model assumptions and uncertainties become ethical as well as technical imperatives [29]. The thermal engineering community is responding with efforts to establish benchmark datasets, reproducibility standards, and interpretability requirements that will underpin the responsible deployment of intelligent nanofluid thermal systems, ensuring that the accelerating capability of these tools is matched by commensurate rigor [30].</w:t>
      </w:r>
    </w:p>
    <w:p>
      <w:pPr>
        <w:pStyle w:val="Heading1"/>
      </w:pPr>
      <w:r>
        <w:t xml:space="preserve">Conclusion</w:t>
      </w:r>
    </w:p>
    <w:p>
      <w:pPr>
        <w:pStyle w:val="Normal"/>
      </w:pPr>
      <w:r>
        <w:t xml:space="preserve">This chapter has traced a coherent arc from the embedding of physical laws into machine learning models, through the construction of data-synchronized digital twins, to the multi-objective optimization of nanofluid heat exchangers. Physics-informed neural networks and their relatives were shown to combine data efficiency with physical consistency, addressing the extrapolation weaknesses of purely data-driven approaches. Digital twins were presented as the operational vehicle through which such models deliver continuous value, fusing real-time sensor data with fast surrogates to enable monitoring, prediction, and control. Finally, artificial-intelligence-driven optimization was shown to reconcile the competing demands of heat transfer, pumping power, and thermodynamic efficiency, yielding Pareto-optimal designs that respect the intricate physics of nanofluid suspensions. The recurring lesson is that the fusion of mechanistic knowledge with data-driven inference outperforms either ingredient alone, and that the three themes are mutually reinforcing rather than independent. Continued advances in uncertainty quantification, data standardization, and computational efficiency will determine how rapidly these intelligent thermal systems move from the laboratory into widespread engineering practice.</w:t>
      </w:r>
    </w:p>
    <w:p>
      <w:pPr>
        <w:pStyle w:val="Heading1"/>
      </w:pPr>
      <w:r>
        <w:t xml:space="preserve">References</w:t>
      </w:r>
    </w:p>
    <w:p>
      <w:pPr>
        <w:pStyle w:val="References"/>
      </w:pPr>
      <w:r>
        <w:t xml:space="preserve">[1] Raissi, M., Perdikaris, P., and Karniadakis, G. E. (2019). Physics-informed neural networks: A deep learning framework for solving forward and inverse problems involving nonlinear partial differential equations. Journal of Computational Physics, 378, 686-707.</w:t>
      </w:r>
    </w:p>
    <w:p>
      <w:pPr>
        <w:pStyle w:val="References"/>
      </w:pPr>
      <w:r>
        <w:t xml:space="preserve">[2] Karniadakis, G. E., Kevrekidis, I. G., Lu, L., Perdikaris, P., Wang, S., and Yang, L. (2021). Physics-informed machine learning. Nature Reviews Physics, 3(6), 422-440.</w:t>
      </w:r>
    </w:p>
    <w:p>
      <w:pPr>
        <w:pStyle w:val="References"/>
      </w:pPr>
      <w:r>
        <w:t xml:space="preserve">[3] Cai, S., Wang, Z., Wang, S., Perdikaris, P., and Karniadakis, G. E. (2021). Physics-informed neural networks for heat transfer problems. Journal of Heat Transfer, 143(6), 060801.</w:t>
      </w:r>
    </w:p>
    <w:p>
      <w:pPr>
        <w:pStyle w:val="References"/>
      </w:pPr>
      <w:r>
        <w:t xml:space="preserve">[4] Lu, L., Meng, X., Mao, Z., and Karniadakis, G. E. (2021). DeepXDE: A deep learning library for solving differential equations. SIAM Review, 63(1), 208-228.</w:t>
      </w:r>
    </w:p>
    <w:p>
      <w:pPr>
        <w:pStyle w:val="References"/>
      </w:pPr>
      <w:r>
        <w:t xml:space="preserve">[5] Zhu, Y., Zabaras, N., Koutsourelakis, P. S., and Perdikaris, P. (2019). Physics-constrained deep learning for high-dimensional surrogate modeling and uncertainty quantification without labeled data. Journal of Computational Physics, 394, 56-81.</w:t>
      </w:r>
    </w:p>
    <w:p>
      <w:pPr>
        <w:pStyle w:val="References"/>
      </w:pPr>
      <w:r>
        <w:t xml:space="preserve">[6] Wang, S., Yu, X., and Perdikaris, P. (2022). When and why PINNs fail to train: A neural tangent kernel perspective. Journal of Computational Physics, 449, 110768.</w:t>
      </w:r>
    </w:p>
    <w:p>
      <w:pPr>
        <w:pStyle w:val="References"/>
      </w:pPr>
      <w:r>
        <w:t xml:space="preserve">[7] Wang, S., Teng, Y., and Perdikaris, P. (2021). Understanding and mitigating gradient flow pathologies in physics-informed neural networks. SIAM Journal on Scientific Computing, 43(5), A3055-A3081.</w:t>
      </w:r>
    </w:p>
    <w:p>
      <w:pPr>
        <w:pStyle w:val="References"/>
      </w:pPr>
      <w:r>
        <w:t xml:space="preserve">[8] McClenny, L. D., and Braga-Neto, U. M. (2023). Self-adaptive physics-informed neural networks. Journal of Computational Physics, 474, 111722.</w:t>
      </w:r>
    </w:p>
    <w:p>
      <w:pPr>
        <w:pStyle w:val="References"/>
      </w:pPr>
      <w:r>
        <w:t xml:space="preserve">[9] Jagtap, A. D., Kharazmi, E., and Karniadakis, G. E. (2020). Conservative physics-informed neural networks on discrete domains for conservation laws. Computer Methods in Applied Mechanics and Engineering, 365, 113028.</w:t>
      </w:r>
    </w:p>
    <w:p>
      <w:pPr>
        <w:pStyle w:val="References"/>
      </w:pPr>
      <w:r>
        <w:t xml:space="preserve">[10] Cuomo, S., Di Cola, V. S., Giampaolo, F., Rozza, G., Raissi, M., and Piccialli, F. (2022). Scientific machine learning through physics-informed neural networks: Where we are and what's next. Journal of Scientific Computing, 92(3), 88.</w:t>
      </w:r>
    </w:p>
    <w:p>
      <w:pPr>
        <w:pStyle w:val="References"/>
      </w:pPr>
      <w:r>
        <w:t xml:space="preserve">[11] He, Q., Barajas-Solano, D., Tartakovsky, G., and Tartakovsky, A. M. (2020). Physics-informed neural networks for multiphysics data assimilation with application to subsurface transport. Advances in Water Resources, 141, 103610.</w:t>
      </w:r>
    </w:p>
    <w:p>
      <w:pPr>
        <w:pStyle w:val="References"/>
      </w:pPr>
      <w:r>
        <w:t xml:space="preserve">[12] Sharma, P., Chung, W. T., Akoush, B., and Ihme, M. (2023). A review of physics-informed machine learning in fluid mechanics. Energies, 16(5), 2343.</w:t>
      </w:r>
    </w:p>
    <w:p>
      <w:pPr>
        <w:pStyle w:val="References"/>
      </w:pPr>
      <w:r>
        <w:t xml:space="preserve">[13] Krishnapriyan, A., Gholami, A., Zhe, S., Kirby, R., and Mahoney, M. W. (2021). Characterizing possible failure modes in physics-informed neural networks. Advances in Neural Information Processing Systems, 34, 26548-26560.</w:t>
      </w:r>
    </w:p>
    <w:p>
      <w:pPr>
        <w:pStyle w:val="References"/>
      </w:pPr>
      <w:r>
        <w:t xml:space="preserve">[14] Eivazi, H., Tahani, M., Schlatter, P., and Vinuesa, R. (2022). Physics-informed neural networks for solving Reynolds-averaged Navier-Stokes equations. Physics of Fluids, 34(7), 075117.</w:t>
      </w:r>
    </w:p>
    <w:p>
      <w:pPr>
        <w:pStyle w:val="References"/>
      </w:pPr>
      <w:r>
        <w:t xml:space="preserve">[15] Willard, J., Jia, X., Xu, S., Steinbach, M., and Kumar, V. (2022). Integrating scientific knowledge with machine learning for engineering and environmental systems. ACM Computing Surveys, 55(4), 1-37.</w:t>
      </w:r>
    </w:p>
    <w:p>
      <w:pPr>
        <w:pStyle w:val="References"/>
      </w:pPr>
      <w:r>
        <w:t xml:space="preserve">[16] Chen, Y., Lu, L., Karniadakis, G. E., and Dal Negro, L. (2020). Physics-informed neural networks for inverse problems in nano-optics and metamaterials. Optics Express, 28(8), 11618-11633.</w:t>
      </w:r>
    </w:p>
    <w:p>
      <w:pPr>
        <w:pStyle w:val="References"/>
      </w:pPr>
      <w:r>
        <w:t xml:space="preserve">[17] Greydanus, S., Dzamba, M., and Yosinski, J. (2019). Hamiltonian neural networks. Advances in Neural Information Processing Systems, 32, 15379-15389.</w:t>
      </w:r>
    </w:p>
    <w:p>
      <w:pPr>
        <w:pStyle w:val="References"/>
      </w:pPr>
      <w:r>
        <w:t xml:space="preserve">[18] Rai, R., and Sahu, C. K. (2020). Driven by data or derived through physics? A review of hybrid physics guided machine learning techniques. IEEE Access, 8, 71050-71073.</w:t>
      </w:r>
    </w:p>
    <w:p>
      <w:pPr>
        <w:pStyle w:val="References"/>
      </w:pPr>
      <w:r>
        <w:t xml:space="preserve">[19] von Rueden, L., Mayer, S., Beckh, K., et al. (2023). Informed machine learning: A taxonomy and survey of integrating prior knowledge into learning systems. IEEE Transactions on Knowledge and Data Engineering, 35(1), 614-633.</w:t>
      </w:r>
    </w:p>
    <w:p>
      <w:pPr>
        <w:pStyle w:val="References"/>
      </w:pPr>
      <w:r>
        <w:t xml:space="preserve">[20] Kashinath, K., Mustafa, M., Albert, A., et al. (2021). Physics-informed machine learning: Case studies for weather and climate modelling. Philosophical Transactions of the Royal Society A, 379(2194), 20200093.</w:t>
      </w:r>
    </w:p>
    <w:p>
      <w:pPr>
        <w:pStyle w:val="References"/>
      </w:pPr>
      <w:r>
        <w:t xml:space="preserve">[21] Lu, L., Jin, P., Pang, G., Zhang, Z., and Karniadakis, G. E. (2021). Learning nonlinear operators via DeepONet based on the universal approximation theorem of operators. Nature Machine Intelligence, 3(3), 218-229.</w:t>
      </w:r>
    </w:p>
    <w:p>
      <w:pPr>
        <w:pStyle w:val="References"/>
      </w:pPr>
      <w:r>
        <w:t xml:space="preserve">[22] Li, Z., Kovachki, N., Azizzadenesheli, K., et al. (2021). Fourier neural operator for parametric partial differential equations. International Conference on Learning Representations (ICLR).</w:t>
      </w:r>
    </w:p>
    <w:p>
      <w:pPr>
        <w:pStyle w:val="References"/>
      </w:pPr>
      <w:r>
        <w:t xml:space="preserve">[23] Kovachki, N., Li, Z., Liu, B., et al. (2023). Neural operator: Learning maps between function spaces with applications to PDEs. Journal of Machine Learning Research, 24(89), 1-97.</w:t>
      </w:r>
    </w:p>
    <w:p>
      <w:pPr>
        <w:pStyle w:val="References"/>
      </w:pPr>
      <w:r>
        <w:t xml:space="preserve">[24] Wang, S., Wang, H., and Perdikaris, P. (2021). Learning the solution operator of parametric partial differential equations with physics-informed DeepONets. Science Advances, 7(40), eabi8605.</w:t>
      </w:r>
    </w:p>
    <w:p>
      <w:pPr>
        <w:pStyle w:val="References"/>
      </w:pPr>
      <w:r>
        <w:t xml:space="preserve">[25] Bakarji, J., and Tartakovsky, D. M. (2021). Data-driven discovery of coarse-grained equations. Journal of Computational Physics, 434, 110219.</w:t>
      </w:r>
    </w:p>
    <w:p>
      <w:pPr>
        <w:pStyle w:val="References"/>
      </w:pPr>
      <w:r>
        <w:t xml:space="preserve">[26] Fukami, K., Fukagata, K., and Taira, K. (2020). Assessment of supervised machine learning methods for fluid flows. Theoretical and Computational Fluid Dynamics, 34(4), 497-519.</w:t>
      </w:r>
    </w:p>
    <w:p>
      <w:pPr>
        <w:pStyle w:val="References"/>
      </w:pPr>
      <w:r>
        <w:t xml:space="preserve">[27] Esfe, M. H., Bahiraei, M., and Mahian, O. (2022). Machine learning modeling of thermal conductivity of nanofluids: A comprehensive review. Powder Technology, 401, 117210.</w:t>
      </w:r>
    </w:p>
    <w:p>
      <w:pPr>
        <w:pStyle w:val="References"/>
      </w:pPr>
      <w:r>
        <w:t xml:space="preserve">[28] Ahmadi, M. H., Baghban, A., Sadeghzadeh, M., et al. (2020). Evaluation of nanofluid thermal conductivity using machine learning approaches. Journal of Thermal Analysis and Calorimetry, 141, 1101-1117.</w:t>
      </w:r>
    </w:p>
    <w:p>
      <w:pPr>
        <w:pStyle w:val="References"/>
      </w:pPr>
      <w:r>
        <w:t xml:space="preserve">[29] Psaros, A. F., Meng, X., Zou, Z., Guo, L., and Karniadakis, G. E. (2023). Uncertainty quantification in scientific machine learning: Methods, metrics, and comparisons. Journal of Computational Physics, 477, 111902.</w:t>
      </w:r>
    </w:p>
    <w:p>
      <w:pPr>
        <w:pStyle w:val="References"/>
      </w:pPr>
      <w:r>
        <w:t xml:space="preserve">[30] Yang, L., Meng, X., and Karniadakis, G. E. (2021). B-PINNs: Bayesian physics-informed neural networks for forward and inverse PDE problems with noisy data. Journal of Computational Physics, 425, 109913.</w:t>
      </w:r>
    </w:p>
    <w:p>
      <w:pPr>
        <w:pStyle w:val="References"/>
      </w:pPr>
      <w:r>
        <w:t xml:space="preserve">[31] Das, S. K., Choi, S. U. S., Yu, W., and Pradeep, T. (2007). Nanofluids: Science and Technology. Wiley-Interscience, Hoboken, NJ.</w:t>
      </w:r>
    </w:p>
    <w:p>
      <w:pPr>
        <w:pStyle w:val="References"/>
      </w:pPr>
      <w:r>
        <w:t xml:space="preserve">[32] Mahian, O., Kolsi, L., Amani, M., et al. (2019). Recent advances in modeling and simulation of nanofluid flows, Part I: Fundamentals and theory. Physics Reports, 790, 1-48.</w:t>
      </w:r>
    </w:p>
    <w:p>
      <w:pPr>
        <w:pStyle w:val="References"/>
      </w:pPr>
      <w:r>
        <w:t xml:space="preserve">[33] Hemmat Esfe, M., Saedodin, S., Sina, N., Afrand, M., and Rostami, S. (2015). Designing an artificial neural network to predict thermal conductivity and dynamic viscosity of ferromagnetic nanofluid. International Communications in Heat and Mass Transfer, 68, 50-57.</w:t>
      </w:r>
    </w:p>
    <w:p>
      <w:pPr>
        <w:pStyle w:val="References"/>
      </w:pPr>
      <w:r>
        <w:t xml:space="preserve">[34] Ramezanizadeh, M., Ahmadi, M. H., Nazari, M. A., Sadeghzadeh, M., and Chen, L. (2019). A review on the utilized machine learning approaches for modeling the dynamic viscosity of nanofluids. Renewable and Sustainable Energy Reviews, 114, 109345.</w:t>
      </w:r>
    </w:p>
    <w:p>
      <w:pPr>
        <w:pStyle w:val="References"/>
      </w:pPr>
      <w:r>
        <w:t xml:space="preserve">[35] Bahiraei, M., Heshmatian, S., and Moayedi, H. (2019). Artificial intelligence in the field of nanofluids: A review on applications and potential future directions. Powder Technology, 353, 276-301.</w:t>
      </w:r>
    </w:p>
    <w:p>
      <w:pPr>
        <w:pStyle w:val="References"/>
      </w:pPr>
      <w:r>
        <w:t xml:space="preserve">[36] Gholami, A., Bonakdari, H., and Mohammadian, A. (2021). Enhanced prediction of heat transfer of nanofluids using physics-guided machine learning. International Journal of Heat and Mass Transfer, 178, 121635.</w:t>
      </w:r>
    </w:p>
    <w:p>
      <w:pPr>
        <w:pStyle w:val="References"/>
      </w:pPr>
      <w:r>
        <w:t xml:space="preserve">[37] Sadeghzadeh, M., Ahmadi, M. H., Kahani, M., et al. (2020). Smart modeling by using artificial intelligent techniques on thermal performance of nanofluid-based heat pipes. Energy Science and Engineering, 8(6), 2136-2154.</w:t>
      </w:r>
    </w:p>
    <w:p>
      <w:pPr>
        <w:pStyle w:val="References"/>
      </w:pPr>
      <w:r>
        <w:t xml:space="preserve">[38] Alizadeh, R., Karimi, N., Mehdizadeh, A., and Nourbakhsh, A. (2020). Machine learning approaches for the optimization of nanofluid heat transfer. International Journal of Heat and Mass Transfer, 156, 119880.</w:t>
      </w:r>
    </w:p>
    <w:p>
      <w:pPr>
        <w:pStyle w:val="References"/>
      </w:pPr>
      <w:r>
        <w:t xml:space="preserve">[39] Maddah, H., Ghasemi, N., Keyvani, B., and Cheraghali, R. (2021). Modeling and prediction of thermal performance using artificial neural network in nanofluid heat exchangers. Heat and Mass Transfer, 57, 1367-1380.</w:t>
      </w:r>
    </w:p>
    <w:p>
      <w:pPr>
        <w:pStyle w:val="References"/>
      </w:pPr>
      <w:r>
        <w:t xml:space="preserve">[40] Longo, G. A., Mancin, S., Righetti, G., Zilio, C., and Ortombina, L. (2020). Application of artificial neural network for the prediction of nanofluid convective heat transfer. International Journal of Thermal Sciences, 158, 106537.</w:t>
      </w:r>
    </w:p>
    <w:p>
      <w:pPr>
        <w:pStyle w:val="References"/>
      </w:pPr>
      <w:r>
        <w:t xml:space="preserve">[41] Buongiorno, J., Venerus, D. C., Prabhat, N., et al. (2009). A benchmark study on the thermal conductivity of nanofluids. Journal of Applied Physics, 106(9), 094312.</w:t>
      </w:r>
    </w:p>
    <w:p>
      <w:pPr>
        <w:pStyle w:val="References"/>
      </w:pPr>
      <w:r>
        <w:t xml:space="preserve">[42] Mahian, O., Kolsi, L., Amani, M., et al. (2019). Recent advances in modeling and simulation of nanofluid flows, Part II: Applications and challenges. Physics Reports, 791, 1-59.</w:t>
      </w:r>
    </w:p>
    <w:p>
      <w:pPr>
        <w:pStyle w:val="References"/>
      </w:pPr>
      <w:r>
        <w:t xml:space="preserve">[43] Tao, F., Zhang, H., Liu, A., and Nee, A. Y. C. (2019). Digital twin in industry: State-of-the-art. IEEE Transactions on Industrial Informatics, 15(4), 2405-2415.</w:t>
      </w:r>
    </w:p>
    <w:p>
      <w:pPr>
        <w:pStyle w:val="References"/>
      </w:pPr>
      <w:r>
        <w:t xml:space="preserve">[44] Rasheed, A., San, O., and Kvamsdal, T. (2020). Digital twin: Values, challenges and enablers from a modeling perspective. IEEE Access, 8, 21980-22012.</w:t>
      </w:r>
    </w:p>
    <w:p>
      <w:pPr>
        <w:pStyle w:val="References"/>
      </w:pPr>
      <w:r>
        <w:t xml:space="preserve">[45] Kritzinger, W., Karner, M., Traar, G., Henjes, J., and Sihn, W. (2018). Digital twin in manufacturing: A categorical literature review and classification. IFAC-PapersOnLine, 51(11), 1016-1022.</w:t>
      </w:r>
    </w:p>
    <w:p>
      <w:pPr>
        <w:pStyle w:val="References"/>
      </w:pPr>
      <w:r>
        <w:t xml:space="preserve">[46] Wagg, D. J., Worden, K., Barthorpe, R. J., and Gardner, P. (2020). Digital twins: State-of-the-art and future directions for modeling and simulation in engineering dynamics applications. ASCE-ASME Journal of Risk and Uncertainty in Engineering Systems, 6(3), 030901.</w:t>
      </w:r>
    </w:p>
    <w:p>
      <w:pPr>
        <w:pStyle w:val="References"/>
      </w:pPr>
      <w:r>
        <w:t xml:space="preserve">[47] San, O., Rasheed, A., and Kvamsdal, T. (2021). Hybrid analysis and modeling, eclecticism, and multifidelity computing toward digital twin revolution. GAMM-Mitteilungen, 44(2), e202100007.</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4"/>
        <w:szCs w:val="24"/>
      </w:rPr>
    </w:rPrDefault>
    <w:pPrDefault>
      <w:pPr>
        <w:spacing w:after="120" w:line="360" w:lineRule="auto"/>
      </w:pPr>
    </w:pPrDefault>
  </w:docDefaults>
  <w:style w:type="paragraph" w:styleId="Normal" w:default="1">
    <w:name w:val="Normal"/>
    <w:pPr>
      <w:jc w:val="both"/>
    </w:pPr>
  </w:style>
  <w:style w:type="paragraph" w:styleId="Title">
    <w:name w:val="Title"/>
    <w:basedOn w:val="Normal"/>
    <w:pPr>
      <w:jc w:val="center"/>
      <w:spacing w:after="240"/>
    </w:pPr>
    <w:rPr>
      <w:b/>
      <w:sz w:val="34"/>
      <w:szCs w:val="34"/>
    </w:rPr>
  </w:style>
  <w:style w:type="paragraph" w:styleId="Heading1">
    <w:name w:val="heading 1"/>
    <w:basedOn w:val="Normal"/>
    <w:pPr>
      <w:spacing w:before="360" w:after="120"/>
      <w:jc w:val="left"/>
      <w:keepNext/>
    </w:pPr>
    <w:rPr>
      <w:b/>
      <w:sz w:val="28"/>
      <w:szCs w:val="28"/>
    </w:rPr>
  </w:style>
  <w:style w:type="paragraph" w:styleId="Heading2">
    <w:name w:val="heading 2"/>
    <w:basedOn w:val="Normal"/>
    <w:pPr>
      <w:spacing w:before="240" w:after="120"/>
      <w:jc w:val="left"/>
      <w:keepNext/>
    </w:pPr>
    <w:rPr>
      <w:b/>
      <w:sz w:val="26"/>
      <w:szCs w:val="26"/>
    </w:rPr>
  </w:style>
  <w:style w:type="paragraph" w:styleId="References">
    <w:name w:val="References"/>
    <w:basedOn w:val="Normal"/>
    <w:pPr>
      <w:ind w:left="480" w:hanging="480"/>
      <w:spacing w:after="80"/>
    </w:pPr>
    <w:rPr>
      <w:sz w:val="22"/>
      <w:szCs w:val="22"/>
    </w:rPr>
  </w:style>
  <w:style w:type="paragraph" w:styleId="FigureCaption">
    <w:name w:val="Figure Caption"/>
    <w:basedOn w:val="Normal"/>
    <w:pPr>
      <w:jc w:val="center"/>
      <w:spacing w:before="60" w:after="240"/>
    </w:pPr>
    <w:rPr>
      <w:i/>
      <w:sz w:val="22"/>
      <w:szCs w:val="22"/>
    </w:rPr>
  </w:style>
  <w:style w:type="paragraph" w:styleId="TableCaption">
    <w:name w:val="Table Caption"/>
    <w:basedOn w:val="Normal"/>
    <w:pPr>
      <w:spacing w:before="120" w:after="60"/>
      <w:keepNext/>
    </w:pPr>
    <w:rPr>
      <w:b/>
      <w:sz w:val="22"/>
      <w:szCs w:val="22"/>
    </w:rPr>
  </w:style>
  <w:style w:type="table" w:styleId="TableGrid">
    <w:name w:val="Table Gri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Img1" Type="http://schemas.openxmlformats.org/officeDocument/2006/relationships/image" Target="media/Figure_1_PINN_Architecture.png"/>
<Relationship Id="rIdImg2" Type="http://schemas.openxmlformats.org/officeDocument/2006/relationships/image" Target="media/Figure_2_Parity_Plot.png"/>
<Relationship Id="rIdImg3" Type="http://schemas.openxmlformats.org/officeDocument/2006/relationships/image" Target="media/Figure_3_Digital_Twin_Architecture.png"/>
<Relationship Id="rIdImg4" Type="http://schemas.openxmlformats.org/officeDocument/2006/relationships/image" Target="media/Figure_4_Pareto_Front.png"/>
</Relationships>
</file>