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17: Robotics and Autonomous Systems in Healthcare</w:t>
      </w:r>
    </w:p>
    <w:p>
      <w:pPr>
        <w:pStyle w:val="Heading1"/>
      </w:pPr>
      <w:r>
        <w:t xml:space="preserve">Abstract</w:t>
      </w:r>
    </w:p>
    <w:p>
      <w:pPr>
        <w:pStyle w:val="Normal"/>
      </w:pPr>
      <w:r>
        <w:t xml:space="preserve">Robotics and autonomous systems have moved from the periphery of clinical experimentation to the core of modern healthcare delivery, reshaping how medicines are prepared and administered, how surgeries are planned and executed, how patients recover function after injury, and how care teams share physical work with intelligent machines. This chapter examines three interlocking domains that together define the contemporary landscape of medical robotics. The first concerns medical robotics and automated drug administration, where pharmacy automation, robotic dispensing, closed-loop infusion, and precision compounding are reducing medication errors while enabling personalized dosing at scale. The second concerns artificial-intelligence-assisted surgical and rehabilitation systems, spanning teleoperated and semi-autonomous surgical platforms, image-guided intervention, and robot-mediated neurorehabilitation that adapts therapy to a patient's evolving capability. The third concerns human–robot collaboration, in which cognitive and physical assistants operate alongside clinicians, sharing situational awareness, negotiating control, and augmenting rather than replacing human judgment. Across these domains we analyze enabling technologies, including force and tactile sensing, computer vision, learning-based control, and safety-oriented system architectures, and we address the regulatory, ethical, and workforce implications that accompany increasing machine autonomy. We argue that the trajectory of healthcare robotics is defined less by full automation than by carefully engineered shared autonomy, in which responsibility, transparency, and verifiable safety remain paramount. The chapter integrates conceptual frameworks, comparative tables, and illustrative figures to give researchers, clinicians, and engineers a structured foundation for designing, evaluating, and deploying autonomous systems in safety-critical care environments while preserving the primacy of the clinician–patient relationship.</w:t>
      </w:r>
    </w:p>
    <w:p>
      <w:pPr>
        <w:pStyle w:val="Heading1"/>
      </w:pPr>
      <w:r>
        <w:t xml:space="preserve">17.1 Medical Robotics and Automated Drug Administration</w:t>
      </w:r>
    </w:p>
    <w:p>
      <w:pPr>
        <w:pStyle w:val="Heading2"/>
      </w:pPr>
      <w:r>
        <w:t xml:space="preserve">17.1.1 The Evolution and Scope of Medical Robotics</w:t>
      </w:r>
    </w:p>
    <w:p>
      <w:pPr>
        <w:pStyle w:val="Normal"/>
      </w:pPr>
      <w:r>
        <w:t xml:space="preserve">Medical robotics has developed along a trajectory that mirrors the broader maturation of automation, progressing from rigid, single-purpose mechanisms toward sensor-rich, adaptive systems capable of operating in unstructured and safety-critical environments [1]. Early hospital automation focused on repetitive, low-variability tasks such as sample transport and inventory movement, where predictability made robotic substitution straightforward and the consequences of error were modest [2]. As perception, control, and computing improved, the ambition expanded to encompass tasks that demand precision, dexterity, and real-time responsiveness, including surgery, diagnostics, and the preparation and delivery of medicines. This progression reflects a defining characteristic of healthcare as an application domain: the coexistence of extreme heterogeneity in patients and conditions with an uncompromising requirement for safety [3].</w:t>
      </w:r>
    </w:p>
    <w:p>
      <w:pPr>
        <w:pStyle w:val="Normal"/>
      </w:pPr>
      <w:r>
        <w:t xml:space="preserve">The scope of medical robotics can be organized along a spectrum of autonomy, ranging from purely teleoperated devices, in which a human directs every motion, to conditionally autonomous systems that execute complex subtasks under human supervision [4]. This framing is useful because it decouples the mechanical sophistication of a device from the degree to which it exercises independent decision-making, and it clarifies where accountability resides [5]. In drug administration specifically, the same spectrum applies: automated dispensing cabinets execute narrowly defined retrieval tasks, whereas closed-loop infusion platforms sense physiological state and adjust therapy with limited human intervention. Understanding this spectrum is essential for regulators and clinicians who must calibrate oversight to the level of autonomy actually deployed [6].</w:t>
      </w:r>
    </w:p>
    <w:p>
      <w:pPr>
        <w:pStyle w:val="Normal"/>
      </w:pPr>
      <w:r>
        <w:t xml:space="preserve">Table 17.1 summarizes the levels of autonomy commonly referenced in medical robotics and situates representative drug-administration technologies within them. As shown in Table 17.1, the majority of clinically deployed systems remain at low-to-intermediate autonomy, reflecting both technical maturity and the deliberate conservatism of safety-critical practice [7]. This conservatism is not a shortcoming but a rational response to the high cost of error in clinical environments, where an autonomous action that would be trivially reversible in a factory may be irreversible in a patient. The graded framework therefore functions simultaneously as an engineering roadmap and as a governance instrument, because it tells regulators precisely which decisions a system is permitted to make on its own and which must remain with a human. Each incremental step toward greater autonomy must be justified by evidence that the machine can perform the delegated task at least as safely as the clinician it partially relieves.</w:t>
      </w:r>
    </w:p>
    <w:p>
      <w:pPr>
        <w:pStyle w:val="Normal"/>
      </w:pPr>
      <w:r>
        <w:t xml:space="preserve">Three technological threads have converged to make higher levels of medical autonomy conceivable. The first is sensing: force sensors, tactile arrays, optical and electromagnetic tracking, and high-resolution imaging give machines an increasingly rich picture of the physical world and of the patient. The second is computation and learning, which allow systems to interpret this sensory stream, to model uncertainty, and to plan actions that account for variability across patients. The third is actuation, including compliant and lightweight mechanisms that can operate safely in contact with soft tissue and in proximity to people. Progress in any one thread is insufficient on its own; it is their integration that determines whether a system can act competently in the messy, partially observable conditions that characterize real care. This integrative view explains why medical robots have advanced fastest in structured, well-instrumented settings such as the pharmacy and the imaging suite, and more slowly in the unstructured, deformable environment of soft-tissue surgery.</w:t>
      </w:r>
    </w:p>
    <w:p>
      <w:pPr>
        <w:pStyle w:val="Normal"/>
      </w:pPr>
      <w:r>
        <w:t xml:space="preserve">It is also useful to distinguish autonomy of execution from autonomy of decision. A device may execute a motion with great independence while the decision to perform that motion remains entirely human, as in a robot that inserts a needle along a trajectory the clinician has approved. Conversely, a system may make consequential decisions while delegating the physical action to a human, as when an algorithm recommends a dose that a nurse then administers. Confusing these two dimensions leads to muddled debates about whether a system is "autonomous," because the answer depends on which dimension is meant. Throughout this chapter we treat autonomy as a property that can be allocated separately for perception, decision, and action, and we regard the careful, task-specific allocation of these responsibilities as the central design act of medical robotics.</w:t>
      </w:r>
    </w:p>
    <w:p>
      <w:pPr>
        <w:pStyle w:val="TableCaption"/>
      </w:pPr>
      <w:r>
        <w:rPr>
          <w:b/>
        </w:rPr>
        <w:t xml:space="preserve">Table 17.1.</w:t>
      </w:r>
      <w:r>
        <w:t xml:space="preserve"> Levels of autonomy in medical robotics and representative drug-administration technologies.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tcPr>
          <w:p>
            <w:pPr>
              <w:pStyle w:val="Normal"/>
              <w:jc w:val="center"/>
              <w:spacing w:after="40" w:line="240" w:lineRule="auto"/>
            </w:pPr>
            <w:r>
              <w:rPr>
                <w:b/>
              </w:rPr>
              <w:t xml:space="preserve">Autonomy Level</w:t>
            </w:r>
          </w:p>
        </w:tc>
        <w:tc>
          <w:tcPr>
            <w:tcW w:w="2340" w:type="dxa"/>
            <w:shd w:val="clear" w:color="auto" w:fill="D9E2F3"/>
          </w:tcPr>
          <w:p>
            <w:pPr>
              <w:pStyle w:val="Normal"/>
              <w:jc w:val="center"/>
              <w:spacing w:after="40" w:line="240" w:lineRule="auto"/>
            </w:pPr>
            <w:r>
              <w:rPr>
                <w:b/>
              </w:rPr>
              <w:t xml:space="preserve">Definition</w:t>
            </w:r>
          </w:p>
        </w:tc>
        <w:tc>
          <w:tcPr>
            <w:tcW w:w="2340" w:type="dxa"/>
            <w:shd w:val="clear" w:color="auto" w:fill="D9E2F3"/>
          </w:tcPr>
          <w:p>
            <w:pPr>
              <w:pStyle w:val="Normal"/>
              <w:jc w:val="center"/>
              <w:spacing w:after="40" w:line="240" w:lineRule="auto"/>
            </w:pPr>
            <w:r>
              <w:rPr>
                <w:b/>
              </w:rPr>
              <w:t xml:space="preserve">Human Role</w:t>
            </w:r>
          </w:p>
        </w:tc>
        <w:tc>
          <w:tcPr>
            <w:tcW w:w="2340" w:type="dxa"/>
            <w:shd w:val="clear" w:color="auto" w:fill="D9E2F3"/>
          </w:tcPr>
          <w:p>
            <w:pPr>
              <w:pStyle w:val="Normal"/>
              <w:jc w:val="center"/>
              <w:spacing w:after="40" w:line="240" w:lineRule="auto"/>
            </w:pPr>
            <w:r>
              <w:rPr>
                <w:b/>
              </w:rPr>
              <w:t xml:space="preserve">Representative Drug-Administration Example</w:t>
            </w:r>
          </w:p>
        </w:tc>
      </w:tr>
      <w:tr>
        <w:tc>
          <w:tcPr>
            <w:tcW w:w="2340" w:type="dxa"/>
          </w:tcPr>
          <w:p>
            <w:pPr>
              <w:pStyle w:val="Normal"/>
              <w:jc w:val="left"/>
              <w:spacing w:after="40" w:line="240" w:lineRule="auto"/>
            </w:pPr>
            <w:r>
              <w:t xml:space="preserve">Level 0 – No autonomy</w:t>
            </w:r>
          </w:p>
        </w:tc>
        <w:tc>
          <w:tcPr>
            <w:tcW w:w="2340" w:type="dxa"/>
          </w:tcPr>
          <w:p>
            <w:pPr>
              <w:pStyle w:val="Normal"/>
              <w:jc w:val="left"/>
              <w:spacing w:after="40" w:line="240" w:lineRule="auto"/>
            </w:pPr>
            <w:r>
              <w:t xml:space="preserve">Human performs all actions; device is a passive tool</w:t>
            </w:r>
          </w:p>
        </w:tc>
        <w:tc>
          <w:tcPr>
            <w:tcW w:w="2340" w:type="dxa"/>
          </w:tcPr>
          <w:p>
            <w:pPr>
              <w:pStyle w:val="Normal"/>
              <w:jc w:val="left"/>
              <w:spacing w:after="40" w:line="240" w:lineRule="auto"/>
            </w:pPr>
            <w:r>
              <w:t xml:space="preserve">Full manual control</w:t>
            </w:r>
          </w:p>
        </w:tc>
        <w:tc>
          <w:tcPr>
            <w:tcW w:w="2340" w:type="dxa"/>
          </w:tcPr>
          <w:p>
            <w:pPr>
              <w:pStyle w:val="Normal"/>
              <w:jc w:val="left"/>
              <w:spacing w:after="40" w:line="240" w:lineRule="auto"/>
            </w:pPr>
            <w:r>
              <w:t xml:space="preserve">Manual syringe preparation and administration</w:t>
            </w:r>
          </w:p>
        </w:tc>
      </w:tr>
      <w:tr>
        <w:tc>
          <w:tcPr>
            <w:tcW w:w="2340" w:type="dxa"/>
          </w:tcPr>
          <w:p>
            <w:pPr>
              <w:pStyle w:val="Normal"/>
              <w:jc w:val="left"/>
              <w:spacing w:after="40" w:line="240" w:lineRule="auto"/>
            </w:pPr>
            <w:r>
              <w:t xml:space="preserve">Level 1 – Robot assistance</w:t>
            </w:r>
          </w:p>
        </w:tc>
        <w:tc>
          <w:tcPr>
            <w:tcW w:w="2340" w:type="dxa"/>
          </w:tcPr>
          <w:p>
            <w:pPr>
              <w:pStyle w:val="Normal"/>
              <w:jc w:val="left"/>
              <w:spacing w:after="40" w:line="240" w:lineRule="auto"/>
            </w:pPr>
            <w:r>
              <w:t xml:space="preserve">Device assists execution but human directs every motion</w:t>
            </w:r>
          </w:p>
        </w:tc>
        <w:tc>
          <w:tcPr>
            <w:tcW w:w="2340" w:type="dxa"/>
          </w:tcPr>
          <w:p>
            <w:pPr>
              <w:pStyle w:val="Normal"/>
              <w:jc w:val="left"/>
              <w:spacing w:after="40" w:line="240" w:lineRule="auto"/>
            </w:pPr>
            <w:r>
              <w:t xml:space="preserve">Continuous direct control</w:t>
            </w:r>
          </w:p>
        </w:tc>
        <w:tc>
          <w:tcPr>
            <w:tcW w:w="2340" w:type="dxa"/>
          </w:tcPr>
          <w:p>
            <w:pPr>
              <w:pStyle w:val="Normal"/>
              <w:jc w:val="left"/>
              <w:spacing w:after="40" w:line="240" w:lineRule="auto"/>
            </w:pPr>
            <w:r>
              <w:t xml:space="preserve">Teleoperated compounding aids; guided pipetting</w:t>
            </w:r>
          </w:p>
        </w:tc>
      </w:tr>
      <w:tr>
        <w:tc>
          <w:tcPr>
            <w:tcW w:w="2340" w:type="dxa"/>
          </w:tcPr>
          <w:p>
            <w:pPr>
              <w:pStyle w:val="Normal"/>
              <w:jc w:val="left"/>
              <w:spacing w:after="40" w:line="240" w:lineRule="auto"/>
            </w:pPr>
            <w:r>
              <w:t xml:space="preserve">Level 2 – Task autonomy</w:t>
            </w:r>
          </w:p>
        </w:tc>
        <w:tc>
          <w:tcPr>
            <w:tcW w:w="2340" w:type="dxa"/>
          </w:tcPr>
          <w:p>
            <w:pPr>
              <w:pStyle w:val="Normal"/>
              <w:jc w:val="left"/>
              <w:spacing w:after="40" w:line="240" w:lineRule="auto"/>
            </w:pPr>
            <w:r>
              <w:t xml:space="preserve">Robot executes a defined subtask under close supervision</w:t>
            </w:r>
          </w:p>
        </w:tc>
        <w:tc>
          <w:tcPr>
            <w:tcW w:w="2340" w:type="dxa"/>
          </w:tcPr>
          <w:p>
            <w:pPr>
              <w:pStyle w:val="Normal"/>
              <w:jc w:val="left"/>
              <w:spacing w:after="40" w:line="240" w:lineRule="auto"/>
            </w:pPr>
            <w:r>
              <w:t xml:space="preserve">Selects and supervises task</w:t>
            </w:r>
          </w:p>
        </w:tc>
        <w:tc>
          <w:tcPr>
            <w:tcW w:w="2340" w:type="dxa"/>
          </w:tcPr>
          <w:p>
            <w:pPr>
              <w:pStyle w:val="Normal"/>
              <w:jc w:val="left"/>
              <w:spacing w:after="40" w:line="240" w:lineRule="auto"/>
            </w:pPr>
            <w:r>
              <w:t xml:space="preserve">Automated dispensing cabinet retrieval and packaging</w:t>
            </w:r>
          </w:p>
        </w:tc>
      </w:tr>
      <w:tr>
        <w:tc>
          <w:tcPr>
            <w:tcW w:w="2340" w:type="dxa"/>
          </w:tcPr>
          <w:p>
            <w:pPr>
              <w:pStyle w:val="Normal"/>
              <w:jc w:val="left"/>
              <w:spacing w:after="40" w:line="240" w:lineRule="auto"/>
            </w:pPr>
            <w:r>
              <w:t xml:space="preserve">Level 3 – Conditional autonomy</w:t>
            </w:r>
          </w:p>
        </w:tc>
        <w:tc>
          <w:tcPr>
            <w:tcW w:w="2340" w:type="dxa"/>
          </w:tcPr>
          <w:p>
            <w:pPr>
              <w:pStyle w:val="Normal"/>
              <w:jc w:val="left"/>
              <w:spacing w:after="40" w:line="240" w:lineRule="auto"/>
            </w:pPr>
            <w:r>
              <w:t xml:space="preserve">System senses state and acts within a bounded envelope</w:t>
            </w:r>
          </w:p>
        </w:tc>
        <w:tc>
          <w:tcPr>
            <w:tcW w:w="2340" w:type="dxa"/>
          </w:tcPr>
          <w:p>
            <w:pPr>
              <w:pStyle w:val="Normal"/>
              <w:jc w:val="left"/>
              <w:spacing w:after="40" w:line="240" w:lineRule="auto"/>
            </w:pPr>
            <w:r>
              <w:t xml:space="preserve">Sets limits; monitors; can override</w:t>
            </w:r>
          </w:p>
        </w:tc>
        <w:tc>
          <w:tcPr>
            <w:tcW w:w="2340" w:type="dxa"/>
          </w:tcPr>
          <w:p>
            <w:pPr>
              <w:pStyle w:val="Normal"/>
              <w:jc w:val="left"/>
              <w:spacing w:after="40" w:line="240" w:lineRule="auto"/>
            </w:pPr>
            <w:r>
              <w:t xml:space="preserve">Smart infusion pump with dose-error-reduction software</w:t>
            </w:r>
          </w:p>
        </w:tc>
      </w:tr>
      <w:tr>
        <w:tc>
          <w:tcPr>
            <w:tcW w:w="2340" w:type="dxa"/>
          </w:tcPr>
          <w:p>
            <w:pPr>
              <w:pStyle w:val="Normal"/>
              <w:jc w:val="left"/>
              <w:spacing w:after="40" w:line="240" w:lineRule="auto"/>
            </w:pPr>
            <w:r>
              <w:t xml:space="preserve">Level 4 – High autonomy</w:t>
            </w:r>
          </w:p>
        </w:tc>
        <w:tc>
          <w:tcPr>
            <w:tcW w:w="2340" w:type="dxa"/>
          </w:tcPr>
          <w:p>
            <w:pPr>
              <w:pStyle w:val="Normal"/>
              <w:jc w:val="left"/>
              <w:spacing w:after="40" w:line="240" w:lineRule="auto"/>
            </w:pPr>
            <w:r>
              <w:t xml:space="preserve">System sustains closed-loop control with rare intervention</w:t>
            </w:r>
          </w:p>
        </w:tc>
        <w:tc>
          <w:tcPr>
            <w:tcW w:w="2340" w:type="dxa"/>
          </w:tcPr>
          <w:p>
            <w:pPr>
              <w:pStyle w:val="Normal"/>
              <w:jc w:val="left"/>
              <w:spacing w:after="40" w:line="240" w:lineRule="auto"/>
            </w:pPr>
            <w:r>
              <w:t xml:space="preserve">Supervisory oversight</w:t>
            </w:r>
          </w:p>
        </w:tc>
        <w:tc>
          <w:tcPr>
            <w:tcW w:w="2340" w:type="dxa"/>
          </w:tcPr>
          <w:p>
            <w:pPr>
              <w:pStyle w:val="Normal"/>
              <w:jc w:val="left"/>
              <w:spacing w:after="40" w:line="240" w:lineRule="auto"/>
            </w:pPr>
            <w:r>
              <w:t xml:space="preserve">Automated insulin delivery (artificial pancreas)</w:t>
            </w:r>
          </w:p>
        </w:tc>
      </w:tr>
      <w:tr>
        <w:tc>
          <w:tcPr>
            <w:tcW w:w="2340" w:type="dxa"/>
          </w:tcPr>
          <w:p>
            <w:pPr>
              <w:pStyle w:val="Normal"/>
              <w:jc w:val="left"/>
              <w:spacing w:after="40" w:line="240" w:lineRule="auto"/>
            </w:pPr>
            <w:r>
              <w:t xml:space="preserve">Level 5 – Full autonomy</w:t>
            </w:r>
          </w:p>
        </w:tc>
        <w:tc>
          <w:tcPr>
            <w:tcW w:w="2340" w:type="dxa"/>
          </w:tcPr>
          <w:p>
            <w:pPr>
              <w:pStyle w:val="Normal"/>
              <w:jc w:val="left"/>
              <w:spacing w:after="40" w:line="240" w:lineRule="auto"/>
            </w:pPr>
            <w:r>
              <w:t xml:space="preserve">System operates without human involvement</w:t>
            </w:r>
          </w:p>
        </w:tc>
        <w:tc>
          <w:tcPr>
            <w:tcW w:w="2340" w:type="dxa"/>
          </w:tcPr>
          <w:p>
            <w:pPr>
              <w:pStyle w:val="Normal"/>
              <w:jc w:val="left"/>
              <w:spacing w:after="40" w:line="240" w:lineRule="auto"/>
            </w:pPr>
            <w:r>
              <w:t xml:space="preserve">None during operation</w:t>
            </w:r>
          </w:p>
        </w:tc>
        <w:tc>
          <w:tcPr>
            <w:tcW w:w="2340" w:type="dxa"/>
          </w:tcPr>
          <w:p>
            <w:pPr>
              <w:pStyle w:val="Normal"/>
              <w:jc w:val="left"/>
              <w:spacing w:after="40" w:line="240" w:lineRule="auto"/>
            </w:pPr>
            <w:r>
              <w:t xml:space="preserve">Not deployed in clinical drug administration</w:t>
            </w:r>
          </w:p>
        </w:tc>
      </w:tr>
    </w:tbl>
    <w:p>
      <w:pPr>
        <w:spacing w:after="120"/>
      </w:pPr>
    </w:p>
    <w:p>
      <w:pPr>
        <w:pStyle w:val="Heading2"/>
      </w:pPr>
      <w:r>
        <w:t xml:space="preserve">17.1.2 Pharmacy Automation and Robotic Dispensing</w:t>
      </w:r>
    </w:p>
    <w:p>
      <w:pPr>
        <w:pStyle w:val="Normal"/>
      </w:pPr>
      <w:r>
        <w:t xml:space="preserve">The medication-use process—prescribing, transcribing, dispensing, and administering—is among the most error-prone workflows in healthcare, and each stage presents distinct opportunities for robotic intervention [8]. Automated dispensing systems address the dispensing stage directly by using robotic manipulators, barcode verification, and inventory databases to select, package, and label medications with high fidelity [9]. By removing manual selection from a large formulary, these systems reduce picking errors, improve traceability, and free pharmacists to concentrate on clinical review and patient counseling rather than mechanical retrieval. The reallocation of professional attention is itself a clinical benefit, because the pharmacist's expertise is more valuable when applied to interaction checking and therapeutic monitoring than to the mechanical act of locating a package on a shelf.</w:t>
      </w:r>
    </w:p>
    <w:p>
      <w:pPr>
        <w:pStyle w:val="Normal"/>
      </w:pPr>
      <w:r>
        <w:t xml:space="preserve">The dispensing stage is a natural target for automation because it is high in volume, relatively structured, and consequential: an error that passes undetected here can reach the patient directly. Barcode verification tightly couples the physical medication to its digital record, so that a mismatch between the intended and the selected product is caught before it propagates. When this coupling extends all the way to the bedside, where the dose, the patient, and the administering clinician are all verified electronically, the medication-use process approaches a genuinely closed loop in which each handoff is checked rather than assumed correct. The strength of this approach lies less in any single check than in the layering of independent checks, so that an error must evade several safeguards in succession before it can cause harm.</w:t>
      </w:r>
    </w:p>
    <w:p>
      <w:pPr>
        <w:pStyle w:val="Normal"/>
      </w:pPr>
      <w:r>
        <w:t xml:space="preserve">Central-fill pharmacy robots extend this concept to high-volume settings, processing thousands of prescriptions per day with integrated quality checks that photograph and weigh each package for verification [10]. In the inpatient environment, unit-dose repackaging robots produce individually labeled doses that support barcoded administration at the bedside, closing a critical verification loop between the pharmacy and the point of care [11]. The cumulative effect is a system in which each dose can be tracked from acquisition through administration, creating an auditable chain that supports both safety and accountability. Such traceability also transforms the investigation of adverse events, since a complete electronic record of who prepared, checked, and administered each dose allows organizations to distinguish systemic failures from isolated slips and to target improvement where it will matter most.</w:t>
      </w:r>
    </w:p>
    <w:p>
      <w:pPr>
        <w:pStyle w:val="Normal"/>
      </w:pPr>
      <w:r>
        <w:t xml:space="preserve">Robotic compounding represents a more technically demanding frontier because it involves the aseptic preparation of hazardous or patient-specific formulations, such as chemotherapy and parenteral nutrition [12]. Here, robots offer not only accuracy but also protection for personnel, who would otherwise be exposed to cytotoxic agents during manual compounding [13]. Gravimetric verification, in which the system weighs each component to confirm the correct quantity, provides a level of assurance that is difficult to achieve consistently by hand. Table 17.2 compares major categories of pharmacy automation across the dimensions of task, autonomy, primary safety benefit, and characteristic limitation, and it is discussed further in Section 17.1.4.</w:t>
      </w:r>
    </w:p>
    <w:p>
      <w:pPr>
        <w:pStyle w:val="Normal"/>
      </w:pPr>
      <w:r>
        <w:t xml:space="preserve">The value proposition of pharmacy automation extends beyond error reduction to encompass efficiency, standardization, and data. By recording every transaction, automated systems generate a stream of structured data that can be analyzed to detect diversion of controlled substances, to forecast demand and manage inventory, and to identify patterns of near-miss events before they cause harm. This transformation of the pharmacy into an instrumented, data-generating environment is arguably as significant as the mechanical automation itself, because it enables continuous improvement rather than one-time gains. At the same time, the concentration of dispensing into a small number of high-throughput machines introduces a new dependency: when a central-fill robot fails, the disruption is correspondingly large, so resilient designs must include contingency workflows and graceful degradation rather than assuming uninterrupted operation.</w:t>
      </w:r>
    </w:p>
    <w:p>
      <w:pPr>
        <w:pStyle w:val="Normal"/>
      </w:pPr>
      <w:r>
        <w:t xml:space="preserve">The choice of where to deploy automation is therefore an economic and organizational decision as much as a technical one. High-volume, low-variability tasks such as outpatient prescription filling reward automation with clear returns, whereas low-volume, high-complexity tasks may not justify the capital and validation costs. Hospitals must also weigh the retraining of staff, the redesign of physical space, and the integration of new machines with existing electronic health-record and prescribing systems. Successful programs treat automation not as a device purchase but as a change to a socio-technical system, planning for the human and process changes that determine whether the promised safety benefits are actually realized in practice.</w:t>
      </w:r>
    </w:p>
    <w:p>
      <w:pPr>
        <w:pStyle w:val="TableCaption"/>
      </w:pPr>
      <w:r>
        <w:rPr>
          <w:b/>
        </w:rPr>
        <w:t xml:space="preserve">Table 17.2.</w:t>
      </w:r>
      <w:r>
        <w:t xml:space="preserve"> Comparison of major categories of pharmacy and drug-administration automation.</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tcPr>
          <w:p>
            <w:pPr>
              <w:pStyle w:val="Normal"/>
              <w:jc w:val="center"/>
              <w:spacing w:after="40" w:line="240" w:lineRule="auto"/>
            </w:pPr>
            <w:r>
              <w:rPr>
                <w:b/>
              </w:rPr>
              <w:t xml:space="preserve">Category</w:t>
            </w:r>
          </w:p>
        </w:tc>
        <w:tc>
          <w:tcPr>
            <w:tcW w:w="1872" w:type="dxa"/>
            <w:shd w:val="clear" w:color="auto" w:fill="D9E2F3"/>
          </w:tcPr>
          <w:p>
            <w:pPr>
              <w:pStyle w:val="Normal"/>
              <w:jc w:val="center"/>
              <w:spacing w:after="40" w:line="240" w:lineRule="auto"/>
            </w:pPr>
            <w:r>
              <w:rPr>
                <w:b/>
              </w:rPr>
              <w:t xml:space="preserve">Primary Task</w:t>
            </w:r>
          </w:p>
        </w:tc>
        <w:tc>
          <w:tcPr>
            <w:tcW w:w="1872" w:type="dxa"/>
            <w:shd w:val="clear" w:color="auto" w:fill="D9E2F3"/>
          </w:tcPr>
          <w:p>
            <w:pPr>
              <w:pStyle w:val="Normal"/>
              <w:jc w:val="center"/>
              <w:spacing w:after="40" w:line="240" w:lineRule="auto"/>
            </w:pPr>
            <w:r>
              <w:rPr>
                <w:b/>
              </w:rPr>
              <w:t xml:space="preserve">Autonomy Level</w:t>
            </w:r>
          </w:p>
        </w:tc>
        <w:tc>
          <w:tcPr>
            <w:tcW w:w="1872" w:type="dxa"/>
            <w:shd w:val="clear" w:color="auto" w:fill="D9E2F3"/>
          </w:tcPr>
          <w:p>
            <w:pPr>
              <w:pStyle w:val="Normal"/>
              <w:jc w:val="center"/>
              <w:spacing w:after="40" w:line="240" w:lineRule="auto"/>
            </w:pPr>
            <w:r>
              <w:rPr>
                <w:b/>
              </w:rPr>
              <w:t xml:space="preserve">Principal Safety Benefit</w:t>
            </w:r>
          </w:p>
        </w:tc>
        <w:tc>
          <w:tcPr>
            <w:tcW w:w="1872" w:type="dxa"/>
            <w:shd w:val="clear" w:color="auto" w:fill="D9E2F3"/>
          </w:tcPr>
          <w:p>
            <w:pPr>
              <w:pStyle w:val="Normal"/>
              <w:jc w:val="center"/>
              <w:spacing w:after="40" w:line="240" w:lineRule="auto"/>
            </w:pPr>
            <w:r>
              <w:rPr>
                <w:b/>
              </w:rPr>
              <w:t xml:space="preserve">Characteristic Limitation</w:t>
            </w:r>
          </w:p>
        </w:tc>
      </w:tr>
      <w:tr>
        <w:tc>
          <w:tcPr>
            <w:tcW w:w="1872" w:type="dxa"/>
          </w:tcPr>
          <w:p>
            <w:pPr>
              <w:pStyle w:val="Normal"/>
              <w:jc w:val="left"/>
              <w:spacing w:after="40" w:line="240" w:lineRule="auto"/>
            </w:pPr>
            <w:r>
              <w:t xml:space="preserve">Automated dispensing cabinet</w:t>
            </w:r>
          </w:p>
        </w:tc>
        <w:tc>
          <w:tcPr>
            <w:tcW w:w="1872" w:type="dxa"/>
          </w:tcPr>
          <w:p>
            <w:pPr>
              <w:pStyle w:val="Normal"/>
              <w:jc w:val="left"/>
              <w:spacing w:after="40" w:line="240" w:lineRule="auto"/>
            </w:pPr>
            <w:r>
              <w:t xml:space="preserve">Ward-based storage and controlled release of medications</w:t>
            </w:r>
          </w:p>
        </w:tc>
        <w:tc>
          <w:tcPr>
            <w:tcW w:w="1872" w:type="dxa"/>
          </w:tcPr>
          <w:p>
            <w:pPr>
              <w:pStyle w:val="Normal"/>
              <w:jc w:val="left"/>
              <w:spacing w:after="40" w:line="240" w:lineRule="auto"/>
            </w:pPr>
            <w:r>
              <w:t xml:space="preserve">Task autonomy</w:t>
            </w:r>
          </w:p>
        </w:tc>
        <w:tc>
          <w:tcPr>
            <w:tcW w:w="1872" w:type="dxa"/>
          </w:tcPr>
          <w:p>
            <w:pPr>
              <w:pStyle w:val="Normal"/>
              <w:jc w:val="left"/>
              <w:spacing w:after="40" w:line="240" w:lineRule="auto"/>
            </w:pPr>
            <w:r>
              <w:t xml:space="preserve">Reduces retrieval errors; improves accountability</w:t>
            </w:r>
          </w:p>
        </w:tc>
        <w:tc>
          <w:tcPr>
            <w:tcW w:w="1872" w:type="dxa"/>
          </w:tcPr>
          <w:p>
            <w:pPr>
              <w:pStyle w:val="Normal"/>
              <w:jc w:val="left"/>
              <w:spacing w:after="40" w:line="240" w:lineRule="auto"/>
            </w:pPr>
            <w:r>
              <w:t xml:space="preserve">Stocking errors; workflow workarounds</w:t>
            </w:r>
          </w:p>
        </w:tc>
      </w:tr>
      <w:tr>
        <w:tc>
          <w:tcPr>
            <w:tcW w:w="1872" w:type="dxa"/>
          </w:tcPr>
          <w:p>
            <w:pPr>
              <w:pStyle w:val="Normal"/>
              <w:jc w:val="left"/>
              <w:spacing w:after="40" w:line="240" w:lineRule="auto"/>
            </w:pPr>
            <w:r>
              <w:t xml:space="preserve">Central-fill dispensing robot</w:t>
            </w:r>
          </w:p>
        </w:tc>
        <w:tc>
          <w:tcPr>
            <w:tcW w:w="1872" w:type="dxa"/>
          </w:tcPr>
          <w:p>
            <w:pPr>
              <w:pStyle w:val="Normal"/>
              <w:jc w:val="left"/>
              <w:spacing w:after="40" w:line="240" w:lineRule="auto"/>
            </w:pPr>
            <w:r>
              <w:t xml:space="preserve">High-volume prescription filling with verification</w:t>
            </w:r>
          </w:p>
        </w:tc>
        <w:tc>
          <w:tcPr>
            <w:tcW w:w="1872" w:type="dxa"/>
          </w:tcPr>
          <w:p>
            <w:pPr>
              <w:pStyle w:val="Normal"/>
              <w:jc w:val="left"/>
              <w:spacing w:after="40" w:line="240" w:lineRule="auto"/>
            </w:pPr>
            <w:r>
              <w:t xml:space="preserve">Task autonomy</w:t>
            </w:r>
          </w:p>
        </w:tc>
        <w:tc>
          <w:tcPr>
            <w:tcW w:w="1872" w:type="dxa"/>
          </w:tcPr>
          <w:p>
            <w:pPr>
              <w:pStyle w:val="Normal"/>
              <w:jc w:val="left"/>
              <w:spacing w:after="40" w:line="240" w:lineRule="auto"/>
            </w:pPr>
            <w:r>
              <w:t xml:space="preserve">High throughput with photographic and gravimetric checks</w:t>
            </w:r>
          </w:p>
        </w:tc>
        <w:tc>
          <w:tcPr>
            <w:tcW w:w="1872" w:type="dxa"/>
          </w:tcPr>
          <w:p>
            <w:pPr>
              <w:pStyle w:val="Normal"/>
              <w:jc w:val="left"/>
              <w:spacing w:after="40" w:line="240" w:lineRule="auto"/>
            </w:pPr>
            <w:r>
              <w:t xml:space="preserve">High capital cost; limited formulary flexibility</w:t>
            </w:r>
          </w:p>
        </w:tc>
      </w:tr>
      <w:tr>
        <w:tc>
          <w:tcPr>
            <w:tcW w:w="1872" w:type="dxa"/>
          </w:tcPr>
          <w:p>
            <w:pPr>
              <w:pStyle w:val="Normal"/>
              <w:jc w:val="left"/>
              <w:spacing w:after="40" w:line="240" w:lineRule="auto"/>
            </w:pPr>
            <w:r>
              <w:t xml:space="preserve">Unit-dose repackaging robot</w:t>
            </w:r>
          </w:p>
        </w:tc>
        <w:tc>
          <w:tcPr>
            <w:tcW w:w="1872" w:type="dxa"/>
          </w:tcPr>
          <w:p>
            <w:pPr>
              <w:pStyle w:val="Normal"/>
              <w:jc w:val="left"/>
              <w:spacing w:after="40" w:line="240" w:lineRule="auto"/>
            </w:pPr>
            <w:r>
              <w:t xml:space="preserve">Barcoded single-dose packaging for inpatients</w:t>
            </w:r>
          </w:p>
        </w:tc>
        <w:tc>
          <w:tcPr>
            <w:tcW w:w="1872" w:type="dxa"/>
          </w:tcPr>
          <w:p>
            <w:pPr>
              <w:pStyle w:val="Normal"/>
              <w:jc w:val="left"/>
              <w:spacing w:after="40" w:line="240" w:lineRule="auto"/>
            </w:pPr>
            <w:r>
              <w:t xml:space="preserve">Task autonomy</w:t>
            </w:r>
          </w:p>
        </w:tc>
        <w:tc>
          <w:tcPr>
            <w:tcW w:w="1872" w:type="dxa"/>
          </w:tcPr>
          <w:p>
            <w:pPr>
              <w:pStyle w:val="Normal"/>
              <w:jc w:val="left"/>
              <w:spacing w:after="40" w:line="240" w:lineRule="auto"/>
            </w:pPr>
            <w:r>
              <w:t xml:space="preserve">Enables bedside barcode verification</w:t>
            </w:r>
          </w:p>
        </w:tc>
        <w:tc>
          <w:tcPr>
            <w:tcW w:w="1872" w:type="dxa"/>
          </w:tcPr>
          <w:p>
            <w:pPr>
              <w:pStyle w:val="Normal"/>
              <w:jc w:val="left"/>
              <w:spacing w:after="40" w:line="240" w:lineRule="auto"/>
            </w:pPr>
            <w:r>
              <w:t xml:space="preserve">Requires reliable barcode workflow at point of care</w:t>
            </w:r>
          </w:p>
        </w:tc>
      </w:tr>
      <w:tr>
        <w:tc>
          <w:tcPr>
            <w:tcW w:w="1872" w:type="dxa"/>
          </w:tcPr>
          <w:p>
            <w:pPr>
              <w:pStyle w:val="Normal"/>
              <w:jc w:val="left"/>
              <w:spacing w:after="40" w:line="240" w:lineRule="auto"/>
            </w:pPr>
            <w:r>
              <w:t xml:space="preserve">Robotic sterile compounding</w:t>
            </w:r>
          </w:p>
        </w:tc>
        <w:tc>
          <w:tcPr>
            <w:tcW w:w="1872" w:type="dxa"/>
          </w:tcPr>
          <w:p>
            <w:pPr>
              <w:pStyle w:val="Normal"/>
              <w:jc w:val="left"/>
              <w:spacing w:after="40" w:line="240" w:lineRule="auto"/>
            </w:pPr>
            <w:r>
              <w:t xml:space="preserve">Aseptic preparation of hazardous or bespoke formulations</w:t>
            </w:r>
          </w:p>
        </w:tc>
        <w:tc>
          <w:tcPr>
            <w:tcW w:w="1872" w:type="dxa"/>
          </w:tcPr>
          <w:p>
            <w:pPr>
              <w:pStyle w:val="Normal"/>
              <w:jc w:val="left"/>
              <w:spacing w:after="40" w:line="240" w:lineRule="auto"/>
            </w:pPr>
            <w:r>
              <w:t xml:space="preserve">Task to conditional</w:t>
            </w:r>
          </w:p>
        </w:tc>
        <w:tc>
          <w:tcPr>
            <w:tcW w:w="1872" w:type="dxa"/>
          </w:tcPr>
          <w:p>
            <w:pPr>
              <w:pStyle w:val="Normal"/>
              <w:jc w:val="left"/>
              <w:spacing w:after="40" w:line="240" w:lineRule="auto"/>
            </w:pPr>
            <w:r>
              <w:t xml:space="preserve">Accuracy plus staff protection from cytotoxins</w:t>
            </w:r>
          </w:p>
        </w:tc>
        <w:tc>
          <w:tcPr>
            <w:tcW w:w="1872" w:type="dxa"/>
          </w:tcPr>
          <w:p>
            <w:pPr>
              <w:pStyle w:val="Normal"/>
              <w:jc w:val="left"/>
              <w:spacing w:after="40" w:line="240" w:lineRule="auto"/>
            </w:pPr>
            <w:r>
              <w:t xml:space="preserve">Complex validation; slower than manual for simple items</w:t>
            </w:r>
          </w:p>
        </w:tc>
      </w:tr>
      <w:tr>
        <w:tc>
          <w:tcPr>
            <w:tcW w:w="1872" w:type="dxa"/>
          </w:tcPr>
          <w:p>
            <w:pPr>
              <w:pStyle w:val="Normal"/>
              <w:jc w:val="left"/>
              <w:spacing w:after="40" w:line="240" w:lineRule="auto"/>
            </w:pPr>
            <w:r>
              <w:t xml:space="preserve">Smart infusion system</w:t>
            </w:r>
          </w:p>
        </w:tc>
        <w:tc>
          <w:tcPr>
            <w:tcW w:w="1872" w:type="dxa"/>
          </w:tcPr>
          <w:p>
            <w:pPr>
              <w:pStyle w:val="Normal"/>
              <w:jc w:val="left"/>
              <w:spacing w:after="40" w:line="240" w:lineRule="auto"/>
            </w:pPr>
            <w:r>
              <w:t xml:space="preserve">Constrained programming and delivery of infusions</w:t>
            </w:r>
          </w:p>
        </w:tc>
        <w:tc>
          <w:tcPr>
            <w:tcW w:w="1872" w:type="dxa"/>
          </w:tcPr>
          <w:p>
            <w:pPr>
              <w:pStyle w:val="Normal"/>
              <w:jc w:val="left"/>
              <w:spacing w:after="40" w:line="240" w:lineRule="auto"/>
            </w:pPr>
            <w:r>
              <w:t xml:space="preserve">Conditional autonomy</w:t>
            </w:r>
          </w:p>
        </w:tc>
        <w:tc>
          <w:tcPr>
            <w:tcW w:w="1872" w:type="dxa"/>
          </w:tcPr>
          <w:p>
            <w:pPr>
              <w:pStyle w:val="Normal"/>
              <w:jc w:val="left"/>
              <w:spacing w:after="40" w:line="240" w:lineRule="auto"/>
            </w:pPr>
            <w:r>
              <w:t xml:space="preserve">Constrains parameters to safe ranges</w:t>
            </w:r>
          </w:p>
        </w:tc>
        <w:tc>
          <w:tcPr>
            <w:tcW w:w="1872" w:type="dxa"/>
          </w:tcPr>
          <w:p>
            <w:pPr>
              <w:pStyle w:val="Normal"/>
              <w:jc w:val="left"/>
              <w:spacing w:after="40" w:line="240" w:lineRule="auto"/>
            </w:pPr>
            <w:r>
              <w:t xml:space="preserve">Alert fatigue if libraries are poorly tuned</w:t>
            </w:r>
          </w:p>
        </w:tc>
      </w:tr>
      <w:tr>
        <w:tc>
          <w:tcPr>
            <w:tcW w:w="1872" w:type="dxa"/>
          </w:tcPr>
          <w:p>
            <w:pPr>
              <w:pStyle w:val="Normal"/>
              <w:jc w:val="left"/>
              <w:spacing w:after="40" w:line="240" w:lineRule="auto"/>
            </w:pPr>
            <w:r>
              <w:t xml:space="preserve">Closed-loop delivery system</w:t>
            </w:r>
          </w:p>
        </w:tc>
        <w:tc>
          <w:tcPr>
            <w:tcW w:w="1872" w:type="dxa"/>
          </w:tcPr>
          <w:p>
            <w:pPr>
              <w:pStyle w:val="Normal"/>
              <w:jc w:val="left"/>
              <w:spacing w:after="40" w:line="240" w:lineRule="auto"/>
            </w:pPr>
            <w:r>
              <w:t xml:space="preserve">Sensor-driven real-time titration of a drug</w:t>
            </w:r>
          </w:p>
        </w:tc>
        <w:tc>
          <w:tcPr>
            <w:tcW w:w="1872" w:type="dxa"/>
          </w:tcPr>
          <w:p>
            <w:pPr>
              <w:pStyle w:val="Normal"/>
              <w:jc w:val="left"/>
              <w:spacing w:after="40" w:line="240" w:lineRule="auto"/>
            </w:pPr>
            <w:r>
              <w:t xml:space="preserve">High autonomy</w:t>
            </w:r>
          </w:p>
        </w:tc>
        <w:tc>
          <w:tcPr>
            <w:tcW w:w="1872" w:type="dxa"/>
          </w:tcPr>
          <w:p>
            <w:pPr>
              <w:pStyle w:val="Normal"/>
              <w:jc w:val="left"/>
              <w:spacing w:after="40" w:line="240" w:lineRule="auto"/>
            </w:pPr>
            <w:r>
              <w:t xml:space="preserve">Continuous optimization beyond human cadence</w:t>
            </w:r>
          </w:p>
        </w:tc>
        <w:tc>
          <w:tcPr>
            <w:tcW w:w="1872" w:type="dxa"/>
          </w:tcPr>
          <w:p>
            <w:pPr>
              <w:pStyle w:val="Normal"/>
              <w:jc w:val="left"/>
              <w:spacing w:after="40" w:line="240" w:lineRule="auto"/>
            </w:pPr>
            <w:r>
              <w:t xml:space="preserve">Sensor faults; narrow validated physiological envelope</w:t>
            </w:r>
          </w:p>
        </w:tc>
      </w:tr>
    </w:tbl>
    <w:p>
      <w:pPr>
        <w:spacing w:after="120"/>
      </w:pPr>
    </w:p>
    <w:p>
      <w:pPr>
        <w:pStyle w:val="Heading2"/>
      </w:pPr>
      <w:r>
        <w:t xml:space="preserve">17.1.3 Closed-Loop and Precision Drug Delivery</w:t>
      </w:r>
    </w:p>
    <w:p>
      <w:pPr>
        <w:pStyle w:val="Normal"/>
      </w:pPr>
      <w:r>
        <w:t xml:space="preserve">Beyond dispensing, autonomous systems increasingly participate in the act of administration itself. Smart infusion pumps with dose-error-reduction software embody an early form of closed-loop safety, cross-checking programmed infusion parameters against institutional drug libraries and alerting clinicians when limits are exceeded [14]. These systems illustrate a principle that recurs throughout healthcare robotics: automation is often most valuable not when it replaces the clinician but when it constrains the space of possible actions to those that are safe. By narrowing the range of achievable settings to those consistent with established practice, the pump converts a large, error-prone parameter space into a small, defensible one, without removing the clinician's ability to override the constraint when a legitimate clinical reason exists.</w:t>
      </w:r>
    </w:p>
    <w:p>
      <w:pPr>
        <w:pStyle w:val="Normal"/>
      </w:pPr>
      <w:r>
        <w:t xml:space="preserve">Fully closed-loop delivery, in which a sensor continuously measures a physiological variable and an algorithm titrates a drug in response, represents a substantially higher level of autonomy [15]. The most mature example is the automated insulin delivery system, sometimes described as an artificial pancreas, which links continuous glucose monitoring to an insulin pump through a control algorithm that adjusts delivery in near real time [16]. Clinical evidence indicates that such systems improve glycemic control and reduce the burden of self-management, demonstrating that carefully bounded autonomy can outperform intermittent human adjustment [17]. Analogous concepts are being explored for the closed-loop control of anesthesia and vasoactive agents, where physiological feedback can guide titration during surgery and critical care [18]. In each case the algorithm is not granted open-ended authority; it operates within a physiological envelope defined by clinicians and hands control back whenever measurements fall outside the range in which its model is trustworthy.</w:t>
      </w:r>
    </w:p>
    <w:p>
      <w:pPr>
        <w:pStyle w:val="Normal"/>
      </w:pPr>
      <w:r>
        <w:t xml:space="preserve">The engineering of a closed-loop delivery system must contend with the imperfections of its sensors and the variability of human physiology. A glucose sensor may drift, lag, or fail; a patient's response to a drug may change with illness, activity, or the co-administration of other agents. A naive controller that trusted its measurements unconditionally could deliver a dangerous dose in response to a spurious reading. Robust designs therefore incorporate estimates of uncertainty, rate limits that prevent abrupt changes, and fault-detection logic that recognizes when the sensor signal is implausible. The controller is tuned not to be maximally aggressive but to be safe under the worst-case behavior it is likely to encounter, accepting slightly less optimal control in exchange for a wide margin against harm.</w:t>
      </w:r>
    </w:p>
    <w:p>
      <w:pPr>
        <w:pStyle w:val="Normal"/>
      </w:pPr>
      <w:r>
        <w:t xml:space="preserve">Figure 17.1 depicts the architecture of a closed-loop drug-delivery system, highlighting the sensing, control, and actuation elements and the safety supervisor that constrains the algorithm's authority. As Figure 17.1 illustrates, the safety supervisor is not incidental but central: it enforces hard limits, detects sensor faults, and hands control back to the clinician when confidence is low. This layered design—an optimizing controller wrapped by a conservative safety monitor—recurs across autonomous medical systems and is a defining feature of trustworthy automation in care [19]. The separation of an optimizing layer from a simpler, more thoroughly verifiable safety layer is a powerful architectural pattern because it allows the sophisticated component to be improved or even replaced without re-establishing the entire safety case, provided the safety layer's guarantees remain intact. This modularity is especially valuable for systems that incorporate machine learning, whose behavior is harder to verify exhaustively and which therefore benefit from being contained within limits that are themselves simple enough to trust.</w:t>
      </w:r>
    </w:p>
    <w:p>
      <w:pPr>
        <w:pStyle w:val="FigureImage"/>
      </w:pPr>
      <w:r>
        <w:drawing>
          <wp:inline xmlns:wp="http://schemas.openxmlformats.org/drawingml/2006/wordprocessingDrawing" distT="0" distB="0" distL="0" distR="0">
            <wp:extent cx="5486400" cy="3305907"/>
            <wp:effectExtent l="0" t="0" r="0" b="0"/>
            <wp:docPr id="1001" name="Figure_17_1_Closed_Loop_Drug_Deli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7_1_Closed_Loop_Drug_Delivery.png"/>
                    <pic:cNvPicPr/>
                  </pic:nvPicPr>
                  <pic:blipFill>
                    <a:blip xmlns:r="http://schemas.openxmlformats.org/officeDocument/2006/relationships" r:embed="rIdImg1"/>
                    <a:stretch>
                      <a:fillRect/>
                    </a:stretch>
                  </pic:blipFill>
                  <pic:spPr>
                    <a:xfrm>
                      <a:off x="0" y="0"/>
                      <a:ext cx="5486400" cy="3305907"/>
                    </a:xfrm>
                    <a:prstGeom prst="rect">
                      <a:avLst/>
                    </a:prstGeom>
                  </pic:spPr>
                </pic:pic>
              </a:graphicData>
            </a:graphic>
          </wp:inline>
        </w:drawing>
      </w:r>
    </w:p>
    <w:p>
      <w:pPr>
        <w:pStyle w:val="FigureCaption"/>
      </w:pPr>
      <w:r>
        <w:t xml:space="preserve">Figure 17.1. Architecture of a closed-loop drug-delivery system: an optimizing controller wrapped by a conservative safety supervisor.</w:t>
      </w:r>
    </w:p>
    <w:p>
      <w:pPr>
        <w:pStyle w:val="Heading2"/>
      </w:pPr>
      <w:r>
        <w:t xml:space="preserve">17.1.4 Evidence, Safety, and Human Factors</w:t>
      </w:r>
    </w:p>
    <w:p>
      <w:pPr>
        <w:pStyle w:val="Normal"/>
      </w:pPr>
      <w:r>
        <w:t xml:space="preserve">The introduction of automation into medication management has produced measurable benefits, but the evidence base is nuanced and warns against uncritical adoption. Studies of automated dispensing consistently report reductions in certain error types, yet they also document the emergence of new, automation-specific failure modes, such as errors introduced during cabinet stocking or workarounds that clinicians adopt when systems impede workflow [20]. This phenomenon, sometimes called the automation paradox, reflects the reality that automation redistributes rather than eliminates the potential for error and places new cognitive demands on the humans who supervise it [21].</w:t>
      </w:r>
    </w:p>
    <w:p>
      <w:pPr>
        <w:pStyle w:val="Normal"/>
      </w:pPr>
      <w:r>
        <w:t xml:space="preserve">Human-factors engineering is therefore inseparable from the technical design of drug-administration robots. Alert fatigue from excessive or poorly calibrated warnings can lead clinicians to override safety prompts, undermining the very protections the system was intended to provide [22]. Effective deployment requires attention to interface design, alert specificity, and the integration of automation into existing clinical workflows rather than the imposition of technology that fits the machine's logic but not the clinician's task. Returning to the comparison introduced in Table 17.2, the persistent limitations across categories are less about mechanical capability than about the socio-technical fit between automated systems and the teams that operate them [23]. The lesson for designers is that safety in automated drug administration is an emergent property of the combined human–machine system, not a fixed attribute of the device alone.</w:t>
      </w:r>
    </w:p>
    <w:p>
      <w:pPr>
        <w:pStyle w:val="Normal"/>
      </w:pPr>
      <w:r>
        <w:t xml:space="preserve">A recurring pattern in the study of clinical automation is the appearance of workarounds: clinicians, faced with systems that impede their work or that they perceive as unreliable, develop informal practices that bypass the intended safeguards. Overriding a barcode check, borrowing a colleague's login, or storing medications outside the automated cabinet may all restore efficiency in the moment while quietly dismantling the safety architecture. Rather than treating such behavior as deviance to be disciplined, mature safety programs treat it as evidence that the system is poorly matched to the reality of clinical work, and they use it to guide redesign. This perspective, drawn from resilience engineering, holds that safety arises not from rigid compliance but from the capacity of the combined system to adapt to variation while staying within safe boundaries.</w:t>
      </w:r>
    </w:p>
    <w:p>
      <w:pPr>
        <w:pStyle w:val="Normal"/>
      </w:pPr>
      <w:r>
        <w:t xml:space="preserve">The measurement of automation's effect is itself a subtle undertaking. Reductions in one class of error may be offset by increases in another, and outcomes that matter to patients, such as harm, may be too rare to detect in studies powered only to observe error counts. Furthermore, the benefits observed during a carefully monitored pilot may not persist once the novelty fades and staffing pressures reassert themselves. Rigorous evaluation therefore requires longitudinal measurement, attention to unintended consequences, and humility about the difference between a technology working in principle and a technology delivering benefit in the sustained conditions of real practice. These themes—socio-technical fit, resilience, and rigorous longitudinal evaluation—recur throughout the surgical and collaborative domains examined in the remainder of the chapter.</w:t>
      </w:r>
    </w:p>
    <w:p>
      <w:pPr>
        <w:pStyle w:val="Heading1"/>
      </w:pPr>
      <w:r>
        <w:t xml:space="preserve">17.2 AI-Assisted Surgical and Rehabilitation Systems</w:t>
      </w:r>
    </w:p>
    <w:p>
      <w:pPr>
        <w:pStyle w:val="Heading2"/>
      </w:pPr>
      <w:r>
        <w:t xml:space="preserve">17.2.1 From Teleoperation to Semi-Autonomous Surgery</w:t>
      </w:r>
    </w:p>
    <w:p>
      <w:pPr>
        <w:pStyle w:val="Normal"/>
      </w:pPr>
      <w:r>
        <w:t xml:space="preserve">Robotic surgery began as a means of enhancing the surgeon's hands rather than replacing them, and this framing continues to shape the field [24]. Teleoperated surgical platforms translate the surgeon's movements at a console into precise motions of instruments inside the patient, filtering tremor, scaling motion, and restoring the intuitive alignment between hand and tool that laparoscopy had disrupted [25]. The clinical value of these systems lies in improved dexterity, visualization, and ergonomics rather than in autonomy: the surgeon remains in continuous control of every action. This design reflects a deliberate choice to keep the human firmly in the loop for tasks where judgment, anatomical variability, and the consequences of error are all high [26].</w:t>
      </w:r>
    </w:p>
    <w:p>
      <w:pPr>
        <w:pStyle w:val="Normal"/>
      </w:pPr>
      <w:r>
        <w:t xml:space="preserve">Artificial intelligence enters this picture as an augmenting layer rather than a replacement for the surgeon. Computer-vision systems can identify anatomical structures, highlight critical vessels, and provide real-time guidance that reduces the risk of inadvertent injury [27]. Learning-based methods trained on large surgical video datasets can recognize the phases of an operation, anticipate the next step, and support decision-making by surfacing relevant information at the appropriate moment [28]. These capabilities move surgical robotics toward what is often called surgical intelligence, in which the system understands the procedure well enough to assist meaningfully without assuming control [29].</w:t>
      </w:r>
    </w:p>
    <w:p>
      <w:pPr>
        <w:pStyle w:val="Normal"/>
      </w:pPr>
      <w:r>
        <w:t xml:space="preserve">The data generated by robotic and video-assisted surgery is itself a transformative resource. Because a robotic platform records the motions of every instrument and the full video of the operative field, it produces a detailed, objective account of how a procedure was performed. Analyzed at scale, such data can reveal which techniques correlate with better outcomes, provide objective assessment of surgical skill, and support targeted training and credentialing. This feedback loop, in which the performance of many operations informs the improvement of each surgeon and of the systems that assist them, may prove as significant as any individual autonomous capability. It also raises questions of privacy, data governance, and the appropriate use of performance data, which must be resolved if the promise of surgical data science is to be realized responsibly.</w:t>
      </w:r>
    </w:p>
    <w:p>
      <w:pPr>
        <w:pStyle w:val="Normal"/>
      </w:pPr>
      <w:r>
        <w:t xml:space="preserve">Between fully manual teleoperation and autonomous action lies the rich territory of shared control, where the system actively shapes the surgeon's inputs without seizing authority. Virtual fixtures, for example, are software constraints that behave like guide rails, gently resisting motion that would cross into a forbidden region such as a critical vessel, while leaving the surgeon free to move elsewhere. Such techniques enhance safety and precision precisely because they combine the machine's tireless geometric accuracy with the surgeon's contextual judgment, rather than forcing a choice between the two. They also illustrate a general principle of assistive autonomy: the most effective interventions are often those that constrain or augment human action at the margins rather than replacing it wholesale.</w:t>
      </w:r>
    </w:p>
    <w:p>
      <w:pPr>
        <w:pStyle w:val="Normal"/>
      </w:pPr>
      <w:r>
        <w:t xml:space="preserve">Table 17.3 categorizes surgical robotic capabilities by their degree of AI involvement, from passive instrumentation through guidance and shared control to task autonomy, and maps each to representative functions and oversight requirements. As Table 17.3 indicates, the frontier of research lies in supervised task autonomy, where a robot executes a well-defined subtask such as suturing under close human supervision, while full procedural autonomy remains firmly beyond current clinical practice [30]. The distinction matters because the safety argument for each category is different: a guidance system can be validated largely on the accuracy of the information it presents, whereas a system that acts on tissue must additionally guarantee that its motions remain within safe bounds even when its perception is imperfect. The progression captured in the table is not merely a technical ladder but a hierarchy of assurance obligations, each rung demanding a stronger and more comprehensive demonstration that the delegated authority is warranted.</w:t>
      </w:r>
    </w:p>
    <w:p>
      <w:pPr>
        <w:pStyle w:val="TableCaption"/>
      </w:pPr>
      <w:r>
        <w:rPr>
          <w:b/>
        </w:rPr>
        <w:t xml:space="preserve">Table 17.3.</w:t>
      </w:r>
      <w:r>
        <w:t xml:space="preserve"> Surgical robotic capabilities classified by degree of artificial-intelligence involvement.</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tcPr>
          <w:p>
            <w:pPr>
              <w:pStyle w:val="Normal"/>
              <w:jc w:val="center"/>
              <w:spacing w:after="40" w:line="240" w:lineRule="auto"/>
            </w:pPr>
            <w:r>
              <w:rPr>
                <w:b/>
              </w:rPr>
              <w:t xml:space="preserve">Category</w:t>
            </w:r>
          </w:p>
        </w:tc>
        <w:tc>
          <w:tcPr>
            <w:tcW w:w="2340" w:type="dxa"/>
            <w:shd w:val="clear" w:color="auto" w:fill="D9E2F3"/>
          </w:tcPr>
          <w:p>
            <w:pPr>
              <w:pStyle w:val="Normal"/>
              <w:jc w:val="center"/>
              <w:spacing w:after="40" w:line="240" w:lineRule="auto"/>
            </w:pPr>
            <w:r>
              <w:rPr>
                <w:b/>
              </w:rPr>
              <w:t xml:space="preserve">AI Involvement</w:t>
            </w:r>
          </w:p>
        </w:tc>
        <w:tc>
          <w:tcPr>
            <w:tcW w:w="2340" w:type="dxa"/>
            <w:shd w:val="clear" w:color="auto" w:fill="D9E2F3"/>
          </w:tcPr>
          <w:p>
            <w:pPr>
              <w:pStyle w:val="Normal"/>
              <w:jc w:val="center"/>
              <w:spacing w:after="40" w:line="240" w:lineRule="auto"/>
            </w:pPr>
            <w:r>
              <w:rPr>
                <w:b/>
              </w:rPr>
              <w:t xml:space="preserve">Representative Function</w:t>
            </w:r>
          </w:p>
        </w:tc>
        <w:tc>
          <w:tcPr>
            <w:tcW w:w="2340" w:type="dxa"/>
            <w:shd w:val="clear" w:color="auto" w:fill="D9E2F3"/>
          </w:tcPr>
          <w:p>
            <w:pPr>
              <w:pStyle w:val="Normal"/>
              <w:jc w:val="center"/>
              <w:spacing w:after="40" w:line="240" w:lineRule="auto"/>
            </w:pPr>
            <w:r>
              <w:rPr>
                <w:b/>
              </w:rPr>
              <w:t xml:space="preserve">Oversight Requirement</w:t>
            </w:r>
          </w:p>
        </w:tc>
      </w:tr>
      <w:tr>
        <w:tc>
          <w:tcPr>
            <w:tcW w:w="2340" w:type="dxa"/>
          </w:tcPr>
          <w:p>
            <w:pPr>
              <w:pStyle w:val="Normal"/>
              <w:jc w:val="left"/>
              <w:spacing w:after="40" w:line="240" w:lineRule="auto"/>
            </w:pPr>
            <w:r>
              <w:t xml:space="preserve">Passive instrumentation</w:t>
            </w:r>
          </w:p>
        </w:tc>
        <w:tc>
          <w:tcPr>
            <w:tcW w:w="2340" w:type="dxa"/>
          </w:tcPr>
          <w:p>
            <w:pPr>
              <w:pStyle w:val="Normal"/>
              <w:jc w:val="left"/>
              <w:spacing w:after="40" w:line="240" w:lineRule="auto"/>
            </w:pPr>
            <w:r>
              <w:t xml:space="preserve">None</w:t>
            </w:r>
          </w:p>
        </w:tc>
        <w:tc>
          <w:tcPr>
            <w:tcW w:w="2340" w:type="dxa"/>
          </w:tcPr>
          <w:p>
            <w:pPr>
              <w:pStyle w:val="Normal"/>
              <w:jc w:val="left"/>
              <w:spacing w:after="40" w:line="240" w:lineRule="auto"/>
            </w:pPr>
            <w:r>
              <w:t xml:space="preserve">Tremor filtering, motion scaling, dexterous manipulation</w:t>
            </w:r>
          </w:p>
        </w:tc>
        <w:tc>
          <w:tcPr>
            <w:tcW w:w="2340" w:type="dxa"/>
          </w:tcPr>
          <w:p>
            <w:pPr>
              <w:pStyle w:val="Normal"/>
              <w:jc w:val="left"/>
              <w:spacing w:after="40" w:line="240" w:lineRule="auto"/>
            </w:pPr>
            <w:r>
              <w:t xml:space="preserve">Continuous direct surgeon control</w:t>
            </w:r>
          </w:p>
        </w:tc>
      </w:tr>
      <w:tr>
        <w:tc>
          <w:tcPr>
            <w:tcW w:w="2340" w:type="dxa"/>
          </w:tcPr>
          <w:p>
            <w:pPr>
              <w:pStyle w:val="Normal"/>
              <w:jc w:val="left"/>
              <w:spacing w:after="40" w:line="240" w:lineRule="auto"/>
            </w:pPr>
            <w:r>
              <w:t xml:space="preserve">Perceptual guidance</w:t>
            </w:r>
          </w:p>
        </w:tc>
        <w:tc>
          <w:tcPr>
            <w:tcW w:w="2340" w:type="dxa"/>
          </w:tcPr>
          <w:p>
            <w:pPr>
              <w:pStyle w:val="Normal"/>
              <w:jc w:val="left"/>
              <w:spacing w:after="40" w:line="240" w:lineRule="auto"/>
            </w:pPr>
            <w:r>
              <w:t xml:space="preserve">Assistive</w:t>
            </w:r>
          </w:p>
        </w:tc>
        <w:tc>
          <w:tcPr>
            <w:tcW w:w="2340" w:type="dxa"/>
          </w:tcPr>
          <w:p>
            <w:pPr>
              <w:pStyle w:val="Normal"/>
              <w:jc w:val="left"/>
              <w:spacing w:after="40" w:line="240" w:lineRule="auto"/>
            </w:pPr>
            <w:r>
              <w:t xml:space="preserve">Anatomy recognition, vessel highlighting, phase recognition</w:t>
            </w:r>
          </w:p>
        </w:tc>
        <w:tc>
          <w:tcPr>
            <w:tcW w:w="2340" w:type="dxa"/>
          </w:tcPr>
          <w:p>
            <w:pPr>
              <w:pStyle w:val="Normal"/>
              <w:jc w:val="left"/>
              <w:spacing w:after="40" w:line="240" w:lineRule="auto"/>
            </w:pPr>
            <w:r>
              <w:t xml:space="preserve">Surgeon interprets and acts on guidance</w:t>
            </w:r>
          </w:p>
        </w:tc>
      </w:tr>
      <w:tr>
        <w:tc>
          <w:tcPr>
            <w:tcW w:w="2340" w:type="dxa"/>
          </w:tcPr>
          <w:p>
            <w:pPr>
              <w:pStyle w:val="Normal"/>
              <w:jc w:val="left"/>
              <w:spacing w:after="40" w:line="240" w:lineRule="auto"/>
            </w:pPr>
            <w:r>
              <w:t xml:space="preserve">Shared control</w:t>
            </w:r>
          </w:p>
        </w:tc>
        <w:tc>
          <w:tcPr>
            <w:tcW w:w="2340" w:type="dxa"/>
          </w:tcPr>
          <w:p>
            <w:pPr>
              <w:pStyle w:val="Normal"/>
              <w:jc w:val="left"/>
              <w:spacing w:after="40" w:line="240" w:lineRule="auto"/>
            </w:pPr>
            <w:r>
              <w:t xml:space="preserve">Cooperative</w:t>
            </w:r>
          </w:p>
        </w:tc>
        <w:tc>
          <w:tcPr>
            <w:tcW w:w="2340" w:type="dxa"/>
          </w:tcPr>
          <w:p>
            <w:pPr>
              <w:pStyle w:val="Normal"/>
              <w:jc w:val="left"/>
              <w:spacing w:after="40" w:line="240" w:lineRule="auto"/>
            </w:pPr>
            <w:r>
              <w:t xml:space="preserve">Virtual fixtures, motion constraints, cooperative steadying</w:t>
            </w:r>
          </w:p>
        </w:tc>
        <w:tc>
          <w:tcPr>
            <w:tcW w:w="2340" w:type="dxa"/>
          </w:tcPr>
          <w:p>
            <w:pPr>
              <w:pStyle w:val="Normal"/>
              <w:jc w:val="left"/>
              <w:spacing w:after="40" w:line="240" w:lineRule="auto"/>
            </w:pPr>
            <w:r>
              <w:t xml:space="preserve">Surgeon and system share authority</w:t>
            </w:r>
          </w:p>
        </w:tc>
      </w:tr>
      <w:tr>
        <w:tc>
          <w:tcPr>
            <w:tcW w:w="2340" w:type="dxa"/>
          </w:tcPr>
          <w:p>
            <w:pPr>
              <w:pStyle w:val="Normal"/>
              <w:jc w:val="left"/>
              <w:spacing w:after="40" w:line="240" w:lineRule="auto"/>
            </w:pPr>
            <w:r>
              <w:t xml:space="preserve">Supervised task autonomy</w:t>
            </w:r>
          </w:p>
        </w:tc>
        <w:tc>
          <w:tcPr>
            <w:tcW w:w="2340" w:type="dxa"/>
          </w:tcPr>
          <w:p>
            <w:pPr>
              <w:pStyle w:val="Normal"/>
              <w:jc w:val="left"/>
              <w:spacing w:after="40" w:line="240" w:lineRule="auto"/>
            </w:pPr>
            <w:r>
              <w:t xml:space="preserve">Autonomous subtask</w:t>
            </w:r>
          </w:p>
        </w:tc>
        <w:tc>
          <w:tcPr>
            <w:tcW w:w="2340" w:type="dxa"/>
          </w:tcPr>
          <w:p>
            <w:pPr>
              <w:pStyle w:val="Normal"/>
              <w:jc w:val="left"/>
              <w:spacing w:after="40" w:line="240" w:lineRule="auto"/>
            </w:pPr>
            <w:r>
              <w:t xml:space="preserve">Robot performs suturing or anastomosis under supervision</w:t>
            </w:r>
          </w:p>
        </w:tc>
        <w:tc>
          <w:tcPr>
            <w:tcW w:w="2340" w:type="dxa"/>
          </w:tcPr>
          <w:p>
            <w:pPr>
              <w:pStyle w:val="Normal"/>
              <w:jc w:val="left"/>
              <w:spacing w:after="40" w:line="240" w:lineRule="auto"/>
            </w:pPr>
            <w:r>
              <w:t xml:space="preserve">Surgeon supervises and can halt instantly</w:t>
            </w:r>
          </w:p>
        </w:tc>
      </w:tr>
      <w:tr>
        <w:tc>
          <w:tcPr>
            <w:tcW w:w="2340" w:type="dxa"/>
          </w:tcPr>
          <w:p>
            <w:pPr>
              <w:pStyle w:val="Normal"/>
              <w:jc w:val="left"/>
              <w:spacing w:after="40" w:line="240" w:lineRule="auto"/>
            </w:pPr>
            <w:r>
              <w:t xml:space="preserve">Full procedural autonomy</w:t>
            </w:r>
          </w:p>
        </w:tc>
        <w:tc>
          <w:tcPr>
            <w:tcW w:w="2340" w:type="dxa"/>
          </w:tcPr>
          <w:p>
            <w:pPr>
              <w:pStyle w:val="Normal"/>
              <w:jc w:val="left"/>
              <w:spacing w:after="40" w:line="240" w:lineRule="auto"/>
            </w:pPr>
            <w:r>
              <w:t xml:space="preserve">Autonomous procedure</w:t>
            </w:r>
          </w:p>
        </w:tc>
        <w:tc>
          <w:tcPr>
            <w:tcW w:w="2340" w:type="dxa"/>
          </w:tcPr>
          <w:p>
            <w:pPr>
              <w:pStyle w:val="Normal"/>
              <w:jc w:val="left"/>
              <w:spacing w:after="40" w:line="240" w:lineRule="auto"/>
            </w:pPr>
            <w:r>
              <w:t xml:space="preserve">End-to-end operation without intervention</w:t>
            </w:r>
          </w:p>
        </w:tc>
        <w:tc>
          <w:tcPr>
            <w:tcW w:w="2340" w:type="dxa"/>
          </w:tcPr>
          <w:p>
            <w:pPr>
              <w:pStyle w:val="Normal"/>
              <w:jc w:val="left"/>
              <w:spacing w:after="40" w:line="240" w:lineRule="auto"/>
            </w:pPr>
            <w:r>
              <w:t xml:space="preserve">Not in clinical practice; research only</w:t>
            </w:r>
          </w:p>
        </w:tc>
      </w:tr>
    </w:tbl>
    <w:p>
      <w:pPr>
        <w:spacing w:after="120"/>
      </w:pPr>
    </w:p>
    <w:p>
      <w:pPr>
        <w:pStyle w:val="Heading2"/>
      </w:pPr>
      <w:r>
        <w:t xml:space="preserve">17.2.2 Image Guidance, Perception, and Learning-Based Control</w:t>
      </w:r>
    </w:p>
    <w:p>
      <w:pPr>
        <w:pStyle w:val="Normal"/>
      </w:pPr>
      <w:r>
        <w:t xml:space="preserve">The competence of a surgical or interventional robot depends fundamentally on its perception of the operative field, which is inherently deformable, occluded, and variable across patients. Preoperative imaging such as computed tomography and magnetic resonance provides a detailed anatomical map, but the challenge lies in registering that map to the patient's actual anatomy during the procedure, when tissues shift and deform [31]. Intraoperative imaging, optical tracking, and electromagnetic navigation are combined to maintain this registration, enabling the robot to relate its instruments to structures it cannot directly see. In orthopedic and neurosurgical applications, this image guidance underpins the accurate placement of implants and probes along preplanned trajectories [32].</w:t>
      </w:r>
    </w:p>
    <w:p>
      <w:pPr>
        <w:pStyle w:val="Normal"/>
      </w:pPr>
      <w:r>
        <w:t xml:space="preserve">The difficulty of registration deserves emphasis because it is the hidden foundation on which much of image-guided robotics rests. A preoperative scan captures the patient at one moment and in one configuration, but during surgery the patient breathes, tissues are retracted, organs shift under gravity, and structures deform under the instruments themselves. Bridging the gap between the static map and the living, moving patient is an ongoing computational task, and errors in registration translate directly into errors in where the robot believes anatomy to be. In rigid structures such as bone the problem is tractable and image guidance is correspondingly mature; in soft, mobile tissue the challenge is far greater and remains an active frontier. Recognizing the limits of registration accuracy, and designing systems that behave safely when that accuracy degrades, is as important as improving the accuracy itself.</w:t>
      </w:r>
    </w:p>
    <w:p>
      <w:pPr>
        <w:pStyle w:val="Normal"/>
      </w:pPr>
      <w:r>
        <w:t xml:space="preserve">Perception in soft-tissue surgery is considerably harder because the anatomy moves and changes appearance continuously. Advances in computer vision, including deep neural networks for segmentation and depth estimation, allow systems to track tissue and instruments in real time from endoscopic video [33]. Force and tactile sensing complement vision by giving the system a sense of touch, which is essential for delicate manipulation and for restoring the haptic feedback that teleoperation otherwise removes [34]. Figure 17.2 presents a layered control architecture for an AI-assisted surgical system, showing how perception, planning, shared control, and a safety layer interact. As Figure 17.2 makes clear, learning-based components are embedded within a structure that constrains their authority, so that adaptive behavior never bypasses the safety guarantees the system must provide.</w:t>
      </w:r>
    </w:p>
    <w:p>
      <w:pPr>
        <w:pStyle w:val="FigureImage"/>
      </w:pPr>
      <w:r>
        <w:drawing>
          <wp:inline xmlns:wp="http://schemas.openxmlformats.org/drawingml/2006/wordprocessingDrawing" distT="0" distB="0" distL="0" distR="0">
            <wp:extent cx="5486400" cy="3305907"/>
            <wp:effectExtent l="0" t="0" r="0" b="0"/>
            <wp:docPr id="1002" name="Figure_17_2_Surgical_Control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17_2_Surgical_Control_Architecture.png"/>
                    <pic:cNvPicPr/>
                  </pic:nvPicPr>
                  <pic:blipFill>
                    <a:blip xmlns:r="http://schemas.openxmlformats.org/officeDocument/2006/relationships" r:embed="rIdImg2"/>
                    <a:stretch>
                      <a:fillRect/>
                    </a:stretch>
                  </pic:blipFill>
                  <pic:spPr>
                    <a:xfrm>
                      <a:off x="0" y="0"/>
                      <a:ext cx="5486400" cy="3305907"/>
                    </a:xfrm>
                    <a:prstGeom prst="rect">
                      <a:avLst/>
                    </a:prstGeom>
                  </pic:spPr>
                </pic:pic>
              </a:graphicData>
            </a:graphic>
          </wp:inline>
        </w:drawing>
      </w:r>
    </w:p>
    <w:p>
      <w:pPr>
        <w:pStyle w:val="FigureCaption"/>
      </w:pPr>
      <w:r>
        <w:t xml:space="preserve">Figure 17.2. Layered control architecture of an AI-assisted surgical system, in which learning-based components operate within safety constraints.</w:t>
      </w:r>
    </w:p>
    <w:p>
      <w:pPr>
        <w:pStyle w:val="Normal"/>
      </w:pPr>
      <w:r>
        <w:t xml:space="preserve">Learning-based control offers the promise of robots that improve with experience and adapt to individual anatomy, yet it also introduces the difficulty of validating systems whose behavior is not fully specified in advance [35]. Reinforcement learning and imitation learning have demonstrated impressive capability in laboratory settings for subtasks such as knot-tying and tissue manipulation, but translating these results to the clinic requires guarantees of predictability and robustness that data-driven methods do not naturally provide. The prevailing engineering response is to bound learned behavior within verified constraints, allowing adaptation in how a task is performed while ensuring that safety-critical limits are never violated [36].</w:t>
      </w:r>
    </w:p>
    <w:p>
      <w:pPr>
        <w:pStyle w:val="Normal"/>
      </w:pPr>
      <w:r>
        <w:t xml:space="preserve">A further challenge for learned components is distribution shift: a model trained on data from one population, institution, or device may behave unpredictably when confronted with conditions it has not seen, and in surgery the tail of rare presentations is exactly where the stakes are highest. This concern motivates several complementary strategies. Uncertainty estimation allows a system to recognize when it is operating outside its competence and to defer to the surgeon rather than acting on a confident but mistaken interpretation. Extensive validation on diverse, representative data helps expose failure modes before deployment. And run-time monitoring, in which an independent watchdog checks that the system's behavior remains within expected bounds, provides a safety net even when the primary model errs. Together these measures reflect a maturing understanding that safety for learning systems is achieved not by trusting the model but by architecting the surrounding system so that model errors are caught and contained.</w:t>
      </w:r>
    </w:p>
    <w:p>
      <w:pPr>
        <w:pStyle w:val="Normal"/>
      </w:pPr>
      <w:r>
        <w:t xml:space="preserve">The evaluation of perception and control in surgical robots also demands metrics that go beyond average accuracy. A segmentation network that is correct ninety-nine percent of the time may still be unusable if its errors cluster precisely on the critical structures a surgeon most needs to avoid. Meaningful assessment therefore examines worst-case and safety-relevant performance, robustness to realistic perturbations such as smoke, blood, and specular reflections, and behavior at the boundaries of the training distribution. This emphasis on the tails rather than the average distinguishes safety-critical evaluation from the benchmark-driven culture of much of machine-learning research, and it is essential to responsible translation.</w:t>
      </w:r>
    </w:p>
    <w:p>
      <w:pPr>
        <w:pStyle w:val="Heading2"/>
      </w:pPr>
      <w:r>
        <w:t xml:space="preserve">17.2.3 Robot-Assisted Rehabilitation and Assistive Systems</w:t>
      </w:r>
    </w:p>
    <w:p>
      <w:pPr>
        <w:pStyle w:val="Normal"/>
      </w:pPr>
      <w:r>
        <w:t xml:space="preserve">Rehabilitation robotics addresses a different but equally important goal: helping patients recover or compensate for lost motor function after stroke, spinal-cord injury, or other neurological insult [37]. The therapeutic principle underlying these systems is that intensive, repetitive, task-specific practice promotes neural reorganization, and robots are well suited to deliver such practice consistently and at high dosage without fatiguing a therapist [38]. Exoskeletons and end-effector devices can guide a limb through movements, provide precisely graded assistance, and measure performance quantitatively, enabling objective tracking of progress over time.</w:t>
      </w:r>
    </w:p>
    <w:p>
      <w:pPr>
        <w:pStyle w:val="Normal"/>
      </w:pPr>
      <w:r>
        <w:t xml:space="preserve">The most effective rehabilitation robots do not simply move the patient's limb but adapt their assistance to the patient's own effort, a principle known as assist-as-needed [39]. By providing only as much help as necessary and encouraging the patient to contribute maximally, these systems maintain engagement and drive recovery more effectively than passive movement. Achieving this requires sensing the patient's intention and residual capability, often through force sensors, electromyography, or, in advanced systems, signals decoded directly from the brain. Brain–computer interfaces represent the frontier of this work, linking neural activity to robotic assistance to restore movement or communication for individuals with severe paralysis [40].</w:t>
      </w:r>
    </w:p>
    <w:p>
      <w:pPr>
        <w:pStyle w:val="Normal"/>
      </w:pPr>
      <w:r>
        <w:t xml:space="preserve">The therapeutic logic of assist-as-needed rests on a paradox that is central to rehabilitation: the goal of assistance is ultimately to make itself unnecessary. A robot that does too much for the patient may produce impressive movements during a session while suppressing the effort and error that drive learning, a phenomenon sometimes called slacking. Effective controllers therefore titrate their support downward as the patient improves, and some deliberately amplify the patient's errors to provoke corrective adaptation. This reframes the robot not as a machine that performs movement but as a coach that structures practice, and it aligns the engineering objective with the neuroscience of recovery. It also underscores why quantitative measurement is so valuable: because the robot senses force and motion continuously, it can adjust the challenge in real time and document progress with a precision that manual therapy cannot match.</w:t>
      </w:r>
    </w:p>
    <w:p>
      <w:pPr>
        <w:pStyle w:val="Normal"/>
      </w:pPr>
      <w:r>
        <w:t xml:space="preserve">Beyond restoring function, robotic and wearable systems increasingly aim to compensate for permanent impairment, extending independence for people living with disability. Powered exoskeletons enable some individuals with spinal-cord injury to stand and walk, with benefits that may extend beyond mobility to include physiological and psychological well-being. Assistive manipulators mounted on wheelchairs help people with limited arm function perform activities of daily living such as eating and drinking. In these applications the measure of success is not neural recovery but the expansion of what a person can do and the degree to which the technology fits unobtrusively into daily life. The design priorities accordingly shift toward reliability, comfort, ease of donning and control, and affordability, reminding us that the ultimate test of assistive robotics is its lived usefulness rather than its laboratory performance.</w:t>
      </w:r>
    </w:p>
    <w:p>
      <w:pPr>
        <w:pStyle w:val="Normal"/>
      </w:pPr>
      <w:r>
        <w:t xml:space="preserve">Table 17.4 compares representative categories of rehabilitation and assistive robotic systems by mechanism, clinical target, control strategy, and current evidence status. As summarized in Table 17.4, the strength of clinical evidence varies considerably across categories, with upper-limb and gait-training robots supported by substantial trial data, while brain–computer-interface-driven systems remain largely investigational despite remarkable proof-of-concept results [41]. This gradient of evidence is a recurring theme: the more autonomy and novelty a system embodies, the more its clinical value remains to be established through rigorous study.</w:t>
      </w:r>
    </w:p>
    <w:p>
      <w:pPr>
        <w:pStyle w:val="TableCaption"/>
      </w:pPr>
      <w:r>
        <w:rPr>
          <w:b/>
        </w:rPr>
        <w:t xml:space="preserve">Table 17.4.</w:t>
      </w:r>
      <w:r>
        <w:t xml:space="preserve"> Representative categories of rehabilitation and assistive robotic systems.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tcPr>
          <w:p>
            <w:pPr>
              <w:pStyle w:val="Normal"/>
              <w:jc w:val="center"/>
              <w:spacing w:after="40" w:line="240" w:lineRule="auto"/>
            </w:pPr>
            <w:r>
              <w:rPr>
                <w:b/>
              </w:rPr>
              <w:t xml:space="preserve">Category</w:t>
            </w:r>
          </w:p>
        </w:tc>
        <w:tc>
          <w:tcPr>
            <w:tcW w:w="1872" w:type="dxa"/>
            <w:shd w:val="clear" w:color="auto" w:fill="D9E2F3"/>
          </w:tcPr>
          <w:p>
            <w:pPr>
              <w:pStyle w:val="Normal"/>
              <w:jc w:val="center"/>
              <w:spacing w:after="40" w:line="240" w:lineRule="auto"/>
            </w:pPr>
            <w:r>
              <w:rPr>
                <w:b/>
              </w:rPr>
              <w:t xml:space="preserve">Mechanism</w:t>
            </w:r>
          </w:p>
        </w:tc>
        <w:tc>
          <w:tcPr>
            <w:tcW w:w="1872" w:type="dxa"/>
            <w:shd w:val="clear" w:color="auto" w:fill="D9E2F3"/>
          </w:tcPr>
          <w:p>
            <w:pPr>
              <w:pStyle w:val="Normal"/>
              <w:jc w:val="center"/>
              <w:spacing w:after="40" w:line="240" w:lineRule="auto"/>
            </w:pPr>
            <w:r>
              <w:rPr>
                <w:b/>
              </w:rPr>
              <w:t xml:space="preserve">Clinical Target</w:t>
            </w:r>
          </w:p>
        </w:tc>
        <w:tc>
          <w:tcPr>
            <w:tcW w:w="1872" w:type="dxa"/>
            <w:shd w:val="clear" w:color="auto" w:fill="D9E2F3"/>
          </w:tcPr>
          <w:p>
            <w:pPr>
              <w:pStyle w:val="Normal"/>
              <w:jc w:val="center"/>
              <w:spacing w:after="40" w:line="240" w:lineRule="auto"/>
            </w:pPr>
            <w:r>
              <w:rPr>
                <w:b/>
              </w:rPr>
              <w:t xml:space="preserve">Control Strategy</w:t>
            </w:r>
          </w:p>
        </w:tc>
        <w:tc>
          <w:tcPr>
            <w:tcW w:w="1872" w:type="dxa"/>
            <w:shd w:val="clear" w:color="auto" w:fill="D9E2F3"/>
          </w:tcPr>
          <w:p>
            <w:pPr>
              <w:pStyle w:val="Normal"/>
              <w:jc w:val="center"/>
              <w:spacing w:after="40" w:line="240" w:lineRule="auto"/>
            </w:pPr>
            <w:r>
              <w:rPr>
                <w:b/>
              </w:rPr>
              <w:t xml:space="preserve">Evidence Status</w:t>
            </w:r>
          </w:p>
        </w:tc>
      </w:tr>
      <w:tr>
        <w:tc>
          <w:tcPr>
            <w:tcW w:w="1872" w:type="dxa"/>
          </w:tcPr>
          <w:p>
            <w:pPr>
              <w:pStyle w:val="Normal"/>
              <w:jc w:val="left"/>
              <w:spacing w:after="40" w:line="240" w:lineRule="auto"/>
            </w:pPr>
            <w:r>
              <w:t xml:space="preserve">Upper-limb end-effector robot</w:t>
            </w:r>
          </w:p>
        </w:tc>
        <w:tc>
          <w:tcPr>
            <w:tcW w:w="1872" w:type="dxa"/>
          </w:tcPr>
          <w:p>
            <w:pPr>
              <w:pStyle w:val="Normal"/>
              <w:jc w:val="left"/>
              <w:spacing w:after="40" w:line="240" w:lineRule="auto"/>
            </w:pPr>
            <w:r>
              <w:t xml:space="preserve">Guides hand or forearm through reaching tasks</w:t>
            </w:r>
          </w:p>
        </w:tc>
        <w:tc>
          <w:tcPr>
            <w:tcW w:w="1872" w:type="dxa"/>
          </w:tcPr>
          <w:p>
            <w:pPr>
              <w:pStyle w:val="Normal"/>
              <w:jc w:val="left"/>
              <w:spacing w:after="40" w:line="240" w:lineRule="auto"/>
            </w:pPr>
            <w:r>
              <w:t xml:space="preserve">Post-stroke arm impairment</w:t>
            </w:r>
          </w:p>
        </w:tc>
        <w:tc>
          <w:tcPr>
            <w:tcW w:w="1872" w:type="dxa"/>
          </w:tcPr>
          <w:p>
            <w:pPr>
              <w:pStyle w:val="Normal"/>
              <w:jc w:val="left"/>
              <w:spacing w:after="40" w:line="240" w:lineRule="auto"/>
            </w:pPr>
            <w:r>
              <w:t xml:space="preserve">Assist-as-needed; error augmentation</w:t>
            </w:r>
          </w:p>
        </w:tc>
        <w:tc>
          <w:tcPr>
            <w:tcW w:w="1872" w:type="dxa"/>
          </w:tcPr>
          <w:p>
            <w:pPr>
              <w:pStyle w:val="Normal"/>
              <w:jc w:val="left"/>
              <w:spacing w:after="40" w:line="240" w:lineRule="auto"/>
            </w:pPr>
            <w:r>
              <w:t xml:space="preserve">Substantial randomized-trial evidence</w:t>
            </w:r>
          </w:p>
        </w:tc>
      </w:tr>
      <w:tr>
        <w:tc>
          <w:tcPr>
            <w:tcW w:w="1872" w:type="dxa"/>
          </w:tcPr>
          <w:p>
            <w:pPr>
              <w:pStyle w:val="Normal"/>
              <w:jc w:val="left"/>
              <w:spacing w:after="40" w:line="240" w:lineRule="auto"/>
            </w:pPr>
            <w:r>
              <w:t xml:space="preserve">Lower-limb gait exoskeleton</w:t>
            </w:r>
          </w:p>
        </w:tc>
        <w:tc>
          <w:tcPr>
            <w:tcW w:w="1872" w:type="dxa"/>
          </w:tcPr>
          <w:p>
            <w:pPr>
              <w:pStyle w:val="Normal"/>
              <w:jc w:val="left"/>
              <w:spacing w:after="40" w:line="240" w:lineRule="auto"/>
            </w:pPr>
            <w:r>
              <w:t xml:space="preserve">Powered joints drive stepping over ground or treadmill</w:t>
            </w:r>
          </w:p>
        </w:tc>
        <w:tc>
          <w:tcPr>
            <w:tcW w:w="1872" w:type="dxa"/>
          </w:tcPr>
          <w:p>
            <w:pPr>
              <w:pStyle w:val="Normal"/>
              <w:jc w:val="left"/>
              <w:spacing w:after="40" w:line="240" w:lineRule="auto"/>
            </w:pPr>
            <w:r>
              <w:t xml:space="preserve">Gait recovery after stroke or SCI</w:t>
            </w:r>
          </w:p>
        </w:tc>
        <w:tc>
          <w:tcPr>
            <w:tcW w:w="1872" w:type="dxa"/>
          </w:tcPr>
          <w:p>
            <w:pPr>
              <w:pStyle w:val="Normal"/>
              <w:jc w:val="left"/>
              <w:spacing w:after="40" w:line="240" w:lineRule="auto"/>
            </w:pPr>
            <w:r>
              <w:t xml:space="preserve">Trajectory tracking with adaptive assistance</w:t>
            </w:r>
          </w:p>
        </w:tc>
        <w:tc>
          <w:tcPr>
            <w:tcW w:w="1872" w:type="dxa"/>
          </w:tcPr>
          <w:p>
            <w:pPr>
              <w:pStyle w:val="Normal"/>
              <w:jc w:val="left"/>
              <w:spacing w:after="40" w:line="240" w:lineRule="auto"/>
            </w:pPr>
            <w:r>
              <w:t xml:space="preserve">Moderate to substantial evidence</w:t>
            </w:r>
          </w:p>
        </w:tc>
      </w:tr>
      <w:tr>
        <w:tc>
          <w:tcPr>
            <w:tcW w:w="1872" w:type="dxa"/>
          </w:tcPr>
          <w:p>
            <w:pPr>
              <w:pStyle w:val="Normal"/>
              <w:jc w:val="left"/>
              <w:spacing w:after="40" w:line="240" w:lineRule="auto"/>
            </w:pPr>
            <w:r>
              <w:t xml:space="preserve">Wearable assistive exoskeleton</w:t>
            </w:r>
          </w:p>
        </w:tc>
        <w:tc>
          <w:tcPr>
            <w:tcW w:w="1872" w:type="dxa"/>
          </w:tcPr>
          <w:p>
            <w:pPr>
              <w:pStyle w:val="Normal"/>
              <w:jc w:val="left"/>
              <w:spacing w:after="40" w:line="240" w:lineRule="auto"/>
            </w:pPr>
            <w:r>
              <w:t xml:space="preserve">Portable powered support for daily mobility</w:t>
            </w:r>
          </w:p>
        </w:tc>
        <w:tc>
          <w:tcPr>
            <w:tcW w:w="1872" w:type="dxa"/>
          </w:tcPr>
          <w:p>
            <w:pPr>
              <w:pStyle w:val="Normal"/>
              <w:jc w:val="left"/>
              <w:spacing w:after="40" w:line="240" w:lineRule="auto"/>
            </w:pPr>
            <w:r>
              <w:t xml:space="preserve">Chronic mobility impairment</w:t>
            </w:r>
          </w:p>
        </w:tc>
        <w:tc>
          <w:tcPr>
            <w:tcW w:w="1872" w:type="dxa"/>
          </w:tcPr>
          <w:p>
            <w:pPr>
              <w:pStyle w:val="Normal"/>
              <w:jc w:val="left"/>
              <w:spacing w:after="40" w:line="240" w:lineRule="auto"/>
            </w:pPr>
            <w:r>
              <w:t xml:space="preserve">Intention-driven, compliant assistance</w:t>
            </w:r>
          </w:p>
        </w:tc>
        <w:tc>
          <w:tcPr>
            <w:tcW w:w="1872" w:type="dxa"/>
          </w:tcPr>
          <w:p>
            <w:pPr>
              <w:pStyle w:val="Normal"/>
              <w:jc w:val="left"/>
              <w:spacing w:after="40" w:line="240" w:lineRule="auto"/>
            </w:pPr>
            <w:r>
              <w:t xml:space="preserve">Emerging; device-specific</w:t>
            </w:r>
          </w:p>
        </w:tc>
      </w:tr>
      <w:tr>
        <w:tc>
          <w:tcPr>
            <w:tcW w:w="1872" w:type="dxa"/>
          </w:tcPr>
          <w:p>
            <w:pPr>
              <w:pStyle w:val="Normal"/>
              <w:jc w:val="left"/>
              <w:spacing w:after="40" w:line="240" w:lineRule="auto"/>
            </w:pPr>
            <w:r>
              <w:t xml:space="preserve">Socially assistive robot</w:t>
            </w:r>
          </w:p>
        </w:tc>
        <w:tc>
          <w:tcPr>
            <w:tcW w:w="1872" w:type="dxa"/>
          </w:tcPr>
          <w:p>
            <w:pPr>
              <w:pStyle w:val="Normal"/>
              <w:jc w:val="left"/>
              <w:spacing w:after="40" w:line="240" w:lineRule="auto"/>
            </w:pPr>
            <w:r>
              <w:t xml:space="preserve">Non-contact coaching and engagement</w:t>
            </w:r>
          </w:p>
        </w:tc>
        <w:tc>
          <w:tcPr>
            <w:tcW w:w="1872" w:type="dxa"/>
          </w:tcPr>
          <w:p>
            <w:pPr>
              <w:pStyle w:val="Normal"/>
              <w:jc w:val="left"/>
              <w:spacing w:after="40" w:line="240" w:lineRule="auto"/>
            </w:pPr>
            <w:r>
              <w:t xml:space="preserve">Adherence, motivation, cognition</w:t>
            </w:r>
          </w:p>
        </w:tc>
        <w:tc>
          <w:tcPr>
            <w:tcW w:w="1872" w:type="dxa"/>
          </w:tcPr>
          <w:p>
            <w:pPr>
              <w:pStyle w:val="Normal"/>
              <w:jc w:val="left"/>
              <w:spacing w:after="40" w:line="240" w:lineRule="auto"/>
            </w:pPr>
            <w:r>
              <w:t xml:space="preserve">Behavioral interaction policies</w:t>
            </w:r>
          </w:p>
        </w:tc>
        <w:tc>
          <w:tcPr>
            <w:tcW w:w="1872" w:type="dxa"/>
          </w:tcPr>
          <w:p>
            <w:pPr>
              <w:pStyle w:val="Normal"/>
              <w:jc w:val="left"/>
              <w:spacing w:after="40" w:line="240" w:lineRule="auto"/>
            </w:pPr>
            <w:r>
              <w:t xml:space="preserve">Promising but heterogeneous</w:t>
            </w:r>
          </w:p>
        </w:tc>
      </w:tr>
      <w:tr>
        <w:tc>
          <w:tcPr>
            <w:tcW w:w="1872" w:type="dxa"/>
          </w:tcPr>
          <w:p>
            <w:pPr>
              <w:pStyle w:val="Normal"/>
              <w:jc w:val="left"/>
              <w:spacing w:after="40" w:line="240" w:lineRule="auto"/>
            </w:pPr>
            <w:r>
              <w:t xml:space="preserve">Brain–computer-interface system</w:t>
            </w:r>
          </w:p>
        </w:tc>
        <w:tc>
          <w:tcPr>
            <w:tcW w:w="1872" w:type="dxa"/>
          </w:tcPr>
          <w:p>
            <w:pPr>
              <w:pStyle w:val="Normal"/>
              <w:jc w:val="left"/>
              <w:spacing w:after="40" w:line="240" w:lineRule="auto"/>
            </w:pPr>
            <w:r>
              <w:t xml:space="preserve">Decodes neural signals to drive assistance</w:t>
            </w:r>
          </w:p>
        </w:tc>
        <w:tc>
          <w:tcPr>
            <w:tcW w:w="1872" w:type="dxa"/>
          </w:tcPr>
          <w:p>
            <w:pPr>
              <w:pStyle w:val="Normal"/>
              <w:jc w:val="left"/>
              <w:spacing w:after="40" w:line="240" w:lineRule="auto"/>
            </w:pPr>
            <w:r>
              <w:t xml:space="preserve">Severe paralysis; communication</w:t>
            </w:r>
          </w:p>
        </w:tc>
        <w:tc>
          <w:tcPr>
            <w:tcW w:w="1872" w:type="dxa"/>
          </w:tcPr>
          <w:p>
            <w:pPr>
              <w:pStyle w:val="Normal"/>
              <w:jc w:val="left"/>
              <w:spacing w:after="40" w:line="240" w:lineRule="auto"/>
            </w:pPr>
            <w:r>
              <w:t xml:space="preserve">Neural decoding with shared control</w:t>
            </w:r>
          </w:p>
        </w:tc>
        <w:tc>
          <w:tcPr>
            <w:tcW w:w="1872" w:type="dxa"/>
          </w:tcPr>
          <w:p>
            <w:pPr>
              <w:pStyle w:val="Normal"/>
              <w:jc w:val="left"/>
              <w:spacing w:after="40" w:line="240" w:lineRule="auto"/>
            </w:pPr>
            <w:r>
              <w:t xml:space="preserve">Investigational; proof-of-concept</w:t>
            </w:r>
          </w:p>
        </w:tc>
      </w:tr>
    </w:tbl>
    <w:p>
      <w:pPr>
        <w:spacing w:after="120"/>
      </w:pPr>
    </w:p>
    <w:p>
      <w:pPr>
        <w:pStyle w:val="Heading2"/>
      </w:pPr>
      <w:r>
        <w:t xml:space="preserve">17.2.4 Evaluation, Evidence, and Translation</w:t>
      </w:r>
    </w:p>
    <w:p>
      <w:pPr>
        <w:pStyle w:val="Normal"/>
      </w:pPr>
      <w:r>
        <w:t xml:space="preserve">Translating surgical and rehabilitation robots from engineering prototypes into validated clinical tools requires evidence of a kind that laboratory demonstrations cannot supply. For surgical systems, the relevant outcomes are not merely technical precision but patient-centered measures such as complication rates, recovery time, and long-term function, evaluated against the best available conventional care [42]. The history of surgical robotics offers a cautionary lesson: rapid adoption sometimes preceded strong comparative evidence, and only later did rigorous studies clarify where robotic approaches genuinely improved outcomes and where they primarily increased cost. This experience underscores the importance of disciplined evaluation before diffusion.</w:t>
      </w:r>
    </w:p>
    <w:p>
      <w:pPr>
        <w:pStyle w:val="Normal"/>
      </w:pPr>
      <w:r>
        <w:t xml:space="preserve">For rehabilitation robotics, the challenge is to demonstrate that robot-delivered therapy produces functional gains that transfer to everyday activities and persist over time, rather than improvements confined to the trained movement. The most credible evidence comes from randomized trials with meaningful functional endpoints, and where such trials exist they suggest that robotic therapy is most valuable as a complement to, rather than a replacement for, skilled human rehabilitation [43]. Across both surgical and rehabilitation domains, the maturation of the field depends on aligning the enthusiasm of innovation with the rigor of clinical science, so that autonomy is introduced where it demonstrably serves patients.</w:t>
      </w:r>
    </w:p>
    <w:p>
      <w:pPr>
        <w:pStyle w:val="Normal"/>
      </w:pPr>
      <w:r>
        <w:t xml:space="preserve">Evaluating robotic and autonomous medical systems poses methodological difficulties that conventional device trials do not fully anticipate. Surgical outcomes depend heavily on the skill and experience of the operator, so a comparison between robotic and conventional approaches may reflect the learning curve of the surgeons as much as the merits of the technology. Blinding is often impossible, and the pace of technological change can render a device obsolete before a definitive trial concludes. Structured frameworks for evaluating surgical innovation address these problems by describing distinct stages, from first-in-human reports through prospective development and rigorous comparative trials to long-term study, and by matching the appropriate study design to each stage. Adopting such a disciplined path guards against the twin failures of premature diffusion, in which unproven technology spreads widely, and excessive caution, in which genuinely beneficial innovation is delayed.</w:t>
      </w:r>
    </w:p>
    <w:p>
      <w:pPr>
        <w:pStyle w:val="Normal"/>
      </w:pPr>
      <w:r>
        <w:t xml:space="preserve">A final consideration is cost-effectiveness, which determines whether a demonstrably safe and effective technology can be sustainably adopted within finite healthcare budgets. Robotic systems entail substantial capital and maintenance costs, and their value must be weighed against alternatives that may achieve comparable outcomes at lower expense. In some indications the evidence supports clear clinical superiority that justifies the cost; in others the principal benefits accrue to ergonomics or throughput rather than to patients directly. Honest appraisal of where robotic and autonomous approaches add value, and where they do not, is essential both for responsible stewardship of resources and for maintaining the credibility of the field as it advances toward greater autonomy.</w:t>
      </w:r>
    </w:p>
    <w:p>
      <w:pPr>
        <w:pStyle w:val="Heading1"/>
      </w:pPr>
      <w:r>
        <w:t xml:space="preserve">17.3 Human–Robot Collaboration in Healthcare</w:t>
      </w:r>
    </w:p>
    <w:p>
      <w:pPr>
        <w:pStyle w:val="Heading2"/>
      </w:pPr>
      <w:r>
        <w:t xml:space="preserve">17.3.1 Principles and Models of Collaboration</w:t>
      </w:r>
    </w:p>
    <w:p>
      <w:pPr>
        <w:pStyle w:val="Normal"/>
      </w:pPr>
      <w:r>
        <w:t xml:space="preserve">Human–robot collaboration in healthcare describes settings in which robots and clinicians work together on shared tasks, coordinating their actions in space and time rather than operating in isolation [44]. Unlike traditional industrial automation, which separates robots from people behind physical barriers, collaborative healthcare robots must share the same workspace as clinicians and patients, demanding a fundamentally different approach to safety and interaction. This proximity transforms the robot from a tool that a human operates into a partner whose actions must be predictable, interpretable, and responsive to the humans around it [45].</w:t>
      </w:r>
    </w:p>
    <w:p>
      <w:pPr>
        <w:pStyle w:val="Normal"/>
      </w:pPr>
      <w:r>
        <w:t xml:space="preserve">A useful way to understand collaboration is through the concept of shared autonomy, in which control is distributed between human and machine according to the demands of the task and the confidence of each party. In shared autonomy, the robot may handle low-level execution while the human provides high-level intent, or the two may negotiate control dynamically as conditions change [46]. The goal is not to maximize the robot's independence but to allocate authority so that the combined system is safer and more capable than either party alone. This principle reframes the design question from how much can be automated to how control should be shared, and it applies equally to surgical assistants, mobile service robots, and physically assistive devices.</w:t>
      </w:r>
    </w:p>
    <w:p>
      <w:pPr>
        <w:pStyle w:val="Normal"/>
      </w:pPr>
      <w:r>
        <w:t xml:space="preserve">Collaboration of this kind depends on two capabilities that distinguish a partner from a tool. The first is intent recognition: the robot must infer what the human is trying to achieve from partial and noisy cues such as gaze, gesture, force, and context, so that it can assist toward the human's goal rather than obstruct it. The second is arbitration: when human and machine disagree, some principled mechanism must decide whose input prevails, and how smoothly authority is transferred. Poorly designed arbitration produces the disconcerting experience of fighting the machine, in which human and robot work at cross purposes; well-designed arbitration feels like a seamless amplification of the human's own intention. These capabilities are difficult precisely because human intent is often ambiguous and context-dependent, and because the appropriate allocation of control can change from moment to moment within a single task.</w:t>
      </w:r>
    </w:p>
    <w:p>
      <w:pPr>
        <w:pStyle w:val="Normal"/>
      </w:pPr>
      <w:r>
        <w:t xml:space="preserve">The nature of the human's role further distinguishes healthcare collaboration from other domains. The clinician is not merely an operator but a professional who bears responsibility for the patient and whose judgment integrates considerations the robot cannot access, including the patient's values, comorbidities, and preferences. Collaborative systems must therefore be designed to keep the clinician informed and in authority over consequential decisions, presenting information in a form that supports rather than supplants professional reasoning. This requirement is not a temporary limitation to be engineered away but a durable feature of care, reflecting the ethical and legal centrality of the clinician's accountability.</w:t>
      </w:r>
    </w:p>
    <w:p>
      <w:pPr>
        <w:pStyle w:val="Normal"/>
      </w:pPr>
      <w:r>
        <w:t xml:space="preserve">Figure 17.3 illustrates a framework for human–robot collaboration in healthcare, mapping the flow of shared situational awareness, intent communication, and control arbitration between clinician and robot. As Figure 17.3 shows, effective collaboration depends on a bidirectional exchange in which the robot communicates its state and intentions to the human while continuously interpreting the human's intent, creating a common ground that makes coordinated action possible [47].</w:t>
      </w:r>
    </w:p>
    <w:p>
      <w:pPr>
        <w:pStyle w:val="FigureImage"/>
      </w:pPr>
      <w:r>
        <w:drawing>
          <wp:inline xmlns:wp="http://schemas.openxmlformats.org/drawingml/2006/wordprocessingDrawing" distT="0" distB="0" distL="0" distR="0">
            <wp:extent cx="5486400" cy="3235569"/>
            <wp:effectExtent l="0" t="0" r="0" b="0"/>
            <wp:docPr id="1003" name="Figure_17_3_Human_Robot_Collabo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17_3_Human_Robot_Collaboration.png"/>
                    <pic:cNvPicPr/>
                  </pic:nvPicPr>
                  <pic:blipFill>
                    <a:blip xmlns:r="http://schemas.openxmlformats.org/officeDocument/2006/relationships" r:embed="rIdImg3"/>
                    <a:stretch>
                      <a:fillRect/>
                    </a:stretch>
                  </pic:blipFill>
                  <pic:spPr>
                    <a:xfrm>
                      <a:off x="0" y="0"/>
                      <a:ext cx="5486400" cy="3235569"/>
                    </a:xfrm>
                    <a:prstGeom prst="rect">
                      <a:avLst/>
                    </a:prstGeom>
                  </pic:spPr>
                </pic:pic>
              </a:graphicData>
            </a:graphic>
          </wp:inline>
        </w:drawing>
      </w:r>
    </w:p>
    <w:p>
      <w:pPr>
        <w:pStyle w:val="FigureCaption"/>
      </w:pPr>
      <w:r>
        <w:t xml:space="preserve">Figure 17.3. Framework for human-robot collaboration in healthcare: shared situational awareness, intent communication, and control arbitration.</w:t>
      </w:r>
    </w:p>
    <w:p>
      <w:pPr>
        <w:pStyle w:val="Heading2"/>
      </w:pPr>
      <w:r>
        <w:t xml:space="preserve">17.3.2 Physical and Cognitive Assistance</w:t>
      </w:r>
    </w:p>
    <w:p>
      <w:pPr>
        <w:pStyle w:val="Normal"/>
      </w:pPr>
      <w:r>
        <w:t xml:space="preserve">Collaborative robots contribute to healthcare through both physical and cognitive assistance, and the distinction helps clarify where different technologies add value. Physical assistance includes robots that lift and reposition patients, sparing caregivers from injuries that are endemic to manual handling, as well as mobile robots that transport supplies, medications, and specimens through hospital corridors, relieving staff of logistical burdens. Powered assistive devices support individuals with mobility impairments, extending independence in ways that passive aids cannot, while collaborative manipulators in the operating room hold instruments or cameras steadily under the surgeon's direction. In each of these roles the machine takes on work that is repetitive, physically taxing, or requires superhuman steadiness, leaving clinicians free to concentrate on tasks that demand human judgment.</w:t>
      </w:r>
    </w:p>
    <w:p>
      <w:pPr>
        <w:pStyle w:val="Normal"/>
      </w:pPr>
      <w:r>
        <w:t xml:space="preserve">Cognitive assistance is subtler but increasingly significant, encompassing systems that monitor patients, summarize information, and prompt clinicians at appropriate moments to reduce oversight failures. Socially assistive robots occupy a distinctive niche, providing engagement, coaching, and companionship in contexts such as elder care, autism therapy, and rehabilitation, where the robot's role is to motivate and support rather than to perform a physical task. Evidence suggests that such robots can improve engagement and adherence, though their effectiveness depends heavily on thoughtful design and appropriate matching to the needs and preferences of the people they serve. In both physical and cognitive roles, the common thread is augmentation: the robot amplifies the reach and reliability of the care team without displacing the human relationships at the heart of care.</w:t>
      </w:r>
    </w:p>
    <w:p>
      <w:pPr>
        <w:pStyle w:val="Normal"/>
      </w:pPr>
      <w:r>
        <w:t xml:space="preserve">The deployment of mobile service robots in hospitals illustrates how much of the challenge in physical assistance lies not in manipulation but in navigation and social integration. A delivery robot must traverse crowded corridors, share elevators with staff and patients, and behave predictably around people who may be frail, distracted, or in distress. Its acceptance depends less on the sophistication of its mechanism than on whether it moves in a manner that people find legible and unthreatening, whether it yields appropriately, and whether it fails gracefully when confused. These considerations belong to the discipline of social navigation, which recognizes that a robot operating among people is participating in a social environment governed by norms and expectations, not merely solving a geometric path-planning problem.</w:t>
      </w:r>
    </w:p>
    <w:p>
      <w:pPr>
        <w:pStyle w:val="Normal"/>
      </w:pPr>
      <w:r>
        <w:t xml:space="preserve">Socially assistive robots raise their own distinctive questions, particularly around authenticity and dependency. A companion robot that provides comfort to an isolated older adult may deliver genuine benefit, yet it also raises concerns about substituting simulated relationship for human contact and about the ethics of encouraging attachment to a machine. The most defensible applications position such robots as complements that extend the reach of human caregivers and prompt human connection rather than replacing it, and they attend carefully to the autonomy and dignity of the people they serve. As with every other application in this chapter, the technology's value is realized only when it is embedded thoughtfully within a human system of care rather than imposed as a substitute for it.</w:t>
      </w:r>
    </w:p>
    <w:p>
      <w:pPr>
        <w:pStyle w:val="Heading2"/>
      </w:pPr>
      <w:r>
        <w:t xml:space="preserve">17.3.3 Safety, Trust, and Interaction Design</w:t>
      </w:r>
    </w:p>
    <w:p>
      <w:pPr>
        <w:pStyle w:val="Normal"/>
      </w:pPr>
      <w:r>
        <w:t xml:space="preserve">The defining engineering challenge of collaborative healthcare robotics is ensuring safety when robots and humans share the same space, because a robot that moves near or in contact with a patient can cause harm if its behavior is not rigorously controlled. Modern collaborative robots employ force and speed limiting, compliant actuation, and sensor-based collision avoidance to keep interactions within safe bounds, and these mechanisms are increasingly formalized in international safety standards. Beyond preventing collisions, safety in healthcare demands that robots behave predictably enough that clinicians can anticipate their actions and intervene when necessary, which places a premium on transparent and legible motion.</w:t>
      </w:r>
    </w:p>
    <w:p>
      <w:pPr>
        <w:pStyle w:val="Normal"/>
      </w:pPr>
      <w:r>
        <w:t xml:space="preserve">Safety in physical human–robot interaction is pursued at several complementary levels. At the mechanical level, lightweight links, back-drivable joints, and intrinsically compliant actuators limit the energy a robot can impart in a collision, so that contact is uncomfortable rather than injurious. At the control level, algorithms bound the force and speed of motion and modulate them according to how close a person is, slowing or stopping as proximity increases. At the perceptual level, sensors detect people and obstacles so that contact can be anticipated and avoided altogether. No single layer is sufficient, and robust designs assume that each may fail, arranging them so that the failure of one is caught by another. This defense-in-depth philosophy mirrors the layered safety architecture seen in drug delivery and surgery, underscoring that it is a general principle rather than a domain-specific trick.</w:t>
      </w:r>
    </w:p>
    <w:p>
      <w:pPr>
        <w:pStyle w:val="Normal"/>
      </w:pPr>
      <w:r>
        <w:t xml:space="preserve">Verifying that these safeguards actually deliver safety is itself demanding, because the space of possible interactions between a robot and unpredictable humans is vast and cannot be exhaustively tested. Formal methods can prove that certain limits are never exceeded, simulation can explore many scenarios quickly, and structured hazard analysis can systematically enumerate what might go wrong and confirm that each hazard is addressed. Regulatory standards increasingly codify expectations for this evidence, translating the abstract goal of safety into concrete, auditable requirements. The result is that bringing a collaborative healthcare robot to the bedside is as much an exercise in building a rigorous safety case as it is in engineering the machine itself.</w:t>
      </w:r>
    </w:p>
    <w:p>
      <w:pPr>
        <w:pStyle w:val="Normal"/>
      </w:pPr>
      <w:r>
        <w:t xml:space="preserve">Trust is the psychological counterpart to technical safety, and calibrating it correctly is essential for effective collaboration. Both undertrust, in which clinicians reject useful automation, and overtrust, in which they defer to systems beyond the systems' competence, degrade the performance of the human–robot team. Well-designed interaction communicates the robot's confidence and limitations honestly, enabling clinicians to rely on it appropriately and to remain vigilant where the system is uncertain. Interaction design therefore extends beyond usability to the deliberate cultivation of appropriate reliance, ensuring that the human retains meaningful oversight of consequential decisions.</w:t>
      </w:r>
    </w:p>
    <w:p>
      <w:pPr>
        <w:pStyle w:val="Normal"/>
      </w:pPr>
      <w:r>
        <w:t xml:space="preserve">Figure 17.4 situates these ideas on a shared-autonomy spectrum, relating the level of machine authority to the corresponding demands on human oversight, safety assurance, and calibrated trust. As Figure 17.4 conveys, moving rightward along the spectrum toward greater machine authority does not diminish the human role but transforms it, shifting the clinician from direct operator to supervisor and ultimately to a guarantor of last resort whose vigilance must be actively supported by the system's design. The figure also makes explicit that the burden of safety assurance grows steeply with autonomy, so that each rightward step must be earned through correspondingly stronger evidence and more robust safeguards.</w:t>
      </w:r>
    </w:p>
    <w:p>
      <w:pPr>
        <w:pStyle w:val="FigureImage"/>
      </w:pPr>
      <w:r>
        <w:drawing>
          <wp:inline xmlns:wp="http://schemas.openxmlformats.org/drawingml/2006/wordprocessingDrawing" distT="0" distB="0" distL="0" distR="0">
            <wp:extent cx="5486400" cy="3086100"/>
            <wp:effectExtent l="0" t="0" r="0" b="0"/>
            <wp:docPr id="1004" name="Figure_17_4_Shared_Autonomy_Spect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17_4_Shared_Autonomy_Spectrum.png"/>
                    <pic:cNvPicPr/>
                  </pic:nvPicPr>
                  <pic:blipFill>
                    <a:blip xmlns:r="http://schemas.openxmlformats.org/officeDocument/2006/relationships" r:embed="rIdImg4"/>
                    <a:stretch>
                      <a:fillRect/>
                    </a:stretch>
                  </pic:blipFill>
                  <pic:spPr>
                    <a:xfrm>
                      <a:off x="0" y="0"/>
                      <a:ext cx="5486400" cy="3086100"/>
                    </a:xfrm>
                    <a:prstGeom prst="rect">
                      <a:avLst/>
                    </a:prstGeom>
                  </pic:spPr>
                </pic:pic>
              </a:graphicData>
            </a:graphic>
          </wp:inline>
        </w:drawing>
      </w:r>
    </w:p>
    <w:p>
      <w:pPr>
        <w:pStyle w:val="FigureCaption"/>
      </w:pPr>
      <w:r>
        <w:t xml:space="preserve">Figure 17.4. The shared-autonomy spectrum, relating machine authority to the transformed human role and the rising safety-assurance burden.</w:t>
      </w:r>
    </w:p>
    <w:p>
      <w:pPr>
        <w:pStyle w:val="Heading2"/>
      </w:pPr>
      <w:r>
        <w:t xml:space="preserve">17.3.4 Ethical, Regulatory, and Workforce Dimensions</w:t>
      </w:r>
    </w:p>
    <w:p>
      <w:pPr>
        <w:pStyle w:val="Normal"/>
      </w:pPr>
      <w:r>
        <w:t xml:space="preserve">The integration of autonomous systems into healthcare raises ethical questions that technical performance alone cannot answer, beginning with accountability when an autonomous or semi-autonomous system contributes to a harmful outcome. Responsibility may be distributed among the clinician, the institution, and the manufacturer, and clarifying this allocation is essential both for justice to patients and for maintaining the trust on which medicine depends. Closely related is the question of informed consent, since patients have a legitimate interest in understanding when and how autonomous systems participate in their care.</w:t>
      </w:r>
    </w:p>
    <w:p>
      <w:pPr>
        <w:pStyle w:val="Normal"/>
      </w:pPr>
      <w:r>
        <w:t xml:space="preserve">Regulatory frameworks are adapting to the distinctive challenges of adaptive and learning-based medical systems, whose behavior may change after deployment in ways that traditional device approval did not anticipate. Regulators have begun to articulate approaches for software and AI as medical devices, including expectations for ongoing monitoring and controlled processes for updating models without compromising safety. These frameworks reflect a broader principle that oversight must be continuous rather than confined to a single moment of approval, matching the dynamic nature of the systems themselves. Equity is a further concern, since systems trained or validated on narrow populations may perform unevenly and inadvertently widen disparities in care.</w:t>
      </w:r>
    </w:p>
    <w:p>
      <w:pPr>
        <w:pStyle w:val="Normal"/>
      </w:pPr>
      <w:r>
        <w:t xml:space="preserve">The question of accountability deserves particular scrutiny because increasing autonomy strains the traditional attribution of responsibility. When a human uses a tool and something goes wrong, responsibility ordinarily rests with the human. But as a system takes on more of the decision and action, and especially as its behavior becomes shaped by learning rather than explicit programming, it becomes harder to say that any single human fully controlled the outcome. Some commentators describe this as a responsibility gap. The practical response is not to abandon accountability but to distribute it deliberately: manufacturers are responsible for the safety and validity of what they build and for honest communication of its limits; institutions are responsible for appropriate deployment, training, and monitoring; and clinicians remain responsible for the exercise of judgment within the authority they retain. Clarity about this allocation, established in advance rather than after harm occurs, is essential for both justice and trust.</w:t>
      </w:r>
    </w:p>
    <w:p>
      <w:pPr>
        <w:pStyle w:val="Normal"/>
      </w:pPr>
      <w:r>
        <w:t xml:space="preserve">Informed consent acquires new dimensions in this setting. Patients have a legitimate interest in knowing when an autonomous or semi-autonomous system participates materially in their care, what role it plays, and what its limitations are. Yet excessive or overly technical disclosure can overwhelm rather than inform, and the appropriate depth of explanation remains contested. Transparency is valuable not as an end in itself but as a means to preserve the patient's ability to make meaningful choices and to sustain the trust on which the therapeutic relationship depends. Designing disclosure that is honest, comprehensible, and proportionate to the stakes is an ethical task that parallels the engineering task of designing the system itself.</w:t>
      </w:r>
    </w:p>
    <w:p>
      <w:pPr>
        <w:pStyle w:val="Normal"/>
      </w:pPr>
      <w:r>
        <w:t xml:space="preserve">The workforce implications of healthcare robotics are frequently framed as a contest between automation and employment, but the more accurate picture is one of transformation. As robots assume routine and physically demanding tasks, the roles of clinicians shift toward supervision, interpretation, and the distinctly human dimensions of care that machines cannot replicate. This shift is precisely the movement along the shared-autonomy spectrum depicted in Figure 17.4: as machine authority increases, the clinician's contribution migrates from manual execution to oversight, judgment, and the management of exceptions that fall outside the system's validated envelope. Realizing the benefits of this transformation requires investment in training so that clinicians can work effectively with autonomous systems, understanding their capabilities and, crucially, their limits. The enduring theme across every domain of healthcare robotics is that technology serves best when it is designed to augment human capability and to keep human judgment, compassion, and accountability at the center of care.</w:t>
      </w:r>
    </w:p>
    <w:p>
      <w:pPr>
        <w:pStyle w:val="Normal"/>
      </w:pPr>
      <w:r>
        <w:t xml:space="preserve">Education is thus not a peripheral concern but a determinant of whether autonomous systems succeed or fail in practice. Clinicians who understand how a system reaches its conclusions, when it is likely to be wrong, and how to intervene are far better placed to use it safely than those who treat it as an inscrutable oracle. This argues for embedding the principles of automation, uncertainty, and human–machine interaction into professional training, alongside the traditional clinical curriculum. It also argues for designing systems that teach as they operate, communicating their reasoning and their confidence in ways that build accurate mental models over time. The most durable partnerships between clinicians and machines will be those in which each is intelligible to the other, and in which the introduction of autonomy is accompanied by a corresponding investment in the human expertise required to govern it wisely.</w:t>
      </w:r>
    </w:p>
    <w:p>
      <w:pPr>
        <w:pStyle w:val="Heading1"/>
      </w:pPr>
      <w:r>
        <w:t xml:space="preserve">17.4 Conclusion</w:t>
      </w:r>
    </w:p>
    <w:p>
      <w:pPr>
        <w:pStyle w:val="Normal"/>
      </w:pPr>
      <w:r>
        <w:t xml:space="preserve">Robotics and autonomous systems have become indispensable instruments across the continuum of healthcare, from the pharmacy to the operating room, the rehabilitation gym, and the patient's bedside. This chapter has traced three domains in which autonomy is reshaping practice. In drug administration, robotic dispensing, precision compounding, and closed-loop delivery are reducing errors and enabling personalized therapy, provided that human-factors engineering keeps the combined human–machine system safe. In surgery and rehabilitation, AI-assisted systems are extending the reach and precision of clinicians and delivering intensive, adaptive therapy, while the field learns to match innovation with rigorous evidence. In collaboration, robots increasingly share physical and cognitive work with care teams, demanding new approaches to safety, trust, and interaction design. The unifying insight is that the most valuable path forward is not full automation but well-engineered shared autonomy, in which responsibility, transparency, and verifiable safety are foundational and human judgment remains central. As these technologies continue to mature, their success will be measured not by the degree of autonomy they achieve but by the extent to which they make care safer, more effective, and more humane.</w:t>
      </w:r>
    </w:p>
    <w:p>
      <w:pPr>
        <w:pStyle w:val="Heading1"/>
      </w:pPr>
      <w:r>
        <w:t xml:space="preserve">References</w:t>
      </w:r>
    </w:p>
    <w:p>
      <w:pPr>
        <w:pStyle w:val="References"/>
      </w:pPr>
      <w:r>
        <w:t xml:space="preserve">[1] Taylor, R. H., Menciassi, A., Fichtinger, G., Fiorini, P., &amp; Dario, P. (2016). Medical robotics and computer-integrated surgery. In Springer Handbook of Robotics (pp. 1657–1684). Springer.</w:t>
      </w:r>
    </w:p>
    <w:p>
      <w:pPr>
        <w:pStyle w:val="References"/>
      </w:pPr>
      <w:r>
        <w:t xml:space="preserve">[2] Bogue, R. (2011). Robots in healthcare. Industrial Robot: An International Journal, 38(3), 218–223.</w:t>
      </w:r>
    </w:p>
    <w:p>
      <w:pPr>
        <w:pStyle w:val="References"/>
      </w:pPr>
      <w:r>
        <w:t xml:space="preserve">[3] Beasley, R. A. (2012). Medical robots: Current systems and research directions. Journal of Robotics, 2012, 401613.</w:t>
      </w:r>
    </w:p>
    <w:p>
      <w:pPr>
        <w:pStyle w:val="References"/>
      </w:pPr>
      <w:r>
        <w:t xml:space="preserve">[4] Yang, G.-Z., Cambias, J., Cleary, K., et al. (2017). Medical robotics—Regulatory, ethical, and legal considerations for increasing levels of autonomy. Science Robotics, 2(4), eaam8638.</w:t>
      </w:r>
    </w:p>
    <w:p>
      <w:pPr>
        <w:pStyle w:val="References"/>
      </w:pPr>
      <w:r>
        <w:t xml:space="preserve">[5] Haidegger, T. (2019). Autonomy for surgical robots: Concepts and paradigms. IEEE Transactions on Medical Robotics and Bionics, 1(2), 65–76.</w:t>
      </w:r>
    </w:p>
    <w:p>
      <w:pPr>
        <w:pStyle w:val="References"/>
      </w:pPr>
      <w:r>
        <w:t xml:space="preserve">[6] Fosch-Villaronga, E., &amp; Drukarch, H. (2021). On healthcare robots: Concepts, definitions, and considerations for healthcare robot governance. arXiv preprint arXiv:2106.03468.</w:t>
      </w:r>
    </w:p>
    <w:p>
      <w:pPr>
        <w:pStyle w:val="References"/>
      </w:pPr>
      <w:r>
        <w:t xml:space="preserve">[7] Attanasio, A., Scaglioni, B., De Momi, E., Fiorini, P., &amp; Valdastri, P. (2021). Autonomy in surgical robotics. Annual Review of Control, Robotics, and Autonomous Systems, 4, 651–679.</w:t>
      </w:r>
    </w:p>
    <w:p>
      <w:pPr>
        <w:pStyle w:val="References"/>
      </w:pPr>
      <w:r>
        <w:t xml:space="preserve">[8] Aronson, J. K. (2009). Medication errors: What they are, how they happen, and how to avoid them. QJM, 102(8), 513–521.</w:t>
      </w:r>
    </w:p>
    <w:p>
      <w:pPr>
        <w:pStyle w:val="References"/>
      </w:pPr>
      <w:r>
        <w:t xml:space="preserve">[9] James, K. L., Barlow, D., McArtney, R., et al. (2013). Incidence, type and causes of dispensing errors: A review of the literature. International Journal of Pharmacy Practice, 17(1), 9–30.</w:t>
      </w:r>
    </w:p>
    <w:p>
      <w:pPr>
        <w:pStyle w:val="References"/>
      </w:pPr>
      <w:r>
        <w:t xml:space="preserve">[10] Goundrey-Smith, S. (2014). Examining the role of new technology in pharmacy: Now and in the future. The Pharmaceutical Journal, 292, 421–424.</w:t>
      </w:r>
    </w:p>
    <w:p>
      <w:pPr>
        <w:pStyle w:val="References"/>
      </w:pPr>
      <w:r>
        <w:t xml:space="preserve">[11] Poon, E. G., Keohane, C. A., Yoon, C. S., et al. (2010). Effect of bar-code technology on the safety of medication administration. New England Journal of Medicine, 362(18), 1698–1707.</w:t>
      </w:r>
    </w:p>
    <w:p>
      <w:pPr>
        <w:pStyle w:val="References"/>
      </w:pPr>
      <w:r>
        <w:t xml:space="preserve">[12] Yaniv, A. W., &amp; Knoer, S. J. (2013). Implementation of an i.v.-compounding robot in a hospital-based cancer center pharmacy. American Journal of Health-System Pharmacy, 70(22), 2030–2037.</w:t>
      </w:r>
    </w:p>
    <w:p>
      <w:pPr>
        <w:pStyle w:val="References"/>
      </w:pPr>
      <w:r>
        <w:t xml:space="preserve">[13] Sessink, P. J. M., Trahan, J., &amp; Coyne, J. W. (2013). Reduction in surface contamination with cytostatic drugs in 22 hospital pharmacies. Journal of Oncology Pharmacy Practice, 21(2), 118–125.</w:t>
      </w:r>
    </w:p>
    <w:p>
      <w:pPr>
        <w:pStyle w:val="References"/>
      </w:pPr>
      <w:r>
        <w:t xml:space="preserve">[14] Ohashi, K., Dalleur, O., Dykes, P. C., &amp; Bates, D. W. (2014). Benefits and risks of using smart pumps to reduce medication error rates: A systematic review. Drug Safety, 37(12), 1011–1020.</w:t>
      </w:r>
    </w:p>
    <w:p>
      <w:pPr>
        <w:pStyle w:val="References"/>
      </w:pPr>
      <w:r>
        <w:t xml:space="preserve">[15] Absalom, A. R., De Keyser, R., &amp; Struys, M. M. R. F. (2011). Closed loop anesthesia: Are we getting close to finding the holy grail? Anesthesia &amp; Analgesia, 112(3), 516–518.</w:t>
      </w:r>
    </w:p>
    <w:p>
      <w:pPr>
        <w:pStyle w:val="References"/>
      </w:pPr>
      <w:r>
        <w:t xml:space="preserve">[16] Bergenstal, R. M., Garg, S., Weinzimer, S. A., et al. (2016). Safety of a hybrid closed-loop insulin delivery system in patients with type 1 diabetes. JAMA, 316(13), 1407–1408.</w:t>
      </w:r>
    </w:p>
    <w:p>
      <w:pPr>
        <w:pStyle w:val="References"/>
      </w:pPr>
      <w:r>
        <w:t xml:space="preserve">[17] Weisman, A., Bai, J.-W., Cardinez, M., Kramer, C. K., &amp; Perkins, B. A. (2017). Effect of artificial pancreas systems on glycaemic control in patients with type 1 diabetes: A systematic review and meta-analysis. The Lancet Diabetes &amp; Endocrinology, 5(7), 501–512.</w:t>
      </w:r>
    </w:p>
    <w:p>
      <w:pPr>
        <w:pStyle w:val="References"/>
      </w:pPr>
      <w:r>
        <w:t xml:space="preserve">[18] Brogi, E., Cyr, S., Kazan, R., Giunta, F., &amp; Hemmerling, T. M. (2017). Clinical performance and safety of closed-loop systems: A systematic review and meta-analysis. Anesthesia &amp; Analgesia, 124(2), 446–455.</w:t>
      </w:r>
    </w:p>
    <w:p>
      <w:pPr>
        <w:pStyle w:val="References"/>
      </w:pPr>
      <w:r>
        <w:t xml:space="preserve">[19] Guiochet, J., Machin, M., &amp; Waeselynck, H. (2017). Safety-critical advanced robots: A survey. Robotics and Autonomous Systems, 94, 43–52.</w:t>
      </w:r>
    </w:p>
    <w:p>
      <w:pPr>
        <w:pStyle w:val="References"/>
      </w:pPr>
      <w:r>
        <w:t xml:space="preserve">[20] Chapuis, C., Roustit, M., Bal, G., et al. (2010). Automated drug dispensing system reduces medication errors in an intensive care setting. Critical Care Medicine, 38(12), 2275–2281.</w:t>
      </w:r>
    </w:p>
    <w:p>
      <w:pPr>
        <w:pStyle w:val="References"/>
      </w:pPr>
      <w:r>
        <w:t xml:space="preserve">[21] Bainbridge, L. (1983). Ironies of automation. Automatica, 19(6), 775–779.</w:t>
      </w:r>
    </w:p>
    <w:p>
      <w:pPr>
        <w:pStyle w:val="References"/>
      </w:pPr>
      <w:r>
        <w:t xml:space="preserve">[22] Kane-Gill, S. L., O'Connor, M. F., Rothschild, J. M., et al. (2017). Technologic distractions (part 1): Summary of approaches to manage alert quantity with intent to reduce alert fatigue. Critical Care Medicine, 45(9), 1481–1488.</w:t>
      </w:r>
    </w:p>
    <w:p>
      <w:pPr>
        <w:pStyle w:val="References"/>
      </w:pPr>
      <w:r>
        <w:t xml:space="preserve">[23] Carayon, P., &amp; Hoonakker, P. (2019). Human factors and usability for health information technology. Yearbook of Medical Informatics, 28(1), 71–77.</w:t>
      </w:r>
    </w:p>
    <w:p>
      <w:pPr>
        <w:pStyle w:val="References"/>
      </w:pPr>
      <w:r>
        <w:t xml:space="preserve">[24] Lanfranco, A. R., Castellanos, A. E., Desai, J. P., &amp; Meyers, W. C. (2004). Robotic surgery: A current perspective. Annals of Surgery, 239(1), 14–21.</w:t>
      </w:r>
    </w:p>
    <w:p>
      <w:pPr>
        <w:pStyle w:val="References"/>
      </w:pPr>
      <w:r>
        <w:t xml:space="preserve">[25] Guthart, G. S., &amp; Salisbury, J. K. (2000). The Intuitive telesurgery system: Overview and application. IEEE International Conference on Robotics and Automation, 618–621.</w:t>
      </w:r>
    </w:p>
    <w:p>
      <w:pPr>
        <w:pStyle w:val="References"/>
      </w:pPr>
      <w:r>
        <w:t xml:space="preserve">[26] Moustris, G. P., Hiridis, S. C., Deliparaschos, K. M., &amp; Konstantinidis, K. M. (2011). Evolution of autonomous and semi-autonomous robotic surgical systems: A review. The International Journal of Medical Robotics, 7(4), 375–392.</w:t>
      </w:r>
    </w:p>
    <w:p>
      <w:pPr>
        <w:pStyle w:val="References"/>
      </w:pPr>
      <w:r>
        <w:t xml:space="preserve">[27] Madani, A., Namazi, B., Altieri, M. S., et al. (2022). Artificial intelligence for intraoperative guidance: Using semantic segmentation to identify surgical anatomy. Annals of Surgery, 276(2), 363–369.</w:t>
      </w:r>
    </w:p>
    <w:p>
      <w:pPr>
        <w:pStyle w:val="References"/>
      </w:pPr>
      <w:r>
        <w:t xml:space="preserve">[28] Garrow, C. R., Kowalewski, K.-F., Li, L., et al. (2021). Machine learning for surgical phase recognition: A systematic review. Annals of Surgery, 273(4), 684–693.</w:t>
      </w:r>
    </w:p>
    <w:p>
      <w:pPr>
        <w:pStyle w:val="References"/>
      </w:pPr>
      <w:r>
        <w:t xml:space="preserve">[29] Maier-Hein, L., Vedula, S. S., Speidel, S., et al. (2017). Surgical data science for next-generation interventions. Nature Biomedical Engineering, 1(9), 691–696.</w:t>
      </w:r>
    </w:p>
    <w:p>
      <w:pPr>
        <w:pStyle w:val="References"/>
      </w:pPr>
      <w:r>
        <w:t xml:space="preserve">[30] Saeidi, H., Opfermann, J. D., Kam, M., et al. (2022). Autonomous robotic laparoscopic surgery for intestinal anastomosis. Science Robotics, 7(62), eabj2908.</w:t>
      </w:r>
    </w:p>
    <w:p>
      <w:pPr>
        <w:pStyle w:val="References"/>
      </w:pPr>
      <w:r>
        <w:t xml:space="preserve">[31] Cleary, K., &amp; Peters, T. M. (2010). Image-guided interventions: Technology review and clinical applications. Annual Review of Biomedical Engineering, 12, 119–142.</w:t>
      </w:r>
    </w:p>
    <w:p>
      <w:pPr>
        <w:pStyle w:val="References"/>
      </w:pPr>
      <w:r>
        <w:t xml:space="preserve">[32] Lonjon, N., Chan-Seng, E., Costalat, V., et al. (2016). Robot-assisted spine surgery: Feasibility study through a prospective case-matched analysis. European Spine Journal, 25(3), 947–955.</w:t>
      </w:r>
    </w:p>
    <w:p>
      <w:pPr>
        <w:pStyle w:val="References"/>
      </w:pPr>
      <w:r>
        <w:t xml:space="preserve">[33] Allan, M., Shvets, A., Kurmann, T., et al. (2019). 2017 robotic instrument segmentation challenge. arXiv preprint arXiv:1902.06426.</w:t>
      </w:r>
    </w:p>
    <w:p>
      <w:pPr>
        <w:pStyle w:val="References"/>
      </w:pPr>
      <w:r>
        <w:t xml:space="preserve">[34] Okamura, A. M. (2009). Haptic feedback in robot-assisted minimally invasive surgery. Current Opinion in Urology, 19(1), 102–107.</w:t>
      </w:r>
    </w:p>
    <w:p>
      <w:pPr>
        <w:pStyle w:val="References"/>
      </w:pPr>
      <w:r>
        <w:t xml:space="preserve">[35] Kassahun, Y., Yu, B., Tibebu, A. T., et al. (2016). Surgical robotics beyond enhanced dexterity instrumentation: A survey of machine learning techniques. International Journal of Computer Assisted Radiology and Surgery, 11(4), 553–568.</w:t>
      </w:r>
    </w:p>
    <w:p>
      <w:pPr>
        <w:pStyle w:val="References"/>
      </w:pPr>
      <w:r>
        <w:t xml:space="preserve">[36] Amodei, D., Olah, C., Steinhardt, J., Christiano, P., Schulman, J., &amp; Mané, D. (2016). Concrete problems in AI safety. arXiv preprint arXiv:1606.06565.</w:t>
      </w:r>
    </w:p>
    <w:p>
      <w:pPr>
        <w:pStyle w:val="References"/>
      </w:pPr>
      <w:r>
        <w:t xml:space="preserve">[37] Krebs, H. I., &amp; Hogan, N. (2012). Robotic therapy: The tipping point. American Journal of Physical Medicine &amp; Rehabilitation, 91(11), S290–S297.</w:t>
      </w:r>
    </w:p>
    <w:p>
      <w:pPr>
        <w:pStyle w:val="References"/>
      </w:pPr>
      <w:r>
        <w:t xml:space="preserve">[38] Kwakkel, G., Kollen, B. J., &amp; Krebs, H. I. (2008). Effects of robot-assisted therapy on upper limb recovery after stroke: A systematic review. Neurorehabilitation and Neural Repair, 22(2), 111–121.</w:t>
      </w:r>
    </w:p>
    <w:p>
      <w:pPr>
        <w:pStyle w:val="References"/>
      </w:pPr>
      <w:r>
        <w:t xml:space="preserve">[39] Marchal-Crespo, L., &amp; Reinkensmeyer, D. J. (2009). Review of control strategies for robotic movement training after neurologic injury. Journal of NeuroEngineering and Rehabilitation, 6(1), 20.</w:t>
      </w:r>
    </w:p>
    <w:p>
      <w:pPr>
        <w:pStyle w:val="References"/>
      </w:pPr>
      <w:r>
        <w:t xml:space="preserve">[40] Ajiboye, A. B., Willett, F. R., Young, D. R., et al. (2017). Restoration of reaching and grasping movements through brain-controlled muscle stimulation in a person with tetraplegia. The Lancet, 389(10081), 1821–1830.</w:t>
      </w:r>
    </w:p>
    <w:p>
      <w:pPr>
        <w:pStyle w:val="References"/>
      </w:pPr>
      <w:r>
        <w:t xml:space="preserve">[41] Mehrholz, J., Pohl, M., Platz, T., Kugler, J., &amp; Elsner, B. (2018). Electromechanical and robot-assisted arm training for improving activities of daily living, arm function, and arm muscle strength after stroke. Cochrane Database of Systematic Reviews, 9, CD006876.</w:t>
      </w:r>
    </w:p>
    <w:p>
      <w:pPr>
        <w:pStyle w:val="References"/>
      </w:pPr>
      <w:r>
        <w:t xml:space="preserve">[42] Sheetz, K. H., Claflin, J., &amp; Dimick, J. B. (2020). Trends in the adoption of robotic surgery for common surgical procedures. JAMA Network Open, 3(1), e1918911.</w:t>
      </w:r>
    </w:p>
    <w:p>
      <w:pPr>
        <w:pStyle w:val="References"/>
      </w:pPr>
      <w:r>
        <w:t xml:space="preserve">[43] Klamroth-Marganska, V., Blanco, J., Campen, K., et al. (2014). Three-dimensional, task-specific robot therapy of the arm after stroke: A multicentre, parallel-group randomised trial. The Lancet Neurology, 13(2), 159–166.</w:t>
      </w:r>
    </w:p>
    <w:p>
      <w:pPr>
        <w:pStyle w:val="References"/>
      </w:pPr>
      <w:r>
        <w:t xml:space="preserve">[44] Ajoudani, A., Zanchettin, A. M., Ivaldi, S., Albu-Schäffer, A., Kosuge, K., &amp; Khatib, O. (2018). Progress and prospects of the human–robot collaboration. Autonomous Robots, 42(5), 957–975.</w:t>
      </w:r>
    </w:p>
    <w:p>
      <w:pPr>
        <w:pStyle w:val="References"/>
      </w:pPr>
      <w:r>
        <w:t xml:space="preserve">[45] Goodrich, M. A., &amp; Schultz, A. C. (2007). Human–robot interaction: A survey. Foundations and Trends in Human–Computer Interaction, 1(3), 203–275.</w:t>
      </w:r>
    </w:p>
    <w:p>
      <w:pPr>
        <w:pStyle w:val="References"/>
      </w:pPr>
      <w:r>
        <w:t xml:space="preserve">[46] Losey, D. P., McDonald, C. G., Battaglia, E., &amp; O'Malley, M. K. (2018). A review of intent detection, arbitration, and communication aspects of shared control for physical human–robot interaction. Applied Mechanics Reviews, 70(1), 010804.</w:t>
      </w:r>
    </w:p>
    <w:p>
      <w:pPr>
        <w:pStyle w:val="References"/>
      </w:pPr>
      <w:r>
        <w:t xml:space="preserve">[47] Riek, L. D. (2017). Healthcare robotics. Communications of the ACM, 60(11), 68–78.</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8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7_1_Closed_Loop_Drug_Delivery.png"/>
  <Relationship Id="rIdImg2" Type="http://schemas.openxmlformats.org/officeDocument/2006/relationships/image" Target="media/Figure_17_2_Surgical_Control_Architecture.png"/>
  <Relationship Id="rIdImg3" Type="http://schemas.openxmlformats.org/officeDocument/2006/relationships/image" Target="media/Figure_17_3_Human_Robot_Collaboration.png"/>
  <Relationship Id="rIdImg4" Type="http://schemas.openxmlformats.org/officeDocument/2006/relationships/image" Target="media/Figure_17_4_Shared_Autonomy_Spectrum.png"/>
</Relationships>
</file>