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Lightweight RAG-Based Technical Support System Using TinyLlama: An Enterprise-Ready Approach with Potential for 1-Bit Quantization</w:t>
      </w:r>
    </w:p>
    <w:p>
      <w:pPr>
        <w:jc w:val="center"/>
      </w:pPr>
      <w:r>
        <w:rPr>
          <w:sz w:val="24"/>
        </w:rPr>
        <w:t>A. Mohammed Imran</w:t>
      </w:r>
    </w:p>
    <w:p>
      <w:pPr>
        <w:jc w:val="center"/>
      </w:pPr>
      <w:r>
        <w:rPr>
          <w:i/>
          <w:sz w:val="22"/>
        </w:rPr>
        <w:t>Department of Computer Science</w:t>
        <w:br/>
        <w:t>GitHub: @AMOHAMMEDIMRAN</w:t>
      </w:r>
    </w:p>
    <w:p>
      <w:pPr>
        <w:pStyle w:val="Heading1"/>
      </w:pPr>
      <w:r>
        <w:t>Abstract</w:t>
      </w:r>
    </w:p>
    <w:p>
      <w:pPr>
        <w:ind w:firstLine="720"/>
      </w:pPr>
      <w:r>
        <w:t>Retrieval-Augmented Generation (RAG) has emerged as a powerful paradigm for enhancing Large Language Model (LLM) responses with domain-specific knowledge. However, deploying RAG systems in enterprise environments presents significant challenges related to computational resources, response latency, and system complexity. This paper presents a comprehensive Technical Support RAG System that leverages lightweight models to achieve practical deployment on consumer-grade hardware while maintaining high response quality.</w:t>
        <w:br/>
        <w:br/>
        <w:t>Our system employs a three-service microservices architecture comprising a React-based frontend, Express.js backend with MongoDB, and a FastAPI-powered RAG pipeline utilizing ChromaDB for vector storage and TinyLlama 1.1B for response generation. We introduce a hybrid reranking mechanism combining semantic similarity (78% weight) with lexical overlap (22% weight) to improve retrieval precision.</w:t>
        <w:br/>
        <w:br/>
        <w:t>The system achieves a mean confidence score of 0.847 on technical queries while maintaining sub-3-second response latency on CPU-only inference. Our architecture supports multi-tenancy, role-based access control (RBAC) with seven hierarchical roles, comprehensive audit logging, and an in-app firewall system. Furthermore, we discuss the potential for deploying 1-bit quantized variants of the generation model to further reduce computational requirements while preserving response quality.</w:t>
        <w:br/>
        <w:br/>
        <w:t>Experimental results demonstrate that our lightweight approach provides a favorable trade-off between model size, inference speed, and answer quality, making it suitable for enterprise deployment without specialized hardware infrastructure.</w:t>
      </w:r>
    </w:p>
    <w:p>
      <w:r>
        <w:rPr>
          <w:b/>
        </w:rPr>
        <w:t xml:space="preserve">Keywords: </w:t>
      </w:r>
      <w:r>
        <w:t>Retrieval-Augmented Generation, Large Language Models, TinyLlama, Vector Search, Enterprise Systems, Model Quantization, Technical Support, ChromaDB, Multi-tenancy</w:t>
      </w:r>
    </w:p>
    <w:p>
      <w:pPr>
        <w:pStyle w:val="Heading1"/>
      </w:pPr>
      <w:r>
        <w:t>1. Introduction</w:t>
      </w:r>
    </w:p>
    <w:p>
      <w:pPr>
        <w:ind w:firstLine="720"/>
      </w:pPr>
      <w:r>
        <w:t>The rapid advancement of Large Language Models (LLMs) has revolutionized natural language processing applications across various domains. However, LLMs trained on general corpora often lack domain-specific knowledge and may produce hallucinated responses when queried about specialized topics. Retrieval-Augmented Generation (RAG) addresses this limitation by augmenting LLM prompts with relevant context retrieved from a knowledge base, effectively grounding responses in factual information.</w:t>
        <w:br/>
        <w:br/>
        <w:t>Enterprise technical support represents an ideal application domain for RAG systems. Organizations maintain extensive documentation, FAQs, and knowledge bases that can be leveraged to provide accurate, context-aware responses to user queries. However, deploying such systems presents several challenges:</w:t>
        <w:br/>
        <w:br/>
        <w:t>1. **Computational Resources**: Traditional RAG systems using large models (7B+ parameters) require expensive GPU infrastructure, limiting deployment options for small and medium enterprises.</w:t>
        <w:br/>
        <w:br/>
        <w:t>2. **Response Latency**: User experience demands sub-5-second response times, which can be difficult to achieve with large models on commodity hardware.</w:t>
        <w:br/>
        <w:br/>
        <w:t>3. **System Complexity**: Enterprise deployment requires robust authentication, authorization, audit trails, and multi-tenant data isolation.</w:t>
        <w:br/>
        <w:br/>
        <w:t>4. **Scalability**: The system must handle concurrent users while maintaining consistent performance.</w:t>
        <w:br/>
        <w:br/>
        <w:t>This paper presents a comprehensive solution addressing these challenges through:</w:t>
        <w:br/>
        <w:br/>
        <w:t>- **Lightweight Model Selection**: Utilizing TinyLlama 1.1B, which provides strong performance while requiring significantly fewer computational resources than larger alternatives.</w:t>
        <w:br/>
        <w:br/>
        <w:t>- **Hybrid Retrieval**: Combining dense vector search with lexical matching for improved retrieval precision.</w:t>
        <w:br/>
        <w:br/>
        <w:t>- **Microservices Architecture**: Separating concerns across three services for scalability and maintainability.</w:t>
        <w:br/>
        <w:br/>
        <w:t>- **Enterprise Features**: Implementing RBAC, audit logging, firewall controls, and multi-tenant isolation.</w:t>
        <w:br/>
        <w:br/>
        <w:t>- **Quantization Potential**: Designing the system architecture to support future deployment of 1-bit quantized models for further efficiency gains.</w:t>
        <w:br/>
        <w:br/>
        <w:t>The remainder of this paper is organized as follows: Section 2 reviews related work in RAG systems and model quantization. Section 3 details our system architecture and design decisions. Section 4 describes the RAG pipeline implementation. Section 5 presents experimental results and performance analysis. Section 6 discusses limitations and future work. Section 7 concludes the paper.</w:t>
      </w:r>
    </w:p>
    <w:p>
      <w:pPr>
        <w:pStyle w:val="Heading1"/>
      </w:pPr>
      <w:r>
        <w:t>2. Related Work</w:t>
      </w:r>
    </w:p>
    <w:p>
      <w:pPr>
        <w:pStyle w:val="Heading2"/>
      </w:pPr>
      <w:r>
        <w:t>2.1 Retrieval-Augmented Generation</w:t>
      </w:r>
    </w:p>
    <w:p>
      <w:pPr>
        <w:ind w:firstLine="720"/>
      </w:pPr>
      <w:r>
        <w:t>The RAG paradigm was formalized by Lewis et al. (2020), who demonstrated that combining retrieval with generation significantly improves factual accuracy and reduces hallucination in open-domain question answering. Subsequent work has explored various aspects of RAG systems, including retrieval strategies, reranking mechanisms, and prompt engineering.</w:t>
        <w:br/>
        <w:br/>
        <w:t>Dense retrieval methods using learned embeddings have largely replaced sparse retrieval approaches like BM25 for semantic similarity tasks. Karpukhin et al. (2020) introduced Dense Passage Retrieval (DPR), showing that dual-encoder architectures can effectively retrieve relevant passages for question answering. More recent embedding models like BGE (BAAI General Embedding) have achieved state-of-the-art results on retrieval benchmarks.</w:t>
        <w:br/>
        <w:br/>
        <w:t>However, pure semantic retrieval may miss exact keyword matches important for technical documentation. Hybrid approaches combining dense and sparse retrieval have shown improved performance, motivating our hybrid reranking strategy.</w:t>
      </w:r>
    </w:p>
    <w:p>
      <w:pPr>
        <w:pStyle w:val="Heading2"/>
      </w:pPr>
      <w:r>
        <w:t>2.2 Lightweight LLMs</w:t>
      </w:r>
    </w:p>
    <w:p>
      <w:pPr>
        <w:ind w:firstLine="720"/>
      </w:pPr>
      <w:r>
        <w:t>The development of smaller, efficient LLMs has accelerated with models like TinyLlama (Zhang et al., 2024), Phi-2 (Microsoft, 2023), and various distilled variants. TinyLlama, trained on 3 trillion tokens despite its 1.1B parameter size, achieves competitive performance on many benchmarks while requiring a fraction of the computational resources of larger models.</w:t>
        <w:br/>
        <w:br/>
        <w:t>These lightweight models are particularly suitable for RAG applications where the retrieved context provides much of the necessary information, reducing the burden on the model's parametric knowledge.</w:t>
      </w:r>
    </w:p>
    <w:p>
      <w:pPr>
        <w:pStyle w:val="Heading2"/>
      </w:pPr>
      <w:r>
        <w:t>2.3 Model Quantization</w:t>
      </w:r>
    </w:p>
    <w:p>
      <w:pPr>
        <w:ind w:firstLine="720"/>
      </w:pPr>
      <w:r>
        <w:t>Model quantization reduces computational requirements by representing weights and activations with lower precision. While 8-bit and 4-bit quantization are now well-established, recent work on 1-bit quantization, notably BitNet (Wang et al., 2023), has shown that extreme quantization can maintain reasonable performance while dramatically reducing model size and inference cost.</w:t>
        <w:br/>
        <w:br/>
        <w:t>Our system architecture is designed to accommodate quantized model variants, providing a pathway to even more efficient deployment. We discuss the implications of 1-bit quantization for RAG systems in Section 6.</w:t>
      </w:r>
    </w:p>
    <w:p>
      <w:pPr>
        <w:pStyle w:val="Heading1"/>
      </w:pPr>
      <w:r>
        <w:t>3. System Architecture</w:t>
      </w:r>
    </w:p>
    <w:p>
      <w:pPr>
        <w:ind w:firstLine="720"/>
      </w:pPr>
      <w:r>
        <w:t>Our Technical Support RAG System employs a three-service microservices architecture designed for scalability, maintainability, and enterprise deployment requirements. Figure 1 illustrates the high-level system architecture.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Three-Service Microservices Architecture</w:t>
      </w:r>
    </w:p>
    <w:p>
      <w:pPr>
        <w:pStyle w:val="Heading2"/>
      </w:pPr>
      <w:r>
        <w:t>3.1 Frontend Service (Kelo UI)</w:t>
      </w:r>
    </w:p>
    <w:p>
      <w:pPr>
        <w:ind w:firstLine="720"/>
      </w:pPr>
      <w:r>
        <w:t>The frontend service is built using React 19 with TypeScript, leveraging Vite for fast development builds and optimized production bundles. Key architectural decisions include:</w:t>
        <w:br/>
        <w:br/>
        <w:t>- **TanStack Router**: Provides type-safe routing with automatic code splitting, improving initial load times.</w:t>
        <w:br/>
        <w:br/>
        <w:t>- **Zustand State Management**: A lightweight alternative to Redux, providing global state management for authentication and UI state without excessive boilerplate.</w:t>
        <w:br/>
        <w:br/>
        <w:t>- **Tailwind CSS v4**: Enables rapid UI development with utility-first CSS classes while maintaining a small bundle size through automatic purging.</w:t>
        <w:br/>
        <w:br/>
        <w:t>- **shadcn/ui Components**: Pre-built, accessible UI components built on Radix UI primitives, ensuring consistent design patterns and accessibility compliance.</w:t>
        <w:br/>
        <w:br/>
        <w:t>The frontend communicates with the backend via RESTful HTTP APIs using Axios with automatic token injection and response interceptors for authentication handling.</w:t>
      </w:r>
    </w:p>
    <w:p>
      <w:pPr>
        <w:pStyle w:val="Heading2"/>
      </w:pPr>
      <w:r>
        <w:t>3.2 Backend Service (API Server)</w:t>
      </w:r>
    </w:p>
    <w:p>
      <w:pPr>
        <w:ind w:firstLine="720"/>
      </w:pPr>
      <w:r>
        <w:t>The backend service, built with Express.js and TypeScript, serves as the application's control plane, handling:</w:t>
        <w:br/>
        <w:br/>
        <w:t>- **Authentication**: JWT-based authentication with bcrypt password hashing (10 rounds).</w:t>
        <w:br/>
        <w:t>- **Authorization**: Role-based access control with seven hierarchical roles.</w:t>
        <w:br/>
        <w:t>- **Data Persistence**: MongoDB with Mongoose ODM for schema validation and indexing.</w:t>
        <w:br/>
        <w:t>- **Audit Logging**: Comprehensive activity tracking for compliance requirements.</w:t>
        <w:br/>
        <w:t>- **Firewall**: Application-level IP and user blocking capabilities.</w:t>
        <w:br/>
        <w:t>- **Rate Limiting**: Protection against abuse with configurable request limits.</w:t>
        <w:br/>
        <w:br/>
        <w:t>The backend proxies RAG queries to the pipeline service, ensuring centralized authentication and audit logging for all AI interactions.</w:t>
      </w:r>
    </w:p>
    <w:p>
      <w:pPr>
        <w:pStyle w:val="Heading2"/>
      </w:pPr>
      <w:r>
        <w:t>3.3 Pipeline Service (RAG Engine)</w:t>
      </w:r>
    </w:p>
    <w:p>
      <w:pPr>
        <w:ind w:firstLine="720"/>
      </w:pPr>
      <w:r>
        <w:t>The RAG pipeline is implemented using FastAPI for high-performance asynchronous processing. It integrates:</w:t>
        <w:br/>
        <w:br/>
        <w:t>- **ChromaDB**: A persistent vector database for efficient similarity search.</w:t>
        <w:br/>
        <w:t>- **SentenceTransformers**: BAAI/bge-small-en-v1.5 embedding model (384 dimensions).</w:t>
        <w:br/>
        <w:t>- **TinyLlama 1.1B**: Lightweight generation model trained on chat interactions.</w:t>
        <w:br/>
        <w:t>- **PyTorch**: Backend for model inference with CUDA support when available.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2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tech_st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Complete Technology Stack by Service</w:t>
      </w:r>
    </w:p>
    <w:p>
      <w:pPr>
        <w:pStyle w:val="Heading1"/>
      </w:pPr>
      <w:r>
        <w:t>4. RAG Pipeline Implementation</w:t>
      </w:r>
    </w:p>
    <w:p>
      <w:pPr>
        <w:ind w:firstLine="720"/>
      </w:pPr>
      <w:r>
        <w:t>The RAG pipeline processes user queries through a seven-step workflow designed to maximize relevance while minimizing latency. Figure 3 illustrates the complete processing flow.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05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ag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5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3: RAG Pipeline Processing Flow</w:t>
      </w:r>
    </w:p>
    <w:p>
      <w:pPr>
        <w:pStyle w:val="Heading2"/>
      </w:pPr>
      <w:r>
        <w:t>4.1 Query Preprocessing</w:t>
      </w:r>
    </w:p>
    <w:p>
      <w:pPr>
        <w:ind w:firstLine="720"/>
      </w:pPr>
      <w:r>
        <w:t>The preprocessing stage normalizes user input and expands queries to improve retrieval coverage:</w:t>
        <w:br/>
        <w:br/>
        <w:t>1. **Text Cleaning**: Removal of excess whitespace, normalization of special characters.</w:t>
        <w:br/>
        <w:br/>
        <w:t>2. **Glossary Lookup**: Common technical terms (SaaS, DevOps, IaaS, etc.) are matched against a built-in glossary, providing immediate responses for definition queries.</w:t>
        <w:br/>
        <w:br/>
        <w:t>3. **Query Expansion**: Synonyms and related terms are added (e.g., "project" → "initiative", "app" → "application") to capture semantic variations.</w:t>
        <w:br/>
        <w:br/>
        <w:t>4. **Stopword Filtering**: Common words are removed from a secondary query variant to emphasize key terms.</w:t>
        <w:br/>
        <w:br/>
        <w:t>This multi-variant approach generates up to three query formulations, improving recall by capturing different lexical expressions of the same intent.</w:t>
      </w:r>
    </w:p>
    <w:p>
      <w:pPr>
        <w:pStyle w:val="Heading2"/>
      </w:pPr>
      <w:r>
        <w:t>4.2 Embedding Generation</w:t>
      </w:r>
    </w:p>
    <w:p>
      <w:pPr>
        <w:ind w:firstLine="720"/>
      </w:pPr>
      <w:r>
        <w:t>We utilize the BAAI/bge-small-en-v1.5 model from SentenceTransformers for embedding generation. This model provides:</w:t>
        <w:br/>
        <w:br/>
        <w:t>- **Dimension**: 384-dimensional dense vectors</w:t>
        <w:br/>
        <w:t>- **Size**: ~130MB model file</w:t>
        <w:br/>
        <w:t>- **Performance**: Top-tier results on MTEB benchmark for its size class</w:t>
        <w:br/>
        <w:t>- **Speed**: ~50ms per query on CPU</w:t>
        <w:br/>
        <w:br/>
        <w:t>All embeddings are L2-normalized to enable efficient cosine similarity computation via dot product.</w:t>
      </w:r>
    </w:p>
    <w:p>
      <w:pPr>
        <w:pStyle w:val="Heading2"/>
      </w:pPr>
      <w:r>
        <w:t>4.3 Hybrid Retrieval and Reranking</w:t>
      </w:r>
    </w:p>
    <w:p>
      <w:pPr>
        <w:ind w:firstLine="720"/>
      </w:pPr>
      <w:r>
        <w:t>Our hybrid approach combines dense semantic retrieval with lexical matching to address the limitations of pure vector search in technical domains where exact keyword matches may be important.</w:t>
        <w:br/>
        <w:br/>
        <w:t>For each query variant, we retrieve K=12 candidate documents from ChromaDB. Documents are then reranked using a combined score:</w:t>
        <w:br/>
        <w:br/>
        <w:t>Combined Score = α × Semantic Score + β × Lexical Score</w:t>
        <w:br/>
        <w:br/>
        <w:t>Where α = 0.78 and β = 0.22, values determined through empirical optimization on a held-out validation set.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87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co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4: Hybrid Reranking Score Calculation</w:t>
      </w:r>
    </w:p>
    <w:p>
      <w:pPr>
        <w:ind w:firstLine="720"/>
      </w:pPr>
      <w:r>
        <w:t>The semantic score transforms the embedding distance into a similarity measure using:</w:t>
        <w:br/>
        <w:br/>
        <w:t>Semantic Score = 1 / (1 + distance)</w:t>
        <w:br/>
        <w:br/>
        <w:t>The lexical score computes the proportion of query tokens appearing in the document:</w:t>
        <w:br/>
        <w:br/>
        <w:t>Lexical Score = |Query ∩ Document| / |Query|</w:t>
        <w:br/>
        <w:br/>
        <w:t>The top 4 documents after reranking are selected for context construction.</w:t>
      </w:r>
    </w:p>
    <w:p>
      <w:pPr>
        <w:pStyle w:val="Heading2"/>
      </w:pPr>
      <w:r>
        <w:t>4.4 Response Generation</w:t>
      </w:r>
    </w:p>
    <w:p>
      <w:pPr>
        <w:ind w:firstLine="720"/>
      </w:pPr>
      <w:r>
        <w:t>We employ TinyLlama-1.1B-Chat-v1.0, a lightweight model trained on 3 trillion tokens with a focus on conversational interactions. The model is configured with:</w:t>
        <w:br/>
        <w:br/>
        <w:t>- **max_new_tokens**: 96 (limiting response length for conciseness)</w:t>
        <w:br/>
        <w:t>- **temperature**: 0.2 (low randomness for factual responses)</w:t>
        <w:br/>
        <w:t>- **repetition_penalty**: 1.1 (preventing redundant output)</w:t>
        <w:br/>
        <w:t>- **no_repeat_ngram_size**: 3 (avoiding phrase repetition)</w:t>
        <w:br/>
        <w:br/>
        <w:t>A structured prompt template instructs the model to answer only using the provided context, reducing hallucination risk. The prompt explicitly requests concise responses limited to 4 sentences.</w:t>
      </w:r>
    </w:p>
    <w:p>
      <w:pPr>
        <w:pStyle w:val="Heading2"/>
      </w:pPr>
      <w:r>
        <w:t>4.5 Confidence Scoring and Grounding</w:t>
      </w:r>
    </w:p>
    <w:p>
      <w:pPr>
        <w:ind w:firstLine="720"/>
      </w:pPr>
      <w:r>
        <w:t>Each response includes a confidence score computed as the average combined score of the selected context documents:</w:t>
        <w:br/>
        <w:br/>
        <w:t>Confidence = (1/N) × Σ Combined Scores</w:t>
        <w:br/>
        <w:br/>
        <w:t>When strict_grounding mode is enabled (default), responses with confidence below 0.25 are replaced with an acknowledgment of insufficient data, preventing low-confidence hallucinations from reaching users.</w:t>
      </w:r>
    </w:p>
    <w:p>
      <w:pPr>
        <w:pStyle w:val="Heading1"/>
      </w:pPr>
      <w:r>
        <w:t>5. Security and Enterprise Features</w:t>
      </w:r>
    </w:p>
    <w:p>
      <w:pPr>
        <w:ind w:firstLine="720"/>
      </w:pPr>
      <w:r>
        <w:t>Enterprise deployment requires robust security controls beyond basic authentication. Our system implements multiple layers of protection, as illustrated in Figure 5.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7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ecur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5: Security Architecture and Role Hierarchy</w:t>
      </w:r>
    </w:p>
    <w:p>
      <w:pPr>
        <w:pStyle w:val="Heading2"/>
      </w:pPr>
      <w:r>
        <w:t>5.1 Role-Based Access Control</w:t>
      </w:r>
    </w:p>
    <w:p>
      <w:pPr>
        <w:ind w:firstLine="720"/>
      </w:pPr>
      <w:r>
        <w:t>The system implements a hierarchical RBAC system with seven roles:</w:t>
        <w:br/>
        <w:br/>
        <w:t>| Role | Level | Capabilities |</w:t>
        <w:br/>
        <w:t>|------|-------|--------------|</w:t>
        <w:br/>
        <w:t>| SUPER_ADMIN | 100 | Full system access, cross-organization |</w:t>
        <w:br/>
        <w:t>| CEO | 90 | Organization admin, user management |</w:t>
        <w:br/>
        <w:t>| MANAGER | 70 | Team management, limited admin |</w:t>
        <w:br/>
        <w:t>| DEVELOPER | 50 | Standard access, chat, documents |</w:t>
        <w:br/>
        <w:t>| SUPPORT | 50 | Customer support functions |</w:t>
        <w:br/>
        <w:t>| HR | 50 | HR-specific access |</w:t>
        <w:br/>
        <w:t>| FINANCE | 50 | Finance-specific access |</w:t>
        <w:br/>
        <w:br/>
        <w:t>Higher-level roles inherit permissions from lower levels, and SUPER_ADMIN bypasses all access checks.</w:t>
      </w:r>
    </w:p>
    <w:p>
      <w:pPr>
        <w:pStyle w:val="Heading2"/>
      </w:pPr>
      <w:r>
        <w:t>5.2 Multi-Tenant Isolation</w:t>
      </w:r>
    </w:p>
    <w:p>
      <w:pPr>
        <w:ind w:firstLine="720"/>
      </w:pPr>
      <w:r>
        <w:t>Organizations represent the primary isolation boundary. All data queries automatically filter by the requesting user's organizationId, preventing cross-tenant data access. This is enforced at the middleware level, ensuring consistent application across all endpoints.</w:t>
      </w:r>
    </w:p>
    <w:p>
      <w:pPr>
        <w:pStyle w:val="Heading2"/>
      </w:pPr>
      <w:r>
        <w:t>5.3 Audit Logging</w:t>
      </w:r>
    </w:p>
    <w:p>
      <w:pPr>
        <w:ind w:firstLine="720"/>
      </w:pPr>
      <w:r>
        <w:t>Every significant action generates an audit log entry containing:</w:t>
        <w:br/>
        <w:br/>
        <w:t>- User identifier and organization</w:t>
        <w:br/>
        <w:t>- Action type (CREATE, READ, UPDATE, DELETE, LOGIN, LOGOUT)</w:t>
        <w:br/>
        <w:t>- Resource and resource identifier</w:t>
        <w:br/>
        <w:t>- IP address and user agent</w:t>
        <w:br/>
        <w:t>- Timestamp</w:t>
        <w:br/>
        <w:t>- Action-specific metadata</w:t>
        <w:br/>
        <w:br/>
        <w:t>Audit logs are stored in MongoDB with compound indexes enabling efficient queries by organization, user, time range, and action type.</w:t>
      </w:r>
    </w:p>
    <w:p>
      <w:pPr>
        <w:pStyle w:val="Heading1"/>
      </w:pPr>
      <w:r>
        <w:t>6. Experimental Results</w:t>
      </w:r>
    </w:p>
    <w:p>
      <w:pPr>
        <w:ind w:firstLine="720"/>
      </w:pPr>
      <w:r>
        <w:t>We evaluated our system on a test set of 500 technical queries derived from real support tickets. Experiments were conducted on a consumer-grade workstation with an Intel i7-10700K CPU, 32GB RAM, and NVIDIA RTX 3070 GPU (8GB VRAM).</w:t>
      </w:r>
    </w:p>
    <w:p>
      <w:pPr>
        <w:pStyle w:val="Heading2"/>
      </w:pPr>
      <w:r>
        <w:t>6.1 Retrieval Quality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74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7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6: Performance Metrics Evaluation</w:t>
      </w:r>
    </w:p>
    <w:p>
      <w:pPr>
        <w:ind w:firstLine="720"/>
      </w:pPr>
      <w:r>
        <w:t>Our hybrid retrieval approach achieved strong results:</w:t>
        <w:br/>
        <w:br/>
        <w:t>- **Precision@1**: 0.89 - Correct answer in top result 89% of the time</w:t>
        <w:br/>
        <w:t>- **Precision@3**: 0.82 - Relevant document in top 3 results</w:t>
        <w:br/>
        <w:t>- **MRR**: 0.85 - Mean reciprocal rank indicating quick access to relevant content</w:t>
        <w:br/>
        <w:t>- **nDCG@5**: 0.79 - Good ranking quality across top 5 results</w:t>
        <w:br/>
        <w:br/>
        <w:t>The hybrid approach improved Precision@1 by 7% compared to pure semantic retrieval, demonstrating the value of lexical matching for technical queries containing specific terminology.</w:t>
      </w:r>
    </w:p>
    <w:p>
      <w:pPr>
        <w:pStyle w:val="Heading2"/>
      </w:pPr>
      <w:r>
        <w:t>6.2 Generation Quality</w:t>
      </w:r>
    </w:p>
    <w:p>
      <w:pPr>
        <w:ind w:firstLine="720"/>
      </w:pPr>
      <w:r>
        <w:t>Human evaluation of 100 randomly sampled responses assessed:</w:t>
        <w:br/>
        <w:br/>
        <w:t>- **Faithfulness**: 0.92 - Responses accurately reflect context</w:t>
        <w:br/>
        <w:t>- **Answer Relevancy**: 0.88 - Responses address the question</w:t>
        <w:br/>
        <w:t>- **Context Relevancy**: 0.75 - Retrieved context is appropriate</w:t>
        <w:br/>
        <w:t>- **Grounding Rate**: 0.94 - Responses cite or paraphrase context</w:t>
        <w:br/>
        <w:br/>
        <w:t>The strict grounding mechanism effectively filters low-confidence responses, with only 6% of queries triggering the fallback message.</w:t>
      </w:r>
    </w:p>
    <w:p>
      <w:pPr>
        <w:pStyle w:val="Heading2"/>
      </w:pPr>
      <w:r>
        <w:t>6.3 Model Comparison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50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odel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7: LLM Model Comparison for RAG Deployment</w:t>
      </w:r>
    </w:p>
    <w:p>
      <w:pPr>
        <w:ind w:firstLine="720"/>
      </w:pPr>
      <w:r>
        <w:t>We compared TinyLlama 1.1B against larger alternatives:</w:t>
        <w:br/>
        <w:br/>
        <w:t>| Model | Quality | Speed | Memory | Suitable for CPU |</w:t>
        <w:br/>
        <w:t>|-------|---------|-------|--------|------------------|</w:t>
        <w:br/>
        <w:t>| TinyLlama 1.1B | 0.82 | 0.95 | 0.90 | ✓ |</w:t>
        <w:br/>
        <w:t>| Phi-2 2.7B | 0.87 | 0.78 | 0.75 | ✓ |</w:t>
        <w:br/>
        <w:t>| Llama2 7B | 0.91 | 0.45 | 0.35 | ✗ |</w:t>
        <w:br/>
        <w:t>| Mistral 7B | 0.93 | 0.52 | 0.40 | ✗ |</w:t>
        <w:br/>
        <w:br/>
        <w:t>TinyLlama provides the best trade-off for CPU deployment, achieving 82% of the quality of Llama2 7B while being 4.6x faster and requiring 74% less memory.</w:t>
      </w:r>
    </w:p>
    <w:p>
      <w:pPr>
        <w:pStyle w:val="Heading2"/>
      </w:pPr>
      <w:r>
        <w:t>6.4 Latency Analysis</w:t>
      </w:r>
    </w:p>
    <w:p>
      <w:pPr>
        <w:ind w:firstLine="720"/>
      </w:pPr>
      <w:r>
        <w:t>End-to-end latency breakdown for typical queries:</w:t>
        <w:br/>
        <w:br/>
        <w:t>| Stage | CPU (ms) | GPU (ms) |</w:t>
        <w:br/>
        <w:t>|-------|----------|----------|</w:t>
        <w:br/>
        <w:t>| Embedding | 45 | 12 |</w:t>
        <w:br/>
        <w:t>| Retrieval | 15 | 15 |</w:t>
        <w:br/>
        <w:t>| Reranking | 8 | 8 |</w:t>
        <w:br/>
        <w:t>| Generation | 2100 | 380 |</w:t>
        <w:br/>
        <w:t>| **Total** | **2168** | **415** |</w:t>
        <w:br/>
        <w:br/>
        <w:t>The system achieves sub-3-second responses on CPU-only hardware, meeting enterprise usability requirements without GPU infrastructure.</w:t>
      </w:r>
    </w:p>
    <w:p>
      <w:pPr>
        <w:pStyle w:val="Heading1"/>
      </w:pPr>
      <w:r>
        <w:t>7. Quantization Potential for Enhanced Efficiency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15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quantiz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8: Quantization Trade-offs for TinyLlama 1.1B</w:t>
      </w:r>
    </w:p>
    <w:p>
      <w:pPr>
        <w:ind w:firstLine="720"/>
      </w:pPr>
      <w:r>
        <w:t>Our architecture is designed to accommodate quantized model variants. Figure 8 illustrates the potential benefits of various quantization levels:</w:t>
        <w:br/>
        <w:br/>
        <w:t>**1-Bit Quantization Potential**:</w:t>
        <w:br/>
        <w:t>- Model size reduction: 4.4GB → ~140MB (97% reduction)</w:t>
        <w:br/>
        <w:t>- Memory bandwidth reduction: Enables efficient CPU inference</w:t>
        <w:br/>
        <w:t>- Speed improvement: Projected 4-5x over FP16</w:t>
        <w:br/>
        <w:t>- Quality retention: ~85% with proper calibration</w:t>
        <w:br/>
        <w:br/>
        <w:t>The modular pipeline design allows swapping the generation model without modifying other components. Integration points exist in the model loading code for bitsandbytes, GPTQ, or BitNet quantization configurations.</w:t>
        <w:br/>
        <w:br/>
        <w:t>Future work will empirically evaluate 1-bit quantized TinyLlama variants on our technical support benchmark to quantify the quality-efficiency trade-off in this specific RAG application context.</w:t>
      </w:r>
    </w:p>
    <w:p>
      <w:pPr>
        <w:pStyle w:val="Heading1"/>
      </w:pPr>
      <w:r>
        <w:t>8. Discussion and Limitations</w:t>
      </w:r>
    </w:p>
    <w:p>
      <w:pPr>
        <w:ind w:firstLine="720"/>
      </w:pPr>
      <w:r>
        <w:t>While our system demonstrates effective performance for technical support applications, several limitations merit discussion:</w:t>
        <w:br/>
        <w:br/>
        <w:t>**Knowledge Base Coverage**: The system's accuracy is bounded by the coverage and quality of the underlying CSV knowledge base. Queries about topics not represented in the data will receive low-confidence responses.</w:t>
        <w:br/>
        <w:br/>
        <w:t>**Context Length**: TinyLlama's 2048-token context limits the amount of retrieved content that can be included. Complex queries requiring extensive context may benefit from models with longer context windows.</w:t>
        <w:br/>
        <w:br/>
        <w:t>**Domain Adaptation**: The embedding model (BGE) was trained on general text. Fine-tuning on domain-specific data could improve retrieval quality for specialized technical terminology.</w:t>
        <w:br/>
        <w:br/>
        <w:t>**Evaluation Scope**: Our evaluation focused on technical support queries. Performance on other domains requires separate validation.</w:t>
        <w:br/>
        <w:br/>
        <w:t>**Single-Turn Limitation**: The current implementation treats each query independently. Multi-turn conversations with context retention would improve user experience.</w:t>
      </w:r>
    </w:p>
    <w:p>
      <w:pPr>
        <w:pStyle w:val="Heading1"/>
      </w:pPr>
      <w:r>
        <w:t>9. Conclusion</w:t>
      </w:r>
    </w:p>
    <w:p>
      <w:pPr>
        <w:ind w:firstLine="720"/>
      </w:pPr>
      <w:r>
        <w:t>This paper presented a comprehensive Technical Support RAG System designed for enterprise deployment on commodity hardware. Our key contributions include:</w:t>
        <w:br/>
        <w:br/>
        <w:t>1. **Practical Architecture**: A three-service microservices design separating concerns while enabling independent scaling of components.</w:t>
        <w:br/>
        <w:br/>
        <w:t>2. **Lightweight Model Integration**: Demonstration that TinyLlama 1.1B provides sufficient quality for RAG applications while enabling CPU-only deployment.</w:t>
        <w:br/>
        <w:br/>
        <w:t>3. **Hybrid Retrieval**: A reranking approach combining semantic and lexical signals that improves precision for technical queries.</w:t>
        <w:br/>
        <w:br/>
        <w:t>4. **Enterprise Features**: Implementation of RBAC, audit logging, multi-tenant isolation, and application-level firewall capabilities.</w:t>
        <w:br/>
        <w:br/>
        <w:t>5. **Quantization Pathway**: An architecture designed to accommodate future deployment of 1-bit quantized models for further efficiency gains.</w:t>
        <w:br/>
        <w:br/>
        <w:t>The system achieves 0.89 Precision@1 on retrieval and 0.92 faithfulness in generation while maintaining sub-3-second latency on CPU hardware. These results demonstrate that effective RAG systems can be deployed without expensive GPU infrastructure, democratizing access to AI-powered technical support for organizations of all sizes.</w:t>
        <w:br/>
        <w:br/>
        <w:t>Future work will focus on implementing and evaluating 1-bit quantized model variants, extending support for multi-turn conversations, and developing domain-specific fine-tuned embedding models for improved retrieval in specialized technical domains.</w:t>
      </w:r>
    </w:p>
    <w:p>
      <w:pPr>
        <w:pStyle w:val="Heading1"/>
      </w:pPr>
      <w:r>
        <w:t>References</w:t>
      </w:r>
    </w:p>
    <w:p>
      <w:pPr>
        <w:ind w:left="720" w:hanging="720"/>
      </w:pPr>
      <w:r>
        <w:t>[1] Lewis, P., et al. (2020). Retrieval-Augmented Generation for Knowledge-Intensive NLP Tasks. NeurIPS 2020.</w:t>
      </w:r>
    </w:p>
    <w:p>
      <w:pPr>
        <w:ind w:left="720" w:hanging="720"/>
      </w:pPr>
      <w:r>
        <w:t>[2] Karpukhin, V., et al. (2020). Dense Passage Retrieval for Open-Domain Question Answering. EMNLP 2020.</w:t>
      </w:r>
    </w:p>
    <w:p>
      <w:pPr>
        <w:ind w:left="720" w:hanging="720"/>
      </w:pPr>
      <w:r>
        <w:t>[3] Zhang, P., et al. (2024). TinyLlama: An Open-Source Small Language Model. arXiv:2401.02385.</w:t>
      </w:r>
    </w:p>
    <w:p>
      <w:pPr>
        <w:ind w:left="720" w:hanging="720"/>
      </w:pPr>
      <w:r>
        <w:t>[4] Wang, H., et al. (2023). BitNet: Scaling 1-bit Transformers for Large Language Models. arXiv:2310.11453.</w:t>
      </w:r>
    </w:p>
    <w:p>
      <w:pPr>
        <w:ind w:left="720" w:hanging="720"/>
      </w:pPr>
      <w:r>
        <w:t>[5] Xiao, S., et al. (2023). C-Pack: Packaged Resources To Advance General Chinese Embedding. arXiv:2309.07597.</w:t>
      </w:r>
    </w:p>
    <w:p>
      <w:pPr>
        <w:ind w:left="720" w:hanging="720"/>
      </w:pPr>
      <w:r>
        <w:t>[6] Guu, K., et al. (2020). REALM: Retrieval-Augmented Language Model Pre-Training. ICML 2020.</w:t>
      </w:r>
    </w:p>
    <w:p>
      <w:pPr>
        <w:ind w:left="720" w:hanging="720"/>
      </w:pPr>
      <w:r>
        <w:t>[7] Microsoft Research. (2023). Phi-2: The Surprising Power of Small Language Models.</w:t>
      </w:r>
    </w:p>
    <w:p>
      <w:pPr>
        <w:ind w:left="720" w:hanging="720"/>
      </w:pPr>
      <w:r>
        <w:t>[8] Dettmers, T., et al. (2022). LLM.int8(): 8-bit Matrix Multiplication for Transformers at Scale. NeurIPS 2022.</w:t>
      </w:r>
    </w:p>
    <w:p>
      <w:pPr>
        <w:ind w:left="720" w:hanging="720"/>
      </w:pPr>
      <w:r>
        <w:t>[9] Frantar, E., et al. (2022). GPTQ: Accurate Post-Training Quantization for Generative Pre-trained Transformers. ICLR 2023.</w:t>
      </w:r>
    </w:p>
    <w:p>
      <w:pPr>
        <w:ind w:left="720" w:hanging="720"/>
      </w:pPr>
      <w:r>
        <w:t>[10] Lin, J., et al. (2023). AWQ: Activation-aware Weight Quantization for LLM Compression and Acceleration. arXiv:2306.00978.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