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Network Configuration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establish a standardized process for resolving network configuration errors, ensuring minimal disruption to service and data integrity.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administrators</w:t>
      </w:r>
    </w:p>
    <w:p>
      <w:pPr>
        <w:pStyle w:val="ListBullet"/>
      </w:pPr>
      <w:r>
        <w:t>IT support teams</w:t>
      </w:r>
    </w:p>
    <w:p>
      <w:pPr>
        <w:pStyle w:val="ListBullet"/>
      </w:pPr>
      <w:r>
        <w:t>Data center personnel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Basic knowledge of network protocols</w:t>
      </w:r>
    </w:p>
    <w:p>
      <w:pPr>
        <w:pStyle w:val="ListBullet"/>
      </w:pPr>
      <w:r>
        <w:t>Understanding of device configuration management systems</w:t>
      </w:r>
    </w:p>
    <w:p>
      <w:pPr>
        <w:pStyle w:val="ListBullet"/>
      </w:pPr>
      <w:r>
        <w:t>Access to network monitoring tools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Performs initial troubleshooting and identifies the root cause of the error</w:t>
            </w:r>
          </w:p>
        </w:tc>
      </w:tr>
      <w:tr>
        <w:tc>
          <w:tcPr>
            <w:tcW w:type="dxa" w:w="4320"/>
          </w:tcPr>
          <w:p>
            <w:r>
              <w:t>IT Support Team Lead</w:t>
            </w:r>
          </w:p>
        </w:tc>
        <w:tc>
          <w:tcPr>
            <w:tcW w:type="dxa" w:w="4320"/>
          </w:tcPr>
          <w:p>
            <w:r>
              <w:t>Coordinates with Network Administrators and ensures timely resolution of issues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25840_network-configuration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Resolve Network Configuration Error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Information - Collect relevant network configuration files, logs, and monitoring data to identify the source of the issue.</w:t>
      </w:r>
    </w:p>
    <w:p>
      <w:pPr>
        <w:pStyle w:val="ListNumber"/>
      </w:pPr>
      <w:r>
        <w:t>Step 2: Verify Configuration Changes - Double-check all device configurations, including IP addresses, subnet masks, and gateway settings, for accuracy and consistency.</w:t>
      </w:r>
    </w:p>
    <w:p>
      <w:pPr>
        <w:pStyle w:val="ListNumber"/>
      </w:pPr>
      <w:r>
        <w:t>Step 3: Implement Temporary Workarounds - If necessary, implement temporary workarounds to ensure minimal disruption to service while permanent fixes are being implemented.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Validate network configuration against standard templates</w:t>
      </w:r>
    </w:p>
    <w:p>
      <w:pPr>
        <w:pStyle w:val="ListBullet"/>
      </w:pPr>
      <w:r>
        <w:t>Verify device logs for errors or warnings</w:t>
      </w:r>
    </w:p>
    <w:p>
      <w:pPr>
        <w:pStyle w:val="ListBullet"/>
      </w:pPr>
      <w:r>
        <w:t>Check network monitoring tools for anomalies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Duplicate IP Address Error</w:t>
            </w:r>
          </w:p>
        </w:tc>
        <w:tc>
          <w:tcPr>
            <w:tcW w:type="dxa" w:w="2880"/>
          </w:tcPr>
          <w:p>
            <w:r>
              <w:t>Mismatched IP address assignments on devices</w:t>
            </w:r>
          </w:p>
        </w:tc>
        <w:tc>
          <w:tcPr>
            <w:tcW w:type="dxa" w:w="2880"/>
          </w:tcPr>
          <w:p>
            <w:r>
              <w:t>Reassign unique IP addresses to each device and reconfigure routing tables</w:t>
            </w:r>
          </w:p>
        </w:tc>
      </w:tr>
      <w:tr>
        <w:tc>
          <w:tcPr>
            <w:tcW w:type="dxa" w:w="2880"/>
          </w:tcPr>
          <w:p>
            <w:r>
              <w:t>Missing Firewall Rule Error</w:t>
            </w:r>
          </w:p>
        </w:tc>
        <w:tc>
          <w:tcPr>
            <w:tcW w:type="dxa" w:w="2880"/>
          </w:tcPr>
          <w:p>
            <w:r>
              <w:t>Inadequate firewall rule configuration</w:t>
            </w:r>
          </w:p>
        </w:tc>
        <w:tc>
          <w:tcPr>
            <w:tcW w:type="dxa" w:w="2880"/>
          </w:tcPr>
          <w:p>
            <w:r>
              <w:t>Create or update necessary firewall rules using a network configuration management system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changes made during troubleshooting</w:t>
      </w:r>
    </w:p>
    <w:p>
      <w:pPr>
        <w:pStyle w:val="ListNumber"/>
      </w:pPr>
      <w:r>
        <w:t>Revert temporary workarounds implemented in Step 3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Cisco Networking Academy Course Materials</w:t>
      </w:r>
    </w:p>
    <w:p>
      <w:pPr>
        <w:pStyle w:val="ListBullet"/>
      </w:pPr>
      <w:r>
        <w:t>Juniper Networks Configuration Guides</w:t>
      </w:r>
    </w:p>
    <w:p>
      <w:pPr>
        <w:pStyle w:val="ListBullet"/>
      </w:pPr>
      <w:r>
        <w:t>RFC 2547 - Network Management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