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Outlook Configuration Error</w:t>
      </w:r>
    </w:p>
    <w:p>
      <w:pPr>
        <w:jc w:val="center"/>
      </w:pPr>
      <w:r>
        <w:t>Effective Date: June 08, 2026</w:t>
      </w:r>
    </w:p>
    <w:p/>
    <w:p>
      <w:pPr>
        <w:pStyle w:val="Heading2"/>
      </w:pPr>
      <w:r>
        <w:t>1. Purpose</w:t>
      </w:r>
    </w:p>
    <w:p>
      <w:r>
        <w:t>This SOP exists to provide a step-by-step guide for resolving Outlook configuration errors, ensuring minimal disruption to business operations.</w:t>
      </w:r>
    </w:p>
    <w:p>
      <w:pPr>
        <w:pStyle w:val="Heading2"/>
      </w:pPr>
      <w:r>
        <w:t>2. Scope</w:t>
      </w:r>
    </w:p>
    <w:p>
      <w:pPr>
        <w:pStyle w:val="ListBullet"/>
      </w:pPr>
      <w:r>
        <w:t>All employees using Outlook for email and calendar purposes</w:t>
      </w:r>
    </w:p>
    <w:p>
      <w:pPr>
        <w:pStyle w:val="ListBullet"/>
      </w:pPr>
      <w:r>
        <w:t>IT department personnel responsible for Outlook configuration and maintenance</w:t>
      </w:r>
    </w:p>
    <w:p>
      <w:pPr>
        <w:pStyle w:val="ListBullet"/>
      </w:pPr>
      <w:r>
        <w:t>Managerial staff with oversight of IT department activities</w:t>
      </w:r>
    </w:p>
    <w:p>
      <w:pPr>
        <w:pStyle w:val="Heading2"/>
      </w:pPr>
      <w:r>
        <w:t>3. Prerequisites</w:t>
      </w:r>
    </w:p>
    <w:p>
      <w:pPr>
        <w:pStyle w:val="ListBullet"/>
      </w:pPr>
      <w:r>
        <w:t>Valid Microsoft Office 365 subscription</w:t>
      </w:r>
    </w:p>
    <w:p>
      <w:pPr>
        <w:pStyle w:val="ListBullet"/>
      </w:pPr>
      <w:r>
        <w:t>Outlook client software installed on the user's computer or mobile device</w:t>
      </w:r>
    </w:p>
    <w:p>
      <w:pPr>
        <w:pStyle w:val="ListBullet"/>
      </w:pPr>
      <w:r>
        <w:t>Administrator account credentials with necessary permissions</w:t>
      </w:r>
    </w:p>
    <w:p>
      <w:pPr>
        <w:pStyle w:val="Heading2"/>
      </w:pPr>
      <w:r>
        <w:t>4.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IT Support Specialist</w:t>
            </w:r>
          </w:p>
        </w:tc>
        <w:tc>
          <w:tcPr>
            <w:tcW w:type="dxa" w:w="4320"/>
          </w:tcPr>
          <w:p>
            <w:r>
              <w:t>Resolve Outlook configuration errors using this SOP</w:t>
            </w:r>
          </w:p>
        </w:tc>
      </w:tr>
      <w:tr>
        <w:tc>
          <w:tcPr>
            <w:tcW w:type="dxa" w:w="4320"/>
          </w:tcPr>
          <w:p>
            <w:r>
              <w:t>Office Manager</w:t>
            </w:r>
          </w:p>
        </w:tc>
        <w:tc>
          <w:tcPr>
            <w:tcW w:type="dxa" w:w="4320"/>
          </w:tcPr>
          <w:p>
            <w:r>
              <w:t>Verify IT support specialist has completed the procedure and ensure all users are back online</w:t>
            </w:r>
          </w:p>
        </w:tc>
      </w:tr>
    </w:tbl>
    <w:p>
      <w:pPr>
        <w:pStyle w:val="Heading2"/>
      </w:pPr>
      <w:r>
        <w:t>5. Process Overview</w:t>
      </w:r>
    </w:p>
    <w:p>
      <w:r>
        <w:rPr>
          <w:i/>
        </w:rPr>
        <w:t>The following WORKFLOW diagram illustrates the key steps in this procedure:</w:t>
      </w:r>
    </w:p>
    <w:p>
      <w:r>
        <w:drawing>
          <wp:inline xmlns:a="http://schemas.openxmlformats.org/drawingml/2006/main" xmlns:pic="http://schemas.openxmlformats.org/drawingml/2006/picture">
            <wp:extent cx="5486400" cy="3223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608_175438_outlook-configuration-err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Figure: Outlook Config Error Resolution</w:t>
      </w:r>
    </w:p>
    <w:p/>
    <w:p>
      <w:pPr>
        <w:pStyle w:val="Heading2"/>
      </w:pPr>
      <w:r>
        <w:t>6. Procedure</w:t>
      </w:r>
    </w:p>
    <w:p>
      <w:pPr>
        <w:pStyle w:val="ListNumber"/>
      </w:pPr>
      <w:r>
        <w:t>Step 3: Verify Configuration and Client Settings</w:t>
      </w:r>
    </w:p>
    <w:p>
      <w:pPr>
        <w:pStyle w:val="ListNumber"/>
      </w:pPr>
      <w:r>
        <w:t>Check Outlook client settings for any incorrect or conflicting configurations</w:t>
      </w:r>
    </w:p>
    <w:p>
      <w:pPr>
        <w:pStyle w:val="ListNumber"/>
      </w:pPr>
      <w:r>
        <w:t>Verify that all account settings, including IMAP, POP3, and SMTP, are correct</w:t>
      </w:r>
    </w:p>
    <w:p>
      <w:pPr>
        <w:pStyle w:val="Heading2"/>
      </w:pPr>
      <w:r>
        <w:t>7. Validation</w:t>
      </w:r>
    </w:p>
    <w:p>
      <w:pPr>
        <w:pStyle w:val="ListBullet"/>
      </w:pPr>
      <w:r>
        <w:t>Verify all steps completed successfully</w:t>
      </w:r>
    </w:p>
    <w:p>
      <w:pPr>
        <w:pStyle w:val="Heading2"/>
      </w:pPr>
      <w:r>
        <w:t>8. Troubleshooting</w:t>
      </w:r>
    </w:p>
    <w:p>
      <w:pPr>
        <w:pStyle w:val="Heading2"/>
      </w:pPr>
      <w:r>
        <w:t>9. Rollback / Recovery</w:t>
      </w:r>
    </w:p>
    <w:p>
      <w:pPr>
        <w:pStyle w:val="ListNumber"/>
      </w:pPr>
      <w:r>
        <w:t>Contact support if rollback is needed</w:t>
      </w:r>
    </w:p>
    <w:p>
      <w:pPr>
        <w:pStyle w:val="Heading2"/>
      </w:pPr>
      <w:r>
        <w:t>10. References</w:t>
      </w:r>
    </w:p>
    <w:p>
      <w:pPr>
        <w:pStyle w:val="ListBullet"/>
      </w:pPr>
      <w:r>
        <w:t>Related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