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Enterprice Incident Management</w:t>
      </w:r>
    </w:p>
    <w:p>
      <w:pPr>
        <w:jc w:val="center"/>
      </w:pPr>
      <w:r>
        <w:t>Effective Date: June 09, 2026</w:t>
      </w:r>
    </w:p>
    <w:p/>
    <w:p>
      <w:pPr>
        <w:pStyle w:val="Heading2"/>
      </w:pPr>
      <w:r>
        <w:t>1. Purpose</w:t>
      </w:r>
    </w:p>
    <w:p>
      <w:r>
        <w:t>To ensure timely and effective response to enterprise-level incidents, minimizing impact on business operations and customer satisfaction.</w:t>
      </w:r>
    </w:p>
    <w:p>
      <w:pPr>
        <w:pStyle w:val="Heading2"/>
      </w:pPr>
      <w:r>
        <w:t>2. Scope</w:t>
      </w:r>
    </w:p>
    <w:p>
      <w:pPr>
        <w:pStyle w:val="ListBullet"/>
      </w:pPr>
      <w:r>
        <w:t>Enterprise IT infrastructure</w:t>
      </w:r>
    </w:p>
    <w:p>
      <w:pPr>
        <w:pStyle w:val="ListBullet"/>
      </w:pPr>
      <w:r>
        <w:t>Cloud-based systems and services</w:t>
      </w:r>
    </w:p>
    <w:p>
      <w:pPr>
        <w:pStyle w:val="ListBullet"/>
      </w:pPr>
      <w:r>
        <w:t>Data centers and colocation facilities</w:t>
      </w:r>
    </w:p>
    <w:p>
      <w:pPr>
        <w:pStyle w:val="Heading2"/>
      </w:pPr>
      <w:r>
        <w:t>3. Prerequisites</w:t>
      </w:r>
    </w:p>
    <w:p>
      <w:pPr>
        <w:pStyle w:val="ListBullet"/>
      </w:pPr>
      <w:r>
        <w:t>Incident Management team established and trained</w:t>
      </w:r>
    </w:p>
    <w:p>
      <w:pPr>
        <w:pStyle w:val="ListBullet"/>
      </w:pPr>
      <w:r>
        <w:t>Enterprise IT service management framework in place</w:t>
      </w:r>
    </w:p>
    <w:p>
      <w:pPr>
        <w:pStyle w:val="ListBullet"/>
      </w:pPr>
      <w:r>
        <w:t>Communication protocols with stakeholders and customers</w:t>
      </w:r>
    </w:p>
    <w:p>
      <w:pPr>
        <w:pStyle w:val="Heading2"/>
      </w:pPr>
      <w:r>
        <w:t>4.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Incident Manager</w:t>
            </w:r>
          </w:p>
        </w:tc>
        <w:tc>
          <w:tcPr>
            <w:tcW w:type="dxa" w:w="4320"/>
          </w:tcPr>
          <w:p>
            <w:r>
              <w:t>Assesses incident impact, prioritizes incidents, and leads the response effort</w:t>
            </w:r>
          </w:p>
        </w:tc>
      </w:tr>
      <w:tr>
        <w:tc>
          <w:tcPr>
            <w:tcW w:type="dxa" w:w="4320"/>
          </w:tcPr>
          <w:p>
            <w:r>
              <w:t>IT Operations Team</w:t>
            </w:r>
          </w:p>
        </w:tc>
        <w:tc>
          <w:tcPr>
            <w:tcW w:type="dxa" w:w="4320"/>
          </w:tcPr>
          <w:p>
            <w:r>
              <w:t>Provides technical expertise for incident resolution and maintenance of affected systems</w:t>
            </w:r>
          </w:p>
        </w:tc>
      </w:tr>
      <w:tr>
        <w:tc>
          <w:tcPr>
            <w:tcW w:type="dxa" w:w="4320"/>
          </w:tcPr>
          <w:p>
            <w:r>
              <w:t>Communication Specialist</w:t>
            </w:r>
          </w:p>
        </w:tc>
        <w:tc>
          <w:tcPr>
            <w:tcW w:type="dxa" w:w="4320"/>
          </w:tcPr>
          <w:p>
            <w:r>
              <w:t>Notifies stakeholders and customers, provides status updates, and ensures timely communication</w:t>
            </w:r>
          </w:p>
        </w:tc>
      </w:tr>
    </w:tbl>
    <w:p>
      <w:pPr>
        <w:pStyle w:val="Heading2"/>
      </w:pPr>
      <w:r>
        <w:t>5. Process Overview</w:t>
      </w:r>
    </w:p>
    <w:p>
      <w:r>
        <w:rPr>
          <w:i/>
        </w:rPr>
        <w:t>The following WORKFLOW diagram illustrates the key steps in this procedure:</w:t>
      </w:r>
    </w:p>
    <w:p>
      <w:r>
        <w:drawing>
          <wp:inline xmlns:a="http://schemas.openxmlformats.org/drawingml/2006/main" xmlns:pic="http://schemas.openxmlformats.org/drawingml/2006/picture">
            <wp:extent cx="5486400" cy="3223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09_050713_enterprice-incident-manag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Figure: Enterprice Incident Management</w:t>
      </w:r>
    </w:p>
    <w:p/>
    <w:p>
      <w:pPr>
        <w:pStyle w:val="Heading2"/>
      </w:pPr>
      <w:r>
        <w:t>6. Procedure</w:t>
      </w:r>
    </w:p>
    <w:p>
      <w:pPr>
        <w:pStyle w:val="ListNumber"/>
      </w:pPr>
      <w:r>
        <w:t>Step 1: Initial Assessment and Prioritization - Identify the incident type, gather information from affected teams, and assess the potential impact on business operations. Determine the severity level (e.g., critical, major, minor).</w:t>
      </w:r>
    </w:p>
    <w:p>
      <w:pPr>
        <w:pStyle w:val="ListNumber"/>
      </w:pPr>
      <w:r>
        <w:t>Step 2: Incident Response and Resolution - Activate the Incident Management team, mobilize IT Operations Team resources, and begin working to resolve the issue. Ensure all necessary stakeholders are informed and involve them in the decision-making process.</w:t>
      </w:r>
    </w:p>
    <w:p>
      <w:pPr>
        <w:pStyle w:val="ListNumber"/>
      </w:pPr>
      <w:r>
        <w:t>Step 3: Post-Incident Review and Remediation - Complete incident documentation, analyze the root cause, identify corrective actions, and implement changes to prevent similar incidents. Communicate the outcome to stakeholders and confirm the resolution.</w:t>
      </w:r>
    </w:p>
    <w:p>
      <w:pPr>
        <w:pStyle w:val="Heading2"/>
      </w:pPr>
      <w:r>
        <w:t>7. Validation</w:t>
      </w:r>
    </w:p>
    <w:p>
      <w:pPr>
        <w:pStyle w:val="ListBullet"/>
      </w:pPr>
      <w:r>
        <w:t>Incident Management team review and validation of incident documentation</w:t>
      </w:r>
    </w:p>
    <w:p>
      <w:pPr>
        <w:pStyle w:val="ListBullet"/>
      </w:pPr>
      <w:r>
        <w:t>IT Operations Team verification of system recovery and functionality</w:t>
      </w:r>
    </w:p>
    <w:p>
      <w:pPr>
        <w:pStyle w:val="ListBullet"/>
      </w:pPr>
      <w:r>
        <w:t>Communication Specialist confirmation of stakeholder notification and updates</w:t>
      </w:r>
    </w:p>
    <w:p>
      <w:pPr>
        <w:pStyle w:val="Heading2"/>
      </w:pPr>
      <w: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Network connectivity issues</w:t>
            </w:r>
          </w:p>
        </w:tc>
        <w:tc>
          <w:tcPr>
            <w:tcW w:type="dxa" w:w="2880"/>
          </w:tcPr>
          <w:p>
            <w:r>
              <w:t>Hardware failure or misconfigured network settings</w:t>
            </w:r>
          </w:p>
        </w:tc>
        <w:tc>
          <w:tcPr>
            <w:tcW w:type="dxa" w:w="2880"/>
          </w:tcPr>
          <w:p>
            <w:r>
              <w:t>Restart the affected device, verify network configurations, and replace faulty hardware as needed</w:t>
            </w:r>
          </w:p>
        </w:tc>
      </w:tr>
      <w:tr>
        <w:tc>
          <w:tcPr>
            <w:tcW w:type="dxa" w:w="2880"/>
          </w:tcPr>
          <w:p>
            <w:r>
              <w:t>Data loss due to system crash</w:t>
            </w:r>
          </w:p>
        </w:tc>
        <w:tc>
          <w:tcPr>
            <w:tcW w:type="dxa" w:w="2880"/>
          </w:tcPr>
          <w:p>
            <w:r>
              <w:t>Insufficient disk space or corrupted data</w:t>
            </w:r>
          </w:p>
        </w:tc>
        <w:tc>
          <w:tcPr>
            <w:tcW w:type="dxa" w:w="2880"/>
          </w:tcPr>
          <w:p>
            <w:r>
              <w:t>Verify available storage capacity, backup and restore critical data, and run disk checks to prevent future corruption</w:t>
            </w:r>
          </w:p>
        </w:tc>
      </w:tr>
    </w:tbl>
    <w:p>
      <w:pPr>
        <w:pStyle w:val="Heading2"/>
      </w:pPr>
      <w:r>
        <w:t>9. Rollback / Recovery</w:t>
      </w:r>
    </w:p>
    <w:p>
      <w:pPr>
        <w:pStyle w:val="ListNumber"/>
      </w:pPr>
      <w:r>
        <w:t>Rollback plan for complex incidents involving system downtime</w:t>
      </w:r>
    </w:p>
    <w:p>
      <w:pPr>
        <w:pStyle w:val="ListNumber"/>
      </w:pPr>
      <w:r>
        <w:t>Automated deployment scripts for quick rollbacks of changes</w:t>
      </w:r>
    </w:p>
    <w:p>
      <w:pPr>
        <w:pStyle w:val="ListNumber"/>
      </w:pPr>
      <w:r>
        <w:t>Documentation of known issues and workarounds for repeat incidents</w:t>
      </w:r>
    </w:p>
    <w:p>
      <w:pPr>
        <w:pStyle w:val="Heading2"/>
      </w:pPr>
      <w:r>
        <w:t>10. References</w:t>
      </w:r>
    </w:p>
    <w:p>
      <w:pPr>
        <w:pStyle w:val="ListBullet"/>
      </w:pPr>
      <w:r>
        <w:t>Enterprise IT incident management framework (e.g., ITIL)</w:t>
      </w:r>
    </w:p>
    <w:p>
      <w:pPr>
        <w:pStyle w:val="ListBullet"/>
      </w:pPr>
      <w:r>
        <w:t>Cloud provider documentation and guidelines</w:t>
      </w:r>
    </w:p>
    <w:p>
      <w:pPr>
        <w:pStyle w:val="ListBullet"/>
      </w:pPr>
      <w:r>
        <w:t>Industry benchmarks and best practices for incident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