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Dns Configuration Error SOP</w:t>
      </w:r>
    </w:p>
    <w:p>
      <w:pPr>
        <w:jc w:val="center"/>
      </w:pPr>
      <w:r>
        <w:t>Effective Date: June 09, 2026</w:t>
      </w:r>
    </w:p>
    <w:p/>
    <w:p>
      <w:pPr>
        <w:pStyle w:val="Heading2"/>
      </w:pPr>
      <w:r>
        <w:t>1. Purpose</w:t>
      </w:r>
    </w:p>
    <w:p>
      <w:r>
        <w:t>To establish a standardized process for resolving and resolving dns configuration errors, ensuring minimal disruption to the system and efficient resolution of issues.</w:t>
      </w:r>
    </w:p>
    <w:p>
      <w:pPr>
        <w:pStyle w:val="Heading2"/>
      </w:pPr>
      <w:r>
        <w:t>2. Scope</w:t>
      </w:r>
    </w:p>
    <w:p>
      <w:pPr>
        <w:pStyle w:val="ListBullet"/>
      </w:pPr>
      <w:r>
        <w:t>Network Devices</w:t>
      </w:r>
    </w:p>
    <w:p>
      <w:pPr>
        <w:pStyle w:val="ListBullet"/>
      </w:pPr>
      <w:r>
        <w:t>Network Infrastructure</w:t>
      </w:r>
    </w:p>
    <w:p>
      <w:pPr>
        <w:pStyle w:val="ListBullet"/>
      </w:pPr>
      <w:r>
        <w:t>DNS Server</w:t>
      </w:r>
    </w:p>
    <w:p>
      <w:pPr>
        <w:pStyle w:val="Heading2"/>
      </w:pPr>
      <w:r>
        <w:t>3. Prerequisites</w:t>
      </w:r>
    </w:p>
    <w:p>
      <w:pPr>
        <w:pStyle w:val="ListBullet"/>
      </w:pPr>
      <w:r>
        <w:t>Basic understanding of DNS protocol</w:t>
      </w:r>
    </w:p>
    <w:p>
      <w:pPr>
        <w:pStyle w:val="ListBullet"/>
      </w:pPr>
      <w:r>
        <w:t>Access to network management tools</w:t>
      </w:r>
    </w:p>
    <w:p>
      <w:pPr>
        <w:pStyle w:val="ListBullet"/>
      </w:pPr>
      <w:r>
        <w:t>Knowledge of firewall configurations</w:t>
      </w:r>
    </w:p>
    <w:p>
      <w:pPr>
        <w:pStyle w:val="Heading2"/>
      </w:pPr>
      <w:r>
        <w:t>4. Roles and Responsibilities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Role</w:t>
            </w:r>
          </w:p>
        </w:tc>
        <w:tc>
          <w:tcPr>
            <w:tcW w:type="dxa" w:w="4320"/>
          </w:tcPr>
          <w:p>
            <w:r>
              <w:t>Responsibility</w:t>
            </w:r>
          </w:p>
        </w:tc>
      </w:tr>
      <w:tr>
        <w:tc>
          <w:tcPr>
            <w:tcW w:type="dxa" w:w="4320"/>
          </w:tcPr>
          <w:p>
            <w:r>
              <w:t>Network Administrator</w:t>
            </w:r>
          </w:p>
        </w:tc>
        <w:tc>
          <w:tcPr>
            <w:tcW w:type="dxa" w:w="4320"/>
          </w:tcPr>
          <w:p>
            <w:r>
              <w:t>Monitor dns configuration for errors and notify IT team</w:t>
            </w:r>
          </w:p>
        </w:tc>
      </w:tr>
      <w:tr>
        <w:tc>
          <w:tcPr>
            <w:tcW w:type="dxa" w:w="4320"/>
          </w:tcPr>
          <w:p>
            <w:r>
              <w:t>IT Team Lead</w:t>
            </w:r>
          </w:p>
        </w:tc>
        <w:tc>
          <w:tcPr>
            <w:tcW w:type="dxa" w:w="4320"/>
          </w:tcPr>
          <w:p>
            <w:r>
              <w:t>Coordinate with network administrators to resolve dns configuration errors</w:t>
            </w:r>
          </w:p>
        </w:tc>
      </w:tr>
    </w:tbl>
    <w:p>
      <w:pPr>
        <w:pStyle w:val="Heading2"/>
      </w:pPr>
      <w:r>
        <w:t>5. Process Overview</w:t>
      </w:r>
    </w:p>
    <w:p>
      <w:r>
        <w:rPr>
          <w:i/>
        </w:rPr>
        <w:t>The following WORKFLOW diagram illustrates the key steps in this procedure:</w:t>
      </w:r>
    </w:p>
    <w:p>
      <w:r>
        <w:drawing>
          <wp:inline xmlns:a="http://schemas.openxmlformats.org/drawingml/2006/main" xmlns:pic="http://schemas.openxmlformats.org/drawingml/2006/picture">
            <wp:extent cx="5486400" cy="32232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0609_055903_dns-configuration-error-sop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232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IntenseQuote"/>
      </w:pPr>
      <w:r>
        <w:t>Figure: Dns Config Error Resolved</w:t>
      </w:r>
    </w:p>
    <w:p/>
    <w:p>
      <w:pPr>
        <w:pStyle w:val="Heading2"/>
      </w:pPr>
      <w:r>
        <w:t>6. Procedure</w:t>
      </w:r>
    </w:p>
    <w:p>
      <w:pPr>
        <w:pStyle w:val="ListNumber"/>
      </w:pPr>
      <w:r>
        <w:t>Step 1: Gather Information - Collect error logs, dns configuration files, and network device logs to identify the root cause of the issue.</w:t>
      </w:r>
    </w:p>
    <w:p>
      <w:pPr>
        <w:pStyle w:val="ListNumber"/>
      </w:pPr>
      <w:r>
        <w:t>Step 2: Analyze Configuration - Review dns configuration files for syntax errors or inconsistencies that may be causing the issue.</w:t>
      </w:r>
    </w:p>
    <w:p>
      <w:pPr>
        <w:pStyle w:val="ListNumber"/>
      </w:pPr>
      <w:r>
        <w:t>Step 3: Implement Solution - Apply corrections to dns configuration files, restart affected devices, and verify that the issue has been resolved.</w:t>
      </w:r>
    </w:p>
    <w:p>
      <w:pPr>
        <w:pStyle w:val="Heading2"/>
      </w:pPr>
      <w:r>
        <w:t>7. Validation</w:t>
      </w:r>
    </w:p>
    <w:p>
      <w:pPr>
        <w:pStyle w:val="ListBullet"/>
      </w:pPr>
      <w:r>
        <w:t>DNS Server Ping Test</w:t>
      </w:r>
    </w:p>
    <w:p>
      <w:pPr>
        <w:pStyle w:val="ListBullet"/>
      </w:pPr>
      <w:r>
        <w:t>DNS Query Log Analysis</w:t>
      </w:r>
    </w:p>
    <w:p>
      <w:pPr>
        <w:pStyle w:val="Heading2"/>
      </w:pPr>
      <w:r>
        <w:t>8. Troubleshooting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Issue</w:t>
            </w:r>
          </w:p>
        </w:tc>
        <w:tc>
          <w:tcPr>
            <w:tcW w:type="dxa" w:w="2880"/>
          </w:tcPr>
          <w:p>
            <w:r>
              <w:t>Cause</w:t>
            </w:r>
          </w:p>
        </w:tc>
        <w:tc>
          <w:tcPr>
            <w:tcW w:type="dxa" w:w="2880"/>
          </w:tcPr>
          <w:p>
            <w:r>
              <w:t>Resolution</w:t>
            </w:r>
          </w:p>
        </w:tc>
      </w:tr>
      <w:tr>
        <w:tc>
          <w:tcPr>
            <w:tcW w:type="dxa" w:w="2880"/>
          </w:tcPr>
          <w:p>
            <w:r>
              <w:t>Zone Transfer Error</w:t>
            </w:r>
          </w:p>
        </w:tc>
        <w:tc>
          <w:tcPr>
            <w:tcW w:type="dxa" w:w="2880"/>
          </w:tcPr>
          <w:p>
            <w:r>
              <w:t>Incorrect zone transfer settings or network connectivity issues</w:t>
            </w:r>
          </w:p>
        </w:tc>
        <w:tc>
          <w:tcPr>
            <w:tcW w:type="dxa" w:w="2880"/>
          </w:tcPr>
          <w:p>
            <w:r>
              <w:t>Verify zone transfer settings, check network connectivity, and restart affected devices.</w:t>
            </w:r>
          </w:p>
        </w:tc>
      </w:tr>
      <w:tr>
        <w:tc>
          <w:tcPr>
            <w:tcW w:type="dxa" w:w="2880"/>
          </w:tcPr>
          <w:p>
            <w:r>
              <w:t>DNS Resolution Failure</w:t>
            </w:r>
          </w:p>
        </w:tc>
        <w:tc>
          <w:tcPr>
            <w:tcW w:type="dxa" w:w="2880"/>
          </w:tcPr>
          <w:p>
            <w:r>
              <w:t>Missing dns records or incorrect record formatting</w:t>
            </w:r>
          </w:p>
        </w:tc>
        <w:tc>
          <w:tcPr>
            <w:tcW w:type="dxa" w:w="2880"/>
          </w:tcPr>
          <w:p>
            <w:r>
              <w:t>Verify dns records for accuracy, update records as necessary, and try the dns resolution again.</w:t>
            </w:r>
          </w:p>
        </w:tc>
      </w:tr>
    </w:tbl>
    <w:p>
      <w:pPr>
        <w:pStyle w:val="Heading2"/>
      </w:pPr>
      <w:r>
        <w:t>9. Rollback / Recovery</w:t>
      </w:r>
    </w:p>
    <w:p>
      <w:pPr>
        <w:pStyle w:val="ListNumber"/>
      </w:pPr>
      <w:r>
        <w:t>Rollback dns configuration changes to previous version</w:t>
      </w:r>
    </w:p>
    <w:p>
      <w:pPr>
        <w:pStyle w:val="Heading2"/>
      </w:pPr>
      <w:r>
        <w:t>10. References</w:t>
      </w:r>
    </w:p>
    <w:p>
      <w:pPr>
        <w:pStyle w:val="ListBullet"/>
      </w:pPr>
      <w:r>
        <w:t>ReferenceURL</w:t>
      </w:r>
    </w:p>
    <w:p>
      <w:pPr>
        <w:pStyle w:val="ListBullet"/>
      </w:pPr>
      <w:r>
        <w:t>ReferenceURL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